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wordWrap w:val="0"/>
        <w:autoSpaceDE w:val="0"/>
        <w:autoSpaceDN w:val="0"/>
        <w:adjustRightInd w:val="0"/>
        <w:snapToGrid w:val="0"/>
        <w:spacing w:line="360" w:lineRule="auto"/>
        <w:textAlignment w:val="baseline"/>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附件</w:t>
      </w:r>
    </w:p>
    <w:p>
      <w:pPr>
        <w:widowControl/>
        <w:kinsoku w:val="0"/>
        <w:wordWrap w:val="0"/>
        <w:autoSpaceDE w:val="0"/>
        <w:autoSpaceDN w:val="0"/>
        <w:adjustRightInd w:val="0"/>
        <w:snapToGrid w:val="0"/>
        <w:spacing w:line="360" w:lineRule="auto"/>
        <w:jc w:val="center"/>
        <w:textAlignment w:val="baseline"/>
        <w:rPr>
          <w:rFonts w:hint="eastAsia" w:ascii="方正小标宋简体" w:hAnsi="黑体" w:eastAsia="方正小标宋简体" w:cs="黑体"/>
          <w:snapToGrid w:val="0"/>
          <w:color w:val="000000"/>
          <w:kern w:val="0"/>
          <w:sz w:val="44"/>
          <w:szCs w:val="44"/>
        </w:rPr>
      </w:pPr>
      <w:bookmarkStart w:id="0" w:name="_GoBack"/>
      <w:r>
        <w:rPr>
          <w:rFonts w:hint="eastAsia" w:ascii="方正小标宋简体" w:hAnsi="黑体" w:eastAsia="方正小标宋简体" w:cs="黑体"/>
          <w:snapToGrid w:val="0"/>
          <w:color w:val="000000"/>
          <w:kern w:val="0"/>
          <w:sz w:val="44"/>
          <w:szCs w:val="44"/>
        </w:rPr>
        <w:t>“三名工程”申报学校评审推荐表</w:t>
      </w:r>
    </w:p>
    <w:bookmarkEnd w:id="0"/>
    <w:tbl>
      <w:tblPr>
        <w:tblStyle w:val="2"/>
        <w:tblW w:w="14847" w:type="dxa"/>
        <w:tblInd w:w="-743" w:type="dxa"/>
        <w:tblLayout w:type="fixed"/>
        <w:tblCellMar>
          <w:top w:w="0" w:type="dxa"/>
          <w:left w:w="108" w:type="dxa"/>
          <w:bottom w:w="0" w:type="dxa"/>
          <w:right w:w="108" w:type="dxa"/>
        </w:tblCellMar>
      </w:tblPr>
      <w:tblGrid>
        <w:gridCol w:w="1515"/>
        <w:gridCol w:w="3903"/>
        <w:gridCol w:w="1387"/>
        <w:gridCol w:w="5245"/>
        <w:gridCol w:w="1452"/>
        <w:gridCol w:w="1320"/>
        <w:gridCol w:w="25"/>
      </w:tblGrid>
      <w:tr>
        <w:tblPrEx>
          <w:tblCellMar>
            <w:top w:w="0" w:type="dxa"/>
            <w:left w:w="108" w:type="dxa"/>
            <w:bottom w:w="0" w:type="dxa"/>
            <w:right w:w="108" w:type="dxa"/>
          </w:tblCellMar>
        </w:tblPrEx>
        <w:trPr>
          <w:trHeight w:val="285" w:hRule="atLeast"/>
        </w:trPr>
        <w:tc>
          <w:tcPr>
            <w:tcW w:w="1484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推荐单位：</w:t>
            </w:r>
            <w:r>
              <w:rPr>
                <w:rFonts w:hint="eastAsia" w:ascii="宋体" w:hAnsi="宋体" w:eastAsia="宋体" w:cs="宋体"/>
                <w:snapToGrid w:val="0"/>
                <w:color w:val="000000"/>
                <w:kern w:val="0"/>
                <w:sz w:val="24"/>
                <w:szCs w:val="24"/>
                <w:lang w:eastAsia="zh-CN" w:bidi="ar"/>
              </w:rPr>
              <w:t>遂宁市教育和体育局</w:t>
            </w:r>
            <w:r>
              <w:rPr>
                <w:rFonts w:hint="eastAsia" w:ascii="宋体" w:hAnsi="宋体" w:eastAsia="宋体" w:cs="宋体"/>
                <w:snapToGrid w:val="0"/>
                <w:color w:val="000000"/>
                <w:kern w:val="0"/>
                <w:sz w:val="24"/>
                <w:szCs w:val="24"/>
                <w:lang w:val="en-US" w:eastAsia="zh-CN" w:bidi="ar"/>
              </w:rPr>
              <w:t xml:space="preserve">       遂宁市人力资源和社会保障局   遂宁市财政局</w:t>
            </w:r>
            <w:r>
              <w:rPr>
                <w:rFonts w:hint="eastAsia" w:ascii="宋体" w:hAnsi="宋体" w:eastAsia="宋体" w:cs="宋体"/>
                <w:snapToGrid w:val="0"/>
                <w:color w:val="000000"/>
                <w:kern w:val="0"/>
                <w:sz w:val="24"/>
                <w:szCs w:val="24"/>
                <w:lang w:bidi="ar"/>
              </w:rPr>
              <w:t>（盖章）</w:t>
            </w:r>
          </w:p>
          <w:p>
            <w:pPr>
              <w:widowControl/>
              <w:kinsoku w:val="0"/>
              <w:autoSpaceDE w:val="0"/>
              <w:autoSpaceDN w:val="0"/>
              <w:adjustRightInd w:val="0"/>
              <w:snapToGrid w:val="0"/>
              <w:jc w:val="left"/>
              <w:textAlignment w:val="center"/>
              <w:rPr>
                <w:rFonts w:hint="eastAsia" w:ascii="宋体" w:hAnsi="宋体" w:eastAsia="宋体" w:cs="宋体"/>
                <w:snapToGrid w:val="0"/>
                <w:color w:val="000000"/>
                <w:kern w:val="0"/>
                <w:sz w:val="24"/>
                <w:szCs w:val="24"/>
                <w:lang w:eastAsia="zh-CN" w:bidi="ar"/>
              </w:rPr>
            </w:pPr>
            <w:r>
              <w:rPr>
                <w:rFonts w:hint="eastAsia" w:ascii="宋体" w:hAnsi="宋体" w:eastAsia="宋体" w:cs="宋体"/>
                <w:snapToGrid w:val="0"/>
                <w:color w:val="000000"/>
                <w:kern w:val="0"/>
                <w:sz w:val="24"/>
                <w:szCs w:val="24"/>
                <w:lang w:bidi="ar"/>
              </w:rPr>
              <w:t>联系人：</w:t>
            </w:r>
            <w:r>
              <w:rPr>
                <w:rFonts w:hint="eastAsia" w:ascii="宋体" w:hAnsi="宋体" w:eastAsia="宋体" w:cs="宋体"/>
                <w:snapToGrid w:val="0"/>
                <w:color w:val="000000"/>
                <w:kern w:val="0"/>
                <w:sz w:val="24"/>
                <w:szCs w:val="24"/>
                <w:lang w:eastAsia="zh-CN" w:bidi="ar"/>
              </w:rPr>
              <w:t>蒋锐</w:t>
            </w:r>
          </w:p>
          <w:p>
            <w:pPr>
              <w:widowControl/>
              <w:kinsoku w:val="0"/>
              <w:autoSpaceDE w:val="0"/>
              <w:autoSpaceDN w:val="0"/>
              <w:adjustRightInd w:val="0"/>
              <w:snapToGrid w:val="0"/>
              <w:jc w:val="left"/>
              <w:textAlignment w:val="center"/>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bidi="ar"/>
              </w:rPr>
              <w:t>联系电话：</w:t>
            </w:r>
            <w:r>
              <w:rPr>
                <w:rFonts w:hint="eastAsia" w:ascii="宋体" w:hAnsi="宋体" w:eastAsia="宋体" w:cs="宋体"/>
                <w:snapToGrid w:val="0"/>
                <w:color w:val="000000"/>
                <w:kern w:val="0"/>
                <w:sz w:val="24"/>
                <w:szCs w:val="24"/>
                <w:lang w:val="en-US" w:eastAsia="zh-CN" w:bidi="ar"/>
              </w:rPr>
              <w:t>13982502130</w:t>
            </w:r>
          </w:p>
        </w:tc>
      </w:tr>
      <w:tr>
        <w:tblPrEx>
          <w:tblCellMar>
            <w:top w:w="0" w:type="dxa"/>
            <w:left w:w="108" w:type="dxa"/>
            <w:bottom w:w="0" w:type="dxa"/>
            <w:right w:w="108" w:type="dxa"/>
          </w:tblCellMar>
        </w:tblPrEx>
        <w:trPr>
          <w:trHeight w:val="405" w:hRule="atLeast"/>
        </w:trPr>
        <w:tc>
          <w:tcPr>
            <w:tcW w:w="1484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黑体" w:hAnsi="宋体" w:eastAsia="黑体" w:cs="黑体"/>
                <w:snapToGrid w:val="0"/>
                <w:color w:val="000000"/>
                <w:kern w:val="0"/>
                <w:sz w:val="32"/>
                <w:szCs w:val="32"/>
              </w:rPr>
            </w:pPr>
            <w:r>
              <w:rPr>
                <w:rFonts w:hint="eastAsia" w:ascii="黑体" w:hAnsi="宋体" w:eastAsia="黑体" w:cs="黑体"/>
                <w:snapToGrid w:val="0"/>
                <w:color w:val="000000"/>
                <w:kern w:val="0"/>
                <w:sz w:val="32"/>
                <w:szCs w:val="32"/>
                <w:lang w:bidi="ar"/>
              </w:rPr>
              <w:t>一、推荐申报五星名校</w:t>
            </w:r>
          </w:p>
        </w:tc>
      </w:tr>
      <w:tr>
        <w:tblPrEx>
          <w:tblCellMar>
            <w:top w:w="0" w:type="dxa"/>
            <w:left w:w="108" w:type="dxa"/>
            <w:bottom w:w="0" w:type="dxa"/>
            <w:right w:w="108" w:type="dxa"/>
          </w:tblCellMar>
        </w:tblPrEx>
        <w:trPr>
          <w:trHeight w:val="375"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推荐学校名称</w:t>
            </w:r>
          </w:p>
        </w:tc>
        <w:tc>
          <w:tcPr>
            <w:tcW w:w="1198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申报条件满足情况的评审结论</w:t>
            </w: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推荐申报星级</w:t>
            </w:r>
          </w:p>
        </w:tc>
      </w:tr>
      <w:tr>
        <w:tblPrEx>
          <w:tblCellMar>
            <w:top w:w="0" w:type="dxa"/>
            <w:left w:w="108" w:type="dxa"/>
            <w:bottom w:w="0" w:type="dxa"/>
            <w:right w:w="108" w:type="dxa"/>
          </w:tblCellMar>
        </w:tblPrEx>
        <w:trPr>
          <w:gridAfter w:val="1"/>
          <w:wAfter w:w="25" w:type="dxa"/>
          <w:trHeight w:val="75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000000"/>
                <w:kern w:val="0"/>
                <w:sz w:val="28"/>
                <w:szCs w:val="28"/>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办学情况评审结论</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是否满足（是/否）</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标志性成果评审结论</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是否满足（是/否）</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000000"/>
                <w:kern w:val="0"/>
                <w:sz w:val="28"/>
                <w:szCs w:val="28"/>
              </w:rPr>
            </w:pPr>
          </w:p>
        </w:tc>
      </w:tr>
      <w:tr>
        <w:tblPrEx>
          <w:tblCellMar>
            <w:top w:w="0" w:type="dxa"/>
            <w:left w:w="108" w:type="dxa"/>
            <w:bottom w:w="0" w:type="dxa"/>
            <w:right w:w="108" w:type="dxa"/>
          </w:tblCellMar>
        </w:tblPrEx>
        <w:trPr>
          <w:gridAfter w:val="1"/>
          <w:wAfter w:w="25" w:type="dxa"/>
          <w:trHeight w:val="570"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1.</w:t>
            </w:r>
            <w:r>
              <w:rPr>
                <w:rFonts w:hint="eastAsia" w:ascii="宋体" w:hAnsi="宋体" w:eastAsia="宋体" w:cs="宋体"/>
                <w:snapToGrid w:val="0"/>
                <w:color w:val="000000"/>
                <w:kern w:val="0"/>
                <w:sz w:val="24"/>
                <w:szCs w:val="24"/>
              </w:rPr>
              <w:t>四川省射洪市职业中专学校</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1.具有独立法人资格</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1.学校为省级及以上示范学校建设单位，或省级示范（特色）专业建设单位，或省级及以上高技能人才培训基地。</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五星</w:t>
            </w: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2.2018年-2020年均列入我省中职招生资格学校年度通告名单中，且年度全日制学历教育在校生人数均在1200人以上。</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2.近两届以第一完成单位获得省级及以上教学成果奖。</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3.2018年-2020年的年均在校生达到3000人以上。</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3.2018年以来学校获得由国家部委认定的称号（如全国职业院校教育教学管理或学生管理50强、乡村振兴人才培养优质校、国家技能人才培育突出贡献单位等）。</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4.专任教师不少于60人且师生比达到1:20</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学校领导和教师获得以下1项及以上称号：校长牵头名校长鼎兴工作室或进入卓越校长计划，教师牵头名班主任鼎兴工作室，2018年以来教师获得过省级及以上奖励（仅包括教学能力比赛、班主任能力比赛、职业技能大赛获奖），获得省教书育人名师、中小学名校长、中小学名班主任称号，获得近两届四川省特级教师（校长）称号，获批省级及以上技能大师工作室，获得省级及以上技术能手称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5.校园占地面积不少于40000平方米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5.2018年以来学生获得过教育或人力资源社会保障行政部门主办或联办的省级及以上赛项奖励，获得世界技能大赛或国家级奖励的优先考。</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6.校舍建筑面积不少于24000平方米，且生均校舍建筑面积指标不少于20平方米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6.建立了校级竞赛制度，2018年以来承办过省级及以上教育、人力资源社会保障部门举办或协办的大赛；或获批省级及以上职业技能大赛集训基地；或有担任全国技能大赛、全国职业院校技能大赛的裁判员。</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7.生均仪器设备价值不低于3000元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7.牵头组建实体化运行的职业教育集团（联盟），且在“全国职业教育集团化办学统计与公共服务平台”中按要求完成了年度数据填报；或牵头组建实体化运行的技工教育集团（联盟）。</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8.生均教育经费不低于1.5万元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承担省级及以上教育教学改革试点且成效明显（仅包括教学工作诊断与改进工作试点、一体化课程教学试点、现代学徒制试点、企业新型学徒制、“1+X”证书制度试点、第三方职业技能等级认定试点）；或主持国家级专业教学标准的研制工作，主持过2个及以上标准研制的优先考虑。</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baseline"/>
              <w:rPr>
                <w:rFonts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9.2018年以来有教师主持省级及以上教学改革项目或课题；或获得省级职业教育教师教学创新团队称号；或取得发明专利；或参与“十二五”“十三五”国家规划教材编写。</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baseline"/>
              <w:rPr>
                <w:rFonts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10.建立了校级质量年报制度，2018年以来按要求发布学校质量年度报告。</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baseline"/>
              <w:rPr>
                <w:rFonts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11.2018年以来年培训人次达到在校生规模。</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2.遂宁市职业技术</w:t>
            </w:r>
            <w:r>
              <w:rPr>
                <w:rFonts w:hint="eastAsia" w:ascii="宋体" w:hAnsi="宋体" w:eastAsia="宋体" w:cs="宋体"/>
                <w:snapToGrid w:val="0"/>
                <w:color w:val="000000"/>
                <w:kern w:val="0"/>
                <w:sz w:val="24"/>
                <w:szCs w:val="24"/>
              </w:rPr>
              <w:t>学校</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1.具有独立法人资格</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1.学校为省级及以上示范学校建设单位，或省级示范（特色）专业建设单位，或省级及以上高技能人才培训基地。</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是</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bidi="ar"/>
              </w:rPr>
              <w:t>五星</w:t>
            </w: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2.2018年-2020年均列入我省中职招生资格学校年度通告名单中，且年度全日制学历教育在校生人数均在1200人以上。</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2.近两届以第一完成单位获得省级及以上教学成果奖。</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3.2018年-2020年的年均在校生达到3000人以上。</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3.2018年以来学校获得由国家部委认定的称号（如全国职业院校教育教学管理或学生管理50强、乡村振兴人才培养优质校、国家技能人才培育突出贡献单位等）。</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4.专任教师不少于60人且师生比达到1:20</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学校领导和教师获得以下1项及以上称号：校长牵头名校长鼎兴工作室或进入卓越校长计划，教师牵头名班主任鼎兴工作室，2018年以来教师获得过省级及以上奖励（仅包括教学能力比赛、班主任能力比赛、职业技能大赛获奖），获得省教书育人名师、中小学名校长、中小学名班主任称号，获得近两届四川省特级教师（校长）称号，获批省级及以上技能大师工作室，获得省级及以上技术能手称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5.校园占地面积不少于40000平方米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5.2018年以来学生获得过教育或人力资源社会保障行政部门主办或联办的省级及以上赛项奖励，获得世界技能大赛或国家级奖励的优先考。</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6.校舍建筑面积不少于24000平方米，且生均校舍建筑面积指标不少于20平方米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6.建立了校级竞赛制度，2018年以来承办过省级及以上教育、人力资源社会保障部门举办或协办的大赛；或获批省级及以上职业技能大赛集训基地；或有担任全国技能大赛、全国职业院校技能大赛的裁判员。</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7.生均仪器设备价值不低于3000元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7.牵头组建实体化运行的职业教育集团（联盟），且在“全国职业教育集团化办学统计与公共服务平台”中按要求完成了年度数据填报；或牵头组建实体化运行的技工教育集团（联盟）。</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8.生均教育经费不低于1.5万元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承担省级及以上教育教学改革试点且成效明显（仅包括教学工作诊断与改进工作试点、一体化课程教学试点、现代学徒制试点、企业新型学徒制、“1+X”证书制度试点、第三方职业技能等级认定试点）；或主持国家级专业教学标准的研制工作，主持过2个及以上标准研制的优先考虑。</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9.2018年以来有教师主持省级及以上教学改革项目或课题；或获得省级职业教育教师教学创新团队称号；或取得发明专利；或参与“十二五”“十三五”国家规划教材编写。</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10.建立了校级质量年报制度，2018年以来按要求发布学校质量年度报告。</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11.2018年以来年培训人次达到在校生规模。</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trHeight w:val="405" w:hRule="atLeast"/>
        </w:trPr>
        <w:tc>
          <w:tcPr>
            <w:tcW w:w="1484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left"/>
              <w:textAlignment w:val="center"/>
              <w:rPr>
                <w:rFonts w:ascii="黑体" w:hAnsi="宋体" w:eastAsia="黑体" w:cs="黑体"/>
                <w:snapToGrid w:val="0"/>
                <w:color w:val="000000"/>
                <w:kern w:val="0"/>
                <w:sz w:val="32"/>
                <w:szCs w:val="32"/>
              </w:rPr>
            </w:pPr>
            <w:r>
              <w:rPr>
                <w:rFonts w:hint="eastAsia" w:ascii="黑体" w:hAnsi="宋体" w:eastAsia="黑体" w:cs="黑体"/>
                <w:snapToGrid w:val="0"/>
                <w:color w:val="000000"/>
                <w:kern w:val="0"/>
                <w:sz w:val="32"/>
                <w:szCs w:val="32"/>
                <w:lang w:bidi="ar"/>
              </w:rPr>
              <w:t>二、推荐申报四星、三星名校</w:t>
            </w:r>
          </w:p>
        </w:tc>
      </w:tr>
      <w:tr>
        <w:tblPrEx>
          <w:tblCellMar>
            <w:top w:w="0" w:type="dxa"/>
            <w:left w:w="108" w:type="dxa"/>
            <w:bottom w:w="0" w:type="dxa"/>
            <w:right w:w="108" w:type="dxa"/>
          </w:tblCellMar>
        </w:tblPrEx>
        <w:trPr>
          <w:trHeight w:val="375"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推荐学校名称</w:t>
            </w:r>
          </w:p>
        </w:tc>
        <w:tc>
          <w:tcPr>
            <w:tcW w:w="1198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申报条件满足情况的评审结论</w:t>
            </w: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推荐申报星级（四星或三星）</w:t>
            </w:r>
          </w:p>
        </w:tc>
      </w:tr>
      <w:tr>
        <w:tblPrEx>
          <w:tblCellMar>
            <w:top w:w="0" w:type="dxa"/>
            <w:left w:w="108" w:type="dxa"/>
            <w:bottom w:w="0" w:type="dxa"/>
            <w:right w:w="108" w:type="dxa"/>
          </w:tblCellMar>
        </w:tblPrEx>
        <w:trPr>
          <w:gridAfter w:val="1"/>
          <w:wAfter w:w="25" w:type="dxa"/>
          <w:trHeight w:val="75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000000"/>
                <w:kern w:val="0"/>
                <w:sz w:val="28"/>
                <w:szCs w:val="28"/>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办学情况评审结论</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是否满足（是/否）</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标志性成果评审结论</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lang w:bidi="ar"/>
              </w:rPr>
              <w:t>是否满足（是/否）</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b/>
                <w:bCs/>
                <w:snapToGrid w:val="0"/>
                <w:color w:val="000000"/>
                <w:kern w:val="0"/>
                <w:sz w:val="28"/>
                <w:szCs w:val="28"/>
              </w:rPr>
            </w:pPr>
          </w:p>
        </w:tc>
      </w:tr>
      <w:tr>
        <w:tblPrEx>
          <w:tblCellMar>
            <w:top w:w="0" w:type="dxa"/>
            <w:left w:w="108" w:type="dxa"/>
            <w:bottom w:w="0" w:type="dxa"/>
            <w:right w:w="108" w:type="dxa"/>
          </w:tblCellMar>
        </w:tblPrEx>
        <w:trPr>
          <w:gridAfter w:val="1"/>
          <w:wAfter w:w="25" w:type="dxa"/>
          <w:trHeight w:val="285"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1.四川省大英县中等职业技术学校</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1.具有独立法人资格</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1.学校为省级及以上示范学校建设单位，或省级示范（特色）专业建设单位，或省级及以上高技能人才培训基地。</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是</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四星</w:t>
            </w: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2.2018年-2020年均列入我省中职招生资格学校年度通告名单中，且年度全日制学历教育在校生人数均在1200人以上。</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2.近两届以第一完成单位获得省级及以上教学成果奖。</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3.专任教师不少于60人</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3.2018年以来学校获得由国家部委认定的称号（如全国职业院校教育教学管理或学生管理50强、乡村振兴人才培养优质校、国家技能人才培育突出贡献单位等）。</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4.校园占地面积不少于40000平方米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学校领导和教师获得以下1项及以上称号：校长牵头名校长鼎兴工作室或进入卓越校长计划，教师牵头名班主任鼎兴工作室，2018年以来教师获得过省级及以上奖励（仅包括教学能力比赛、班主任能力比赛、职业技能大赛获奖），获得省教书育人名师、中小学名校长、中小学名班主任称号，获得近两届四川省特级教师（校长）称号，获批省级及以上技能大师工作室，获得省级及以上技术能手称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322"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5.校舍建筑面积不少于24000平方米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5.2018年以来学生获得过教育或人力资源社会保障行政部门主办或联办的省级及以上赛项奖励，获得世界技能大赛或国家级奖励的优先考。</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14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6.生均教育经费不低于1.2万元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6.建立了校级竞赛制度，2018年以来承办过省级及以上教育、人力资源社会保障部门举办或协办的大赛；或获批省级及以上职业技能大赛集训基地；或有担任全国技能大赛、全国职业院校技能大赛的裁判员。</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7.牵头组建实体化运行的职业教育集团（联盟），且在“全国职业教育集团化办学统计与公共服务平台”中按要求完成了年度数据填报；或牵头组建实体化运行的技工教育集团（联盟）。</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承担省级及以上教育教学改革试点且成效明显（仅包括教学工作诊断与改进工作试点、一体化课程教学试点、现代学徒制试点、企业新型学徒制、“1+X”证书制度试点、第三方职业技能等级认定试点）；或主持国家级专业教学标准的研制工作，主持过2个及以上标准研制的优先考虑。</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6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9.2018年以来有教师主持省级及以上教学改革项目或课题；或获得省级职业教育教师教学创新团队称号；或取得发明专利；或参与“十二五”“十三五”国家规划教材编写。</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10.建立了校级质量年报制度，2018年以来按要求发布学校质量年度报告。</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11.2018年以来年培训人次达到在校生规模。</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2</w:t>
            </w:r>
            <w:r>
              <w:rPr>
                <w:rFonts w:hint="eastAsia" w:ascii="宋体" w:hAnsi="宋体" w:eastAsia="宋体" w:cs="宋体"/>
                <w:snapToGrid w:val="0"/>
                <w:color w:val="000000"/>
                <w:kern w:val="0"/>
                <w:sz w:val="24"/>
                <w:szCs w:val="24"/>
              </w:rPr>
              <w:t>.四川省遂宁市安居职业高级中学学校</w:t>
            </w: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1.具有独立法人资格</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1.学校为省级及以上示范学校建设单位，或省级示范（特色）专业建设单位，或省级及以上高技能人才培训基地。</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四星</w:t>
            </w: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2.2018年-2020年均列入我省中职招生资格学校年度通告名单中，且年度全日制学历教育在校生人数均在1200人以上。</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2.近两届以第一完成单位获得省级及以上教学成果奖。</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3.专任教师不少于60人</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3.2018年以来学校获得由国家部委认定的称号（如全国职业院校教育教学管理或学生管理50强、乡村振兴人才培养优质校、国家技能人才培育突出贡献单位等）。</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4.校园占地面积不少于40000平方米</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学校领导和教师获得以下1项及以上称号：校长牵头名校长鼎兴工作室或进入卓越校长计划，教师牵头名班主任鼎兴工作室，2018年以来教师获得过省级及以上奖励（仅包括教学能力比赛、班主任能力比赛、职业技能大赛获奖），获得省教书育人名师、中小学名校长、中小学名班主任称号，获得近两届四川省特级教师（校长）称号，获批省级及以上技能大师工作室，获得省级及以上技术能手称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56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5.校舍建筑面积不少于24000平方米</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5.2018年以来学生获得过教育或人力资源社会保障行政部门主办或联办的省级及以上赛项奖励，获得世界技能大赛或国家级奖励的优先考虑。</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14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6.生均教育经费不低于1.2万元</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6.建立了校级竞赛制度，2018年以来承办过省级及以上教育、人力资源社会保障部门举办或协办的大赛；或获批省级及以上职业技能大赛集训基地；或有担任全国技能大赛、全国职业院校技能大赛的裁判员。</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7.牵头组建实体化运行的职业教育集团（联盟），且在“全国职业教育集团化办学统计与公共服务平台”中按要求完成了年度数据填报；或牵头组建实体化运行的技工教育集团（联盟）。</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承担省级及以上教育教学改革试点且成效明显（仅包括教学工作诊断与改进工作试点、一体化课程教学试点、现代学徒制试点、企业新型学徒制、“1+X”证书制度试点、第三方职业技能等级认定试点）；或主持国家级专业教学标准的研制工作，主持过2个及以上标准研制的优先考虑。</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6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9.2018年以来有教师主持省级及以上教学改革项目或课题；或获得省级职业教育教师教学创新团队称号；或取得发明专利；或参与“十二五”“十三五”国家规划教材编写。</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10.建立了校级质量年报制度，2018年以来按要求发布学校质量年度报告。</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11.2018年以来年培训人次达到在校生规模。</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遂宁应用高级技工</w:t>
            </w:r>
            <w:r>
              <w:rPr>
                <w:rFonts w:hint="eastAsia" w:ascii="宋体" w:hAnsi="宋体" w:eastAsia="宋体" w:cs="宋体"/>
                <w:snapToGrid w:val="0"/>
                <w:color w:val="000000"/>
                <w:kern w:val="0"/>
                <w:sz w:val="24"/>
                <w:szCs w:val="24"/>
              </w:rPr>
              <w:t>学校</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1.具有独立法人资格</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1.学校为省级及以上示范学校建设单位，或省级示范（特色）专业建设单位，或省级及以上高技能人才培训基地。</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是</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四星</w:t>
            </w: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2.2018年-2020年均列入我省中职招生资格学校年度通告名单中，且年度全日制学历教育在校生人数均在1200人以上。</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2.近两届以第一完成单位获得省级及以上教学成果奖。</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3.专任教师不少于60人</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3.2018年以来学校获得由国家部委认定的称号（如全国职业院校教育教学管理或学生管理50强、乡村振兴人才培养优质校、国家技能人才培育突出贡献单位等）。</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4.校园占地面积不少于40000平方米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学校领导和教师获得以下1项及以上称号：校长牵头名校长鼎兴工作室或进入卓越校长计划，教师牵头名班主任鼎兴工作室，2018年以来教师获得过省级及以上奖励（仅包括教学能力比赛、班主任能力比赛、职业技能大赛获奖），获得省教书育人名师、中小学名校长、中小学名班主任称号，获得近两届四川省特级教师（校长）称号，获批省级及以上技能大师工作室，获得省级及以上技术能手称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56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5.校舍建筑面积不少于24000平方米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5.2018年以来学生获得过教育或人力资源社会保障行政部门主办或联办的省级及以上赛项奖励，获得世界技能大赛或国家级奖励的优先考虑。</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14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6.生均教育经费不低于1.2万元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6.建立了校级竞赛制度，2018年以来承办过省级及以上教育、人力资源社会保障部门举办或协办的大赛；或获批省级及以上职业技能大赛集训基地；或有担任全国技能大赛、全国职业院校技能大赛的裁判员。</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7.牵头组建实体化运行的职业教育集团（联盟），且在“全国职业教育集团化办学统计与公共服务平台”中按要求完成了年度数据填报；或牵头组建实体化运行的技工教育集团（联盟）。</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承担省级及以上教育教学改革试点且成效明显（仅包括教学工作诊断与改进工作试点、一体化课程教学试点、现代学徒制试点、企业新型学徒制、“1+X”证书制度试点、第三方职业技能等级认定试点）；或主持国家级专业教学标准的研制工作，主持过2个及以上标准研制的优先考虑。</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6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9.2018年以来有教师主持省级及以上教学改革项目或课题；或获得省级职业教育教师教学创新团队称号；或取得发明专利；或参与“十二五”“十三五”国家规划教材编写。</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10.建立了校级质量年报制度，2018年以来按要求发布学校质量年度报告。</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 xml:space="preserve">    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11.2018年以来年培训人次达到在校生规模。</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85"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rPr>
              <w:t>.遂宁市船山职业技术学校</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1.具有独立法人资格</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1.学校为省级及以上示范学校建设单位，或省级示范（特色）专业建设单位，或省级及以上高技能人才培训基地。</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是</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三</w:t>
            </w:r>
            <w:r>
              <w:rPr>
                <w:rFonts w:hint="eastAsia" w:ascii="宋体" w:hAnsi="宋体" w:eastAsia="宋体" w:cs="宋体"/>
                <w:snapToGrid w:val="0"/>
                <w:color w:val="000000"/>
                <w:kern w:val="0"/>
                <w:sz w:val="24"/>
                <w:szCs w:val="24"/>
                <w:lang w:val="en-US" w:eastAsia="zh-CN"/>
              </w:rPr>
              <w:t>星</w:t>
            </w: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2.2018年-2020年均列入我省中职招生资格学校年度通告名单中，且年度全日制学历教育在校生人数均在1200人以上。</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2.近两届以第一完成单位获得省级及以上教学成果奖。</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5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3.专任教师不少于60人</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3.2018年以来学校获得由国家部委认定的称号（如全国职业院校教育教学管理或学生管理50强、乡村振兴人才培养优质校、国家技能人才培育突出贡献单位等）。</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4.校园占地面积不少于40000平方米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学校领导和教师获得以下1项及以上称号：校长牵头名校长鼎兴工作室或进入卓越校长计划，教师牵头名班主任鼎兴工作室，2018年以来教师获得过省级及以上奖励（仅包括教学能力比赛、班主任能力比赛、职业技能大赛获奖），获得省教书育人名师、中小学名校长、中小学名班主任称号，获得近两届四川省特级教师（校长）称号，获批省级及以上技能大师工作室，获得省级及以上技术能手称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256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5.校舍建筑面积不少于24000平方米</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5.2018年以来学生获得过教育或人力资源社会保障行政部门主办或联办的省级及以上赛项奖励，获得世界技能大赛或国家级奖励的优先考虑。</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14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6.生均教育经费不低于1.2万元</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是</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6.建立了校级竞赛制度，2018年以来承办过省级及以上教育、人力资源社会保障部门举办或协办的大赛；或获批省级及以上职业技能大赛集训基地；或有担任全国技能大赛、全国职业院校技能大赛的裁判员。</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7.牵头组建实体化运行的职业教育集团（联盟），且在“全国职业教育集团化办学统计与公共服务平台”中按要求完成了年度数据填报；或牵头组建实体化运行的技工教育集团（联盟）。</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否</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2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承担省级及以上教育教学改革试点且成效明显（仅包括教学工作诊断与改进工作试点、一体化课程教学试点、现代学徒制试点、企业新型学徒制、“1+X”证书制度试点、第三方职业技能等级认定试点）；或主持国家级专业教学标准的研制工作，主持过2个及以上标准研制的优先考虑。</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146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9.2018年以来有教师主持省级及以上教学改革项目或课题；或获得省级职业教育教师教学创新团队称号；或取得发明专利；或参与“十二五”“十三五”国家规划教材编写。</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8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10.建立了校级质量年报制度，2018年以来按要求发布学校质量年度报告。</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r>
        <w:tblPrEx>
          <w:tblCellMar>
            <w:top w:w="0" w:type="dxa"/>
            <w:left w:w="108" w:type="dxa"/>
            <w:bottom w:w="0" w:type="dxa"/>
            <w:right w:w="108" w:type="dxa"/>
          </w:tblCellMar>
        </w:tblPrEx>
        <w:trPr>
          <w:gridAfter w:val="1"/>
          <w:wAfter w:w="25" w:type="dxa"/>
          <w:trHeight w:val="570"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11.2018年以来年培训人次达到在校生规模。</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center"/>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rPr>
              <w:t>是</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4"/>
                <w:szCs w:val="24"/>
              </w:rPr>
            </w:pPr>
          </w:p>
        </w:tc>
      </w:tr>
    </w:tbl>
    <w:p>
      <w:pPr>
        <w:wordWrap w:val="0"/>
        <w:spacing w:line="360" w:lineRule="auto"/>
        <w:rPr>
          <w:rFonts w:ascii="Times New Roman" w:hAnsi="Times New Roman" w:cs="Times New Roman"/>
        </w:rPr>
        <w:sectPr>
          <w:footerReference r:id="rId3" w:type="default"/>
          <w:endnotePr>
            <w:numFmt w:val="decimal"/>
          </w:endnotePr>
          <w:pgSz w:w="16838" w:h="11906" w:orient="landscape"/>
          <w:pgMar w:top="1587" w:right="2098" w:bottom="1474" w:left="1984" w:header="0" w:footer="1346" w:gutter="0"/>
          <w:pgNumType w:start="1"/>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jc w:val="center"/>
      <w:textAlignment w:val="baseline"/>
      <w:rPr>
        <w:rFonts w:ascii="Arial" w:hAnsi="Arial" w:eastAsia="Arial" w:cs="Arial"/>
        <w:snapToGrid w:val="0"/>
        <w:color w:val="000000"/>
        <w:sz w:val="18"/>
        <w:szCs w:val="18"/>
      </w:rPr>
    </w:pPr>
    <w:r>
      <w:rPr>
        <w:rFonts w:ascii="Arial" w:hAnsi="Arial" w:eastAsia="Arial" w:cs="Arial"/>
        <w:snapToGrid w:val="0"/>
        <w:color w:val="000000"/>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kinsoku w:val="0"/>
                            <w:autoSpaceDE w:val="0"/>
                            <w:autoSpaceDN w:val="0"/>
                            <w:adjustRightInd w:val="0"/>
                            <w:snapToGrid w:val="0"/>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 xml:space="preserve">— </w:t>
                          </w:r>
                          <w:r>
                            <w:rPr>
                              <w:rFonts w:hint="eastAsia" w:ascii="宋体" w:hAnsi="宋体" w:eastAsia="宋体" w:cs="宋体"/>
                              <w:snapToGrid w:val="0"/>
                              <w:color w:val="000000"/>
                              <w:sz w:val="28"/>
                              <w:szCs w:val="28"/>
                            </w:rPr>
                            <w:fldChar w:fldCharType="begin"/>
                          </w:r>
                          <w:r>
                            <w:rPr>
                              <w:rFonts w:hint="eastAsia" w:ascii="宋体" w:hAnsi="宋体" w:eastAsia="宋体" w:cs="宋体"/>
                              <w:snapToGrid w:val="0"/>
                              <w:color w:val="000000"/>
                              <w:sz w:val="28"/>
                              <w:szCs w:val="28"/>
                            </w:rPr>
                            <w:instrText xml:space="preserve"> PAGE  \* MERGEFORMAT </w:instrText>
                          </w:r>
                          <w:r>
                            <w:rPr>
                              <w:rFonts w:hint="eastAsia" w:ascii="宋体" w:hAnsi="宋体" w:eastAsia="宋体" w:cs="宋体"/>
                              <w:snapToGrid w:val="0"/>
                              <w:color w:val="000000"/>
                              <w:sz w:val="28"/>
                              <w:szCs w:val="28"/>
                            </w:rPr>
                            <w:fldChar w:fldCharType="separate"/>
                          </w: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rPr>
                            <w:fldChar w:fldCharType="end"/>
                          </w:r>
                          <w:r>
                            <w:rPr>
                              <w:rFonts w:hint="eastAsia" w:ascii="宋体" w:hAnsi="宋体" w:eastAsia="宋体" w:cs="宋体"/>
                              <w:snapToGrid w:val="0"/>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tabs>
                        <w:tab w:val="center" w:pos="4153"/>
                        <w:tab w:val="right" w:pos="8306"/>
                      </w:tabs>
                      <w:kinsoku w:val="0"/>
                      <w:autoSpaceDE w:val="0"/>
                      <w:autoSpaceDN w:val="0"/>
                      <w:adjustRightInd w:val="0"/>
                      <w:snapToGrid w:val="0"/>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 xml:space="preserve">— </w:t>
                    </w:r>
                    <w:r>
                      <w:rPr>
                        <w:rFonts w:hint="eastAsia" w:ascii="宋体" w:hAnsi="宋体" w:eastAsia="宋体" w:cs="宋体"/>
                        <w:snapToGrid w:val="0"/>
                        <w:color w:val="000000"/>
                        <w:sz w:val="28"/>
                        <w:szCs w:val="28"/>
                      </w:rPr>
                      <w:fldChar w:fldCharType="begin"/>
                    </w:r>
                    <w:r>
                      <w:rPr>
                        <w:rFonts w:hint="eastAsia" w:ascii="宋体" w:hAnsi="宋体" w:eastAsia="宋体" w:cs="宋体"/>
                        <w:snapToGrid w:val="0"/>
                        <w:color w:val="000000"/>
                        <w:sz w:val="28"/>
                        <w:szCs w:val="28"/>
                      </w:rPr>
                      <w:instrText xml:space="preserve"> PAGE  \* MERGEFORMAT </w:instrText>
                    </w:r>
                    <w:r>
                      <w:rPr>
                        <w:rFonts w:hint="eastAsia" w:ascii="宋体" w:hAnsi="宋体" w:eastAsia="宋体" w:cs="宋体"/>
                        <w:snapToGrid w:val="0"/>
                        <w:color w:val="000000"/>
                        <w:sz w:val="28"/>
                        <w:szCs w:val="28"/>
                      </w:rPr>
                      <w:fldChar w:fldCharType="separate"/>
                    </w:r>
                    <w:r>
                      <w:rPr>
                        <w:rFonts w:hint="eastAsia" w:ascii="宋体" w:hAnsi="宋体" w:eastAsia="宋体" w:cs="宋体"/>
                        <w:snapToGrid w:val="0"/>
                        <w:color w:val="000000"/>
                        <w:sz w:val="28"/>
                        <w:szCs w:val="28"/>
                      </w:rPr>
                      <w:t>1</w:t>
                    </w:r>
                    <w:r>
                      <w:rPr>
                        <w:rFonts w:hint="eastAsia" w:ascii="宋体" w:hAnsi="宋体" w:eastAsia="宋体" w:cs="宋体"/>
                        <w:snapToGrid w:val="0"/>
                        <w:color w:val="000000"/>
                        <w:sz w:val="28"/>
                        <w:szCs w:val="28"/>
                      </w:rPr>
                      <w:fldChar w:fldCharType="end"/>
                    </w:r>
                    <w:r>
                      <w:rPr>
                        <w:rFonts w:hint="eastAsia" w:ascii="宋体" w:hAnsi="宋体" w:eastAsia="宋体" w:cs="宋体"/>
                        <w:snapToGrid w:val="0"/>
                        <w:color w:val="00000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E355E"/>
    <w:rsid w:val="4E6E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2021-10-27T08:22:00Z</dcterms:created>
  <dc:creator>卓卓杨</dc:creator>
  <cp:lastModifiedBy>卓卓杨</cp:lastModifiedBy>
  <dcterms:modified xsi:type="dcterms:W3CDTF">2021-10-27T08:23:22Z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D1CC6303B3484E1F923A4FF1F2E1A56A</vt:lpwstr>
  </property>
</Properties>
</file>