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line="360" w:lineRule="auto"/>
        <w:jc w:val="center"/>
        <w:rPr>
          <w:rFonts w:ascii="Times New Roman" w:hAnsi="Times New Roman" w:eastAsia="仿宋" w:cs="仿宋"/>
          <w:b/>
          <w:bCs/>
          <w:sz w:val="36"/>
          <w:szCs w:val="36"/>
        </w:rPr>
      </w:pPr>
      <w:r>
        <w:rPr>
          <w:rFonts w:hint="eastAsia" w:ascii="Times New Roman" w:hAnsi="Times New Roman" w:eastAsia="仿宋" w:cs="仿宋"/>
          <w:sz w:val="24"/>
          <w:szCs w:val="28"/>
        </w:rPr>
        <w:drawing>
          <wp:anchor distT="0" distB="0" distL="114300" distR="114300" simplePos="0" relativeHeight="251660288" behindDoc="0" locked="0" layoutInCell="1" allowOverlap="1">
            <wp:simplePos x="0" y="0"/>
            <wp:positionH relativeFrom="column">
              <wp:posOffset>-1141095</wp:posOffset>
            </wp:positionH>
            <wp:positionV relativeFrom="paragraph">
              <wp:posOffset>-918210</wp:posOffset>
            </wp:positionV>
            <wp:extent cx="7565390" cy="10697210"/>
            <wp:effectExtent l="0" t="0" r="3810" b="8890"/>
            <wp:wrapNone/>
            <wp:docPr id="40" name="图片 40" descr="C:/Users/HUAWEI/Desktop/封面.jpg封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descr="C:/Users/HUAWEI/Desktop/封面.jpg封面"/>
                    <pic:cNvPicPr>
                      <a:picLocks noChangeAspect="true"/>
                    </pic:cNvPicPr>
                  </pic:nvPicPr>
                  <pic:blipFill>
                    <a:blip r:embed="rId12"/>
                    <a:srcRect t="21" b="21"/>
                    <a:stretch>
                      <a:fillRect/>
                    </a:stretch>
                  </pic:blipFill>
                  <pic:spPr>
                    <a:xfrm>
                      <a:off x="0" y="0"/>
                      <a:ext cx="7565390" cy="10697210"/>
                    </a:xfrm>
                    <a:prstGeom prst="rect">
                      <a:avLst/>
                    </a:prstGeom>
                  </pic:spPr>
                </pic:pic>
              </a:graphicData>
            </a:graphic>
          </wp:anchor>
        </w:drawing>
      </w:r>
      <w:r>
        <w:rPr>
          <w:rFonts w:hint="eastAsia" w:ascii="Times New Roman" w:hAnsi="Times New Roman" w:eastAsia="仿宋" w:cs="仿宋"/>
          <w:sz w:val="24"/>
          <w:szCs w:val="28"/>
        </w:rPr>
        <w:tab/>
      </w:r>
    </w:p>
    <w:p>
      <w:pPr>
        <w:spacing w:before="120" w:line="360" w:lineRule="auto"/>
        <w:jc w:val="center"/>
        <w:rPr>
          <w:rFonts w:ascii="Times New Roman" w:hAnsi="Times New Roman" w:eastAsia="仿宋" w:cs="仿宋"/>
          <w:b/>
          <w:bCs/>
          <w:sz w:val="36"/>
          <w:szCs w:val="36"/>
        </w:rPr>
      </w:pPr>
    </w:p>
    <w:p>
      <w:pPr>
        <w:spacing w:before="120" w:line="360" w:lineRule="auto"/>
        <w:ind w:firstLine="361"/>
        <w:jc w:val="center"/>
        <w:rPr>
          <w:rFonts w:ascii="Times New Roman" w:hAnsi="Times New Roman" w:eastAsia="仿宋" w:cs="仿宋"/>
          <w:b/>
          <w:bCs/>
          <w:sz w:val="36"/>
          <w:szCs w:val="36"/>
        </w:rPr>
      </w:pPr>
    </w:p>
    <w:p>
      <w:pPr>
        <w:widowControl/>
        <w:jc w:val="left"/>
        <w:rPr>
          <w:rFonts w:ascii="Times New Roman" w:hAnsi="Times New Roman" w:eastAsia="仿宋" w:cs="仿宋"/>
          <w:b/>
          <w:bCs/>
          <w:sz w:val="36"/>
          <w:szCs w:val="36"/>
        </w:rPr>
      </w:pPr>
      <w:r>
        <w:rPr>
          <w:rFonts w:ascii="Times New Roman" w:hAnsi="Times New Roman" w:eastAsia="仿宋" w:cs="仿宋"/>
          <w:b/>
          <w:bCs/>
          <w:sz w:val="36"/>
          <w:szCs w:val="36"/>
        </w:rPr>
        <w:br w:type="page"/>
      </w:r>
    </w:p>
    <w:p>
      <w:pPr>
        <w:jc w:val="center"/>
        <w:rPr>
          <w:rFonts w:hint="eastAsia" w:ascii="方正小标宋_GBK" w:hAnsi="Times New Roman" w:eastAsia="方正小标宋_GBK" w:cstheme="majorBidi"/>
          <w:b w:val="0"/>
          <w:bCs/>
          <w:kern w:val="2"/>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default" w:ascii="方正小标宋_GBK" w:hAnsi="Times New Roman" w:eastAsia="方正小标宋_GBK" w:cstheme="majorBidi"/>
          <w:b/>
          <w:bCs w:val="0"/>
          <w:color w:val="CE6B2A"/>
          <w:kern w:val="2"/>
          <w:sz w:val="44"/>
          <w:szCs w:val="44"/>
          <w:lang w:val="en-US" w:eastAsia="zh-CN" w:bidi="ar-SA"/>
        </w:rPr>
      </w:pPr>
      <w:bookmarkStart w:id="0" w:name="_Toc6160"/>
      <w:bookmarkStart w:id="1" w:name="_Toc7917"/>
      <w:bookmarkStart w:id="2" w:name="_Toc16860"/>
      <w:r>
        <w:rPr>
          <w:rFonts w:hint="eastAsia" w:ascii="方正小标宋_GBK" w:hAnsi="Times New Roman" w:eastAsia="方正小标宋_GBK" w:cstheme="majorBidi"/>
          <w:b/>
          <w:bCs w:val="0"/>
          <w:color w:val="CE6B2A"/>
          <w:kern w:val="2"/>
          <w:sz w:val="44"/>
          <w:szCs w:val="44"/>
          <w:lang w:val="en-US" w:eastAsia="zh-CN" w:bidi="ar-SA"/>
        </w:rPr>
        <w:t>年报公开形式及网址</w:t>
      </w:r>
      <w:bookmarkEnd w:id="0"/>
      <w:bookmarkEnd w:id="1"/>
      <w:bookmarkEnd w:id="2"/>
    </w:p>
    <w:p>
      <w:pPr>
        <w:jc w:val="both"/>
        <w:rPr>
          <w:rFonts w:hint="eastAsia"/>
          <w:b/>
          <w:bCs/>
          <w:sz w:val="40"/>
          <w:szCs w:val="36"/>
        </w:rPr>
      </w:pPr>
    </w:p>
    <w:p>
      <w:pPr>
        <w:ind w:firstLine="640" w:firstLineChars="200"/>
        <w:jc w:val="left"/>
        <w:rPr>
          <w:rFonts w:hint="eastAsia" w:ascii="Times New Roman" w:hAnsi="Times New Roman" w:eastAsia="宋体" w:cs="宋体"/>
          <w:sz w:val="32"/>
          <w:szCs w:val="32"/>
          <w:lang w:val="en-US" w:eastAsia="zh-CN"/>
        </w:rPr>
      </w:pPr>
      <w:bookmarkStart w:id="540" w:name="_GoBack"/>
      <w:r>
        <w:rPr>
          <w:rFonts w:hint="eastAsia" w:ascii="Times New Roman" w:hAnsi="Times New Roman" w:eastAsia="宋体" w:cs="宋体"/>
          <w:sz w:val="32"/>
          <w:szCs w:val="32"/>
          <w:lang w:val="en-US" w:eastAsia="zh-CN"/>
        </w:rPr>
        <w:t>遂宁市中等职业教育年度质量报告（2024年度）</w:t>
      </w:r>
      <w:bookmarkEnd w:id="540"/>
      <w:r>
        <w:rPr>
          <w:rFonts w:hint="eastAsia" w:ascii="Times New Roman" w:hAnsi="Times New Roman" w:eastAsia="宋体" w:cs="宋体"/>
          <w:sz w:val="32"/>
          <w:szCs w:val="32"/>
          <w:lang w:val="en-US" w:eastAsia="zh-CN"/>
        </w:rPr>
        <w:t>在</w:t>
      </w:r>
      <w:r>
        <w:rPr>
          <w:rFonts w:hint="eastAsia" w:ascii="Times New Roman" w:hAnsi="Times New Roman" w:eastAsia="宋体" w:cs="宋体"/>
          <w:sz w:val="32"/>
          <w:szCs w:val="32"/>
        </w:rPr>
        <w:t>遂宁市教育</w:t>
      </w:r>
      <w:r>
        <w:rPr>
          <w:rFonts w:hint="eastAsia" w:ascii="Times New Roman" w:hAnsi="Times New Roman" w:eastAsia="宋体" w:cs="宋体"/>
          <w:sz w:val="32"/>
          <w:szCs w:val="32"/>
          <w:lang w:val="en-US" w:eastAsia="zh-CN"/>
        </w:rPr>
        <w:t>局官网发布。</w:t>
      </w:r>
    </w:p>
    <w:p>
      <w:pPr>
        <w:ind w:firstLine="640" w:firstLineChars="200"/>
        <w:jc w:val="left"/>
        <w:rPr>
          <w:rFonts w:hint="eastAsia" w:ascii="Times New Roman" w:hAnsi="Times New Roman" w:eastAsia="宋体" w:cs="宋体"/>
          <w:sz w:val="32"/>
          <w:szCs w:val="32"/>
          <w:highlight w:val="none"/>
          <w:lang w:val="en-US" w:eastAsia="zh-CN"/>
        </w:rPr>
      </w:pPr>
      <w:r>
        <w:rPr>
          <w:rFonts w:hint="eastAsia" w:ascii="Times New Roman" w:hAnsi="Times New Roman" w:eastAsia="宋体" w:cs="宋体"/>
          <w:sz w:val="32"/>
          <w:szCs w:val="32"/>
          <w:highlight w:val="none"/>
          <w:lang w:val="en-US" w:eastAsia="zh-CN"/>
        </w:rPr>
        <w:t>发布网址为：https://sjyj.suining.gov.cn/</w:t>
      </w:r>
    </w:p>
    <w:p>
      <w:pPr>
        <w:ind w:firstLine="560" w:firstLineChars="200"/>
        <w:jc w:val="left"/>
        <w:rPr>
          <w:rFonts w:hint="eastAsia" w:ascii="Times New Roman" w:hAnsi="Times New Roman" w:eastAsia="宋体" w:cs="Times New Roman"/>
          <w:bCs/>
          <w:sz w:val="28"/>
          <w:szCs w:val="28"/>
          <w:lang w:val="en-US" w:eastAsia="zh-CN"/>
        </w:rPr>
      </w:pPr>
    </w:p>
    <w:p>
      <w:pPr>
        <w:ind w:firstLine="560" w:firstLineChars="200"/>
        <w:jc w:val="left"/>
        <w:rPr>
          <w:rFonts w:hint="eastAsia" w:ascii="宋体" w:hAnsi="宋体" w:eastAsia="宋体" w:cs="Times New Roman"/>
          <w:bCs/>
          <w:sz w:val="28"/>
          <w:szCs w:val="28"/>
          <w:lang w:val="en-US" w:eastAsia="zh-CN"/>
        </w:rPr>
      </w:pPr>
    </w:p>
    <w:p>
      <w:pPr>
        <w:pStyle w:val="40"/>
        <w:rPr>
          <w:rFonts w:eastAsia="仿宋_GB2312"/>
          <w:sz w:val="32"/>
          <w:szCs w:val="32"/>
        </w:rPr>
      </w:pPr>
    </w:p>
    <w:p>
      <w:pPr>
        <w:pStyle w:val="40"/>
        <w:rPr>
          <w:rFonts w:eastAsia="仿宋_GB2312"/>
          <w:sz w:val="32"/>
          <w:szCs w:val="32"/>
        </w:rPr>
      </w:pPr>
    </w:p>
    <w:p>
      <w:pPr>
        <w:pStyle w:val="40"/>
        <w:rPr>
          <w:rFonts w:eastAsia="仿宋_GB2312"/>
          <w:sz w:val="32"/>
          <w:szCs w:val="32"/>
        </w:rPr>
      </w:pPr>
    </w:p>
    <w:p>
      <w:pPr>
        <w:pStyle w:val="40"/>
        <w:rPr>
          <w:rFonts w:eastAsia="仿宋_GB2312"/>
          <w:sz w:val="32"/>
          <w:szCs w:val="32"/>
        </w:rPr>
      </w:pPr>
    </w:p>
    <w:p>
      <w:pPr>
        <w:pStyle w:val="40"/>
        <w:rPr>
          <w:rFonts w:eastAsia="仿宋_GB2312"/>
          <w:sz w:val="32"/>
          <w:szCs w:val="32"/>
        </w:rPr>
      </w:pPr>
    </w:p>
    <w:p>
      <w:pPr>
        <w:pStyle w:val="40"/>
        <w:rPr>
          <w:rFonts w:eastAsia="仿宋_GB2312"/>
          <w:sz w:val="32"/>
          <w:szCs w:val="32"/>
        </w:rPr>
      </w:pPr>
    </w:p>
    <w:p>
      <w:pPr>
        <w:pStyle w:val="40"/>
        <w:rPr>
          <w:rFonts w:eastAsia="仿宋_GB2312"/>
          <w:sz w:val="32"/>
          <w:szCs w:val="32"/>
        </w:rPr>
      </w:pPr>
    </w:p>
    <w:p>
      <w:pPr>
        <w:pStyle w:val="40"/>
        <w:rPr>
          <w:rFonts w:eastAsia="仿宋_GB2312"/>
          <w:sz w:val="32"/>
          <w:szCs w:val="32"/>
        </w:rPr>
      </w:pPr>
    </w:p>
    <w:p>
      <w:pPr>
        <w:pStyle w:val="40"/>
        <w:rPr>
          <w:rFonts w:eastAsia="仿宋_GB2312"/>
          <w:sz w:val="32"/>
          <w:szCs w:val="32"/>
        </w:rPr>
      </w:pPr>
    </w:p>
    <w:p>
      <w:pPr>
        <w:pStyle w:val="40"/>
        <w:rPr>
          <w:rFonts w:eastAsia="仿宋_GB2312"/>
          <w:sz w:val="32"/>
          <w:szCs w:val="32"/>
        </w:rPr>
      </w:pPr>
    </w:p>
    <w:p>
      <w:pPr>
        <w:pStyle w:val="40"/>
        <w:rPr>
          <w:rFonts w:eastAsia="仿宋_GB2312"/>
          <w:sz w:val="32"/>
          <w:szCs w:val="32"/>
        </w:rPr>
      </w:pPr>
    </w:p>
    <w:p>
      <w:pPr>
        <w:pStyle w:val="40"/>
        <w:rPr>
          <w:rFonts w:eastAsia="仿宋_GB2312"/>
          <w:sz w:val="32"/>
          <w:szCs w:val="32"/>
        </w:rPr>
      </w:pPr>
    </w:p>
    <w:p>
      <w:pPr>
        <w:pStyle w:val="40"/>
        <w:rPr>
          <w:rFonts w:eastAsia="仿宋_GB2312"/>
          <w:sz w:val="32"/>
          <w:szCs w:val="32"/>
        </w:rPr>
      </w:pPr>
    </w:p>
    <w:p>
      <w:pPr>
        <w:pStyle w:val="40"/>
        <w:rPr>
          <w:rFonts w:eastAsia="仿宋_GB2312"/>
          <w:sz w:val="32"/>
          <w:szCs w:val="32"/>
        </w:rPr>
      </w:pPr>
    </w:p>
    <w:p>
      <w:pPr>
        <w:pStyle w:val="40"/>
        <w:rPr>
          <w:rFonts w:eastAsia="仿宋_GB2312"/>
          <w:sz w:val="32"/>
          <w:szCs w:val="32"/>
        </w:rPr>
      </w:pPr>
    </w:p>
    <w:p>
      <w:pPr>
        <w:pStyle w:val="40"/>
        <w:rPr>
          <w:rFonts w:eastAsia="仿宋_GB2312"/>
          <w:sz w:val="32"/>
          <w:szCs w:val="32"/>
        </w:rPr>
      </w:pPr>
    </w:p>
    <w:p>
      <w:pPr>
        <w:pStyle w:val="40"/>
        <w:rPr>
          <w:rFonts w:eastAsia="仿宋_GB2312"/>
          <w:sz w:val="32"/>
          <w:szCs w:val="32"/>
        </w:rPr>
      </w:pPr>
    </w:p>
    <w:p>
      <w:pPr>
        <w:pStyle w:val="40"/>
        <w:rPr>
          <w:rFonts w:eastAsia="仿宋_GB2312"/>
          <w:sz w:val="32"/>
          <w:szCs w:val="32"/>
        </w:rPr>
      </w:pPr>
    </w:p>
    <w:p>
      <w:pPr>
        <w:pStyle w:val="40"/>
        <w:rPr>
          <w:rFonts w:hint="eastAsia" w:eastAsia="仿宋_GB2312"/>
          <w:sz w:val="32"/>
          <w:szCs w:val="32"/>
          <w:lang w:eastAsia="zh-CN"/>
        </w:rPr>
      </w:pPr>
    </w:p>
    <w:p>
      <w:pPr>
        <w:widowControl/>
        <w:snapToGrid w:val="0"/>
        <w:ind w:firstLine="640" w:firstLineChars="200"/>
        <w:jc w:val="right"/>
        <w:rPr>
          <w:rFonts w:eastAsia="仿宋_GB2312"/>
          <w:sz w:val="32"/>
          <w:szCs w:val="32"/>
        </w:rPr>
      </w:pPr>
      <w:bookmarkStart w:id="3" w:name="_Toc25862"/>
      <w:bookmarkStart w:id="4" w:name="_Toc27005"/>
      <w:bookmarkStart w:id="5" w:name="_Toc15697"/>
      <w:bookmarkStart w:id="6" w:name="_Toc24525"/>
      <w:bookmarkStart w:id="7" w:name="_Toc24937"/>
      <w:bookmarkStart w:id="8" w:name="_Toc23384"/>
      <w:bookmarkStart w:id="9" w:name="_Toc22050"/>
      <w:bookmarkStart w:id="10" w:name="_Toc24850"/>
      <w:bookmarkStart w:id="11" w:name="_Toc18291"/>
      <w:bookmarkStart w:id="12" w:name="_Toc18424"/>
      <w:bookmarkStart w:id="13" w:name="_Toc31054"/>
      <w:bookmarkStart w:id="14" w:name="_Toc2862"/>
      <w:bookmarkStart w:id="15" w:name="_Toc18578"/>
      <w:r>
        <w:rPr>
          <w:rFonts w:hint="eastAsia" w:eastAsia="仿宋_GB2312"/>
          <w:sz w:val="32"/>
          <w:szCs w:val="32"/>
          <w:lang w:eastAsia="zh-CN"/>
        </w:rPr>
        <w:drawing>
          <wp:anchor distT="0" distB="0" distL="114300" distR="114300" simplePos="0" relativeHeight="251663360" behindDoc="0" locked="0" layoutInCell="1" allowOverlap="1">
            <wp:simplePos x="0" y="0"/>
            <wp:positionH relativeFrom="column">
              <wp:posOffset>-443865</wp:posOffset>
            </wp:positionH>
            <wp:positionV relativeFrom="paragraph">
              <wp:posOffset>-121920</wp:posOffset>
            </wp:positionV>
            <wp:extent cx="6162675" cy="8557260"/>
            <wp:effectExtent l="0" t="0" r="9525" b="2540"/>
            <wp:wrapNone/>
            <wp:docPr id="3" name="图片 3" descr="C:/Users/HUAWEI/Desktop/内容真实性声明.jpg内容真实性声明"/>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C:/Users/HUAWEI/Desktop/内容真实性声明.jpg内容真实性声明"/>
                    <pic:cNvPicPr>
                      <a:picLocks noChangeAspect="true"/>
                    </pic:cNvPicPr>
                  </pic:nvPicPr>
                  <pic:blipFill>
                    <a:blip r:embed="rId13"/>
                    <a:srcRect t="217" b="217"/>
                    <a:stretch>
                      <a:fillRect/>
                    </a:stretch>
                  </pic:blipFill>
                  <pic:spPr>
                    <a:xfrm>
                      <a:off x="0" y="0"/>
                      <a:ext cx="6162675" cy="8557260"/>
                    </a:xfrm>
                    <a:prstGeom prst="rect">
                      <a:avLst/>
                    </a:prstGeom>
                  </pic:spPr>
                </pic:pic>
              </a:graphicData>
            </a:graphic>
          </wp:anchor>
        </w:drawing>
      </w:r>
    </w:p>
    <w:p>
      <w:pPr>
        <w:widowControl/>
        <w:snapToGrid w:val="0"/>
        <w:ind w:firstLine="640" w:firstLineChars="200"/>
        <w:jc w:val="right"/>
        <w:rPr>
          <w:rFonts w:eastAsia="仿宋_GB2312"/>
          <w:sz w:val="32"/>
          <w:szCs w:val="32"/>
        </w:rPr>
      </w:pPr>
    </w:p>
    <w:p>
      <w:pPr>
        <w:widowControl/>
        <w:snapToGrid w:val="0"/>
        <w:ind w:firstLine="640" w:firstLineChars="200"/>
        <w:jc w:val="right"/>
        <w:rPr>
          <w:rFonts w:eastAsia="仿宋_GB2312"/>
          <w:sz w:val="32"/>
          <w:szCs w:val="32"/>
        </w:rPr>
      </w:pPr>
    </w:p>
    <w:p>
      <w:pPr>
        <w:widowControl/>
        <w:snapToGrid w:val="0"/>
        <w:ind w:firstLine="640" w:firstLineChars="200"/>
        <w:jc w:val="right"/>
        <w:rPr>
          <w:rFonts w:eastAsia="仿宋_GB2312"/>
          <w:sz w:val="32"/>
          <w:szCs w:val="32"/>
        </w:rPr>
      </w:pPr>
    </w:p>
    <w:p>
      <w:pPr>
        <w:widowControl/>
        <w:snapToGrid w:val="0"/>
        <w:ind w:firstLine="640" w:firstLineChars="200"/>
        <w:jc w:val="right"/>
        <w:rPr>
          <w:rFonts w:eastAsia="仿宋_GB2312"/>
          <w:sz w:val="32"/>
          <w:szCs w:val="32"/>
        </w:rPr>
      </w:pPr>
    </w:p>
    <w:p>
      <w:pPr>
        <w:widowControl/>
        <w:snapToGrid w:val="0"/>
        <w:ind w:firstLine="640" w:firstLineChars="200"/>
        <w:jc w:val="right"/>
        <w:rPr>
          <w:rFonts w:eastAsia="仿宋_GB2312"/>
          <w:sz w:val="32"/>
          <w:szCs w:val="32"/>
        </w:rPr>
      </w:pPr>
    </w:p>
    <w:p>
      <w:pPr>
        <w:widowControl/>
        <w:snapToGrid w:val="0"/>
        <w:ind w:firstLine="640" w:firstLineChars="200"/>
        <w:jc w:val="right"/>
        <w:rPr>
          <w:rFonts w:eastAsia="仿宋_GB2312"/>
          <w:sz w:val="32"/>
          <w:szCs w:val="32"/>
        </w:rPr>
      </w:pPr>
    </w:p>
    <w:p>
      <w:pPr>
        <w:widowControl/>
        <w:snapToGrid w:val="0"/>
        <w:ind w:firstLine="640" w:firstLineChars="200"/>
        <w:jc w:val="right"/>
        <w:rPr>
          <w:rFonts w:eastAsia="仿宋_GB2312"/>
          <w:sz w:val="32"/>
          <w:szCs w:val="32"/>
        </w:rPr>
      </w:pPr>
    </w:p>
    <w:p>
      <w:pPr>
        <w:widowControl/>
        <w:snapToGrid w:val="0"/>
        <w:ind w:firstLine="640" w:firstLineChars="200"/>
        <w:jc w:val="right"/>
        <w:rPr>
          <w:rFonts w:eastAsia="仿宋_GB2312"/>
          <w:sz w:val="32"/>
          <w:szCs w:val="32"/>
        </w:rPr>
      </w:pPr>
    </w:p>
    <w:p>
      <w:pPr>
        <w:widowControl/>
        <w:snapToGrid w:val="0"/>
        <w:ind w:firstLine="640" w:firstLineChars="200"/>
        <w:jc w:val="right"/>
        <w:rPr>
          <w:rFonts w:eastAsia="仿宋_GB2312"/>
          <w:sz w:val="32"/>
          <w:szCs w:val="32"/>
        </w:rPr>
      </w:pPr>
    </w:p>
    <w:p>
      <w:pPr>
        <w:widowControl/>
        <w:snapToGrid w:val="0"/>
        <w:ind w:firstLine="640" w:firstLineChars="200"/>
        <w:jc w:val="right"/>
        <w:rPr>
          <w:rFonts w:eastAsia="仿宋_GB2312"/>
          <w:sz w:val="32"/>
          <w:szCs w:val="32"/>
        </w:rPr>
      </w:pPr>
    </w:p>
    <w:p>
      <w:pPr>
        <w:widowControl/>
        <w:snapToGrid w:val="0"/>
        <w:ind w:firstLine="640" w:firstLineChars="200"/>
        <w:jc w:val="right"/>
        <w:rPr>
          <w:rFonts w:eastAsia="仿宋_GB2312"/>
          <w:sz w:val="32"/>
          <w:szCs w:val="32"/>
        </w:rPr>
      </w:pPr>
    </w:p>
    <w:p>
      <w:pPr>
        <w:widowControl/>
        <w:snapToGrid w:val="0"/>
        <w:ind w:firstLine="640" w:firstLineChars="200"/>
        <w:jc w:val="right"/>
        <w:rPr>
          <w:rFonts w:eastAsia="仿宋_GB2312"/>
          <w:sz w:val="32"/>
          <w:szCs w:val="32"/>
        </w:rPr>
      </w:pPr>
    </w:p>
    <w:p>
      <w:pPr>
        <w:widowControl/>
        <w:snapToGrid w:val="0"/>
        <w:ind w:firstLine="640" w:firstLineChars="200"/>
        <w:jc w:val="right"/>
        <w:rPr>
          <w:rFonts w:eastAsia="仿宋_GB2312"/>
          <w:sz w:val="32"/>
          <w:szCs w:val="32"/>
        </w:rPr>
      </w:pPr>
    </w:p>
    <w:p>
      <w:pPr>
        <w:widowControl/>
        <w:snapToGrid w:val="0"/>
        <w:ind w:firstLine="640" w:firstLineChars="200"/>
        <w:jc w:val="right"/>
        <w:rPr>
          <w:rFonts w:eastAsia="仿宋_GB2312"/>
          <w:sz w:val="32"/>
          <w:szCs w:val="32"/>
        </w:rPr>
      </w:pPr>
    </w:p>
    <w:p>
      <w:pPr>
        <w:widowControl/>
        <w:snapToGrid w:val="0"/>
        <w:ind w:firstLine="640" w:firstLineChars="200"/>
        <w:jc w:val="right"/>
        <w:rPr>
          <w:rFonts w:eastAsia="仿宋_GB2312"/>
          <w:sz w:val="32"/>
          <w:szCs w:val="32"/>
        </w:rPr>
      </w:pPr>
    </w:p>
    <w:p>
      <w:pPr>
        <w:widowControl/>
        <w:snapToGrid w:val="0"/>
        <w:ind w:firstLine="640" w:firstLineChars="200"/>
        <w:jc w:val="right"/>
        <w:rPr>
          <w:rFonts w:eastAsia="仿宋_GB2312"/>
          <w:sz w:val="32"/>
          <w:szCs w:val="32"/>
        </w:rPr>
      </w:pPr>
    </w:p>
    <w:p>
      <w:pPr>
        <w:widowControl/>
        <w:snapToGrid w:val="0"/>
        <w:ind w:firstLine="640" w:firstLineChars="200"/>
        <w:jc w:val="right"/>
        <w:rPr>
          <w:rFonts w:eastAsia="仿宋_GB2312"/>
          <w:sz w:val="32"/>
          <w:szCs w:val="32"/>
        </w:rPr>
      </w:pPr>
    </w:p>
    <w:p>
      <w:pPr>
        <w:pageBreakBefore w:val="0"/>
        <w:kinsoku/>
        <w:wordWrap/>
        <w:overflowPunct/>
        <w:topLinePunct w:val="0"/>
        <w:autoSpaceDE/>
        <w:autoSpaceDN/>
        <w:bidi w:val="0"/>
        <w:adjustRightInd/>
        <w:textAlignment w:val="auto"/>
        <w:outlineLvl w:val="9"/>
        <w:rPr>
          <w:rFonts w:eastAsia="仿宋_GB2312"/>
          <w:sz w:val="32"/>
          <w:szCs w:val="32"/>
        </w:rPr>
      </w:pPr>
    </w:p>
    <w:p>
      <w:pPr>
        <w:pageBreakBefore w:val="0"/>
        <w:kinsoku/>
        <w:wordWrap/>
        <w:overflowPunct/>
        <w:topLinePunct w:val="0"/>
        <w:autoSpaceDE/>
        <w:autoSpaceDN/>
        <w:bidi w:val="0"/>
        <w:adjustRightInd/>
        <w:textAlignment w:val="auto"/>
        <w:outlineLvl w:val="9"/>
        <w:rPr>
          <w:rFonts w:eastAsia="仿宋_GB2312"/>
          <w:sz w:val="32"/>
          <w:szCs w:val="32"/>
        </w:rPr>
      </w:pPr>
    </w:p>
    <w:p>
      <w:pPr>
        <w:pageBreakBefore w:val="0"/>
        <w:kinsoku/>
        <w:wordWrap/>
        <w:overflowPunct/>
        <w:topLinePunct w:val="0"/>
        <w:autoSpaceDE/>
        <w:autoSpaceDN/>
        <w:bidi w:val="0"/>
        <w:adjustRightInd/>
        <w:textAlignment w:val="auto"/>
        <w:outlineLvl w:val="9"/>
      </w:pPr>
    </w:p>
    <w:p>
      <w:pPr>
        <w:pageBreakBefore w:val="0"/>
        <w:widowControl/>
        <w:kinsoku/>
        <w:wordWrap/>
        <w:overflowPunct/>
        <w:topLinePunct w:val="0"/>
        <w:autoSpaceDE/>
        <w:autoSpaceDN/>
        <w:bidi w:val="0"/>
        <w:adjustRightInd/>
        <w:snapToGrid w:val="0"/>
        <w:ind w:firstLine="640" w:firstLineChars="200"/>
        <w:jc w:val="right"/>
        <w:textAlignment w:val="auto"/>
        <w:outlineLvl w:val="9"/>
        <w:rPr>
          <w:rFonts w:eastAsia="仿宋_GB2312"/>
          <w:sz w:val="32"/>
          <w:szCs w:val="32"/>
        </w:rPr>
      </w:pPr>
    </w:p>
    <w:p>
      <w:pPr>
        <w:pageBreakBefore w:val="0"/>
        <w:widowControl/>
        <w:kinsoku/>
        <w:wordWrap/>
        <w:overflowPunct/>
        <w:topLinePunct w:val="0"/>
        <w:autoSpaceDE/>
        <w:autoSpaceDN/>
        <w:bidi w:val="0"/>
        <w:adjustRightInd/>
        <w:snapToGrid w:val="0"/>
        <w:ind w:firstLine="640" w:firstLineChars="200"/>
        <w:jc w:val="right"/>
        <w:textAlignment w:val="auto"/>
        <w:outlineLvl w:val="9"/>
        <w:rPr>
          <w:rFonts w:eastAsia="仿宋_GB2312"/>
          <w:sz w:val="32"/>
          <w:szCs w:val="32"/>
        </w:rPr>
      </w:pPr>
    </w:p>
    <w:p>
      <w:pPr>
        <w:pageBreakBefore w:val="0"/>
        <w:widowControl/>
        <w:kinsoku/>
        <w:wordWrap/>
        <w:overflowPunct/>
        <w:topLinePunct w:val="0"/>
        <w:autoSpaceDE/>
        <w:autoSpaceDN/>
        <w:bidi w:val="0"/>
        <w:adjustRightInd/>
        <w:snapToGrid w:val="0"/>
        <w:ind w:firstLine="640" w:firstLineChars="200"/>
        <w:jc w:val="right"/>
        <w:textAlignment w:val="auto"/>
        <w:outlineLvl w:val="9"/>
        <w:rPr>
          <w:rFonts w:eastAsia="仿宋_GB2312"/>
          <w:sz w:val="32"/>
          <w:szCs w:val="32"/>
        </w:rPr>
      </w:pPr>
    </w:p>
    <w:p>
      <w:pPr>
        <w:pageBreakBefore w:val="0"/>
        <w:widowControl/>
        <w:kinsoku/>
        <w:wordWrap/>
        <w:overflowPunct/>
        <w:topLinePunct w:val="0"/>
        <w:autoSpaceDE/>
        <w:autoSpaceDN/>
        <w:bidi w:val="0"/>
        <w:adjustRightInd/>
        <w:snapToGrid w:val="0"/>
        <w:ind w:firstLine="640" w:firstLineChars="200"/>
        <w:jc w:val="right"/>
        <w:textAlignment w:val="auto"/>
        <w:outlineLvl w:val="9"/>
        <w:rPr>
          <w:rFonts w:eastAsia="仿宋_GB2312"/>
          <w:sz w:val="32"/>
          <w:szCs w:val="32"/>
        </w:rPr>
      </w:pPr>
    </w:p>
    <w:p>
      <w:pPr>
        <w:pageBreakBefore w:val="0"/>
        <w:widowControl/>
        <w:kinsoku/>
        <w:wordWrap/>
        <w:overflowPunct/>
        <w:topLinePunct w:val="0"/>
        <w:autoSpaceDE/>
        <w:autoSpaceDN/>
        <w:bidi w:val="0"/>
        <w:adjustRightInd/>
        <w:snapToGrid w:val="0"/>
        <w:ind w:firstLine="640" w:firstLineChars="200"/>
        <w:jc w:val="right"/>
        <w:textAlignment w:val="auto"/>
        <w:outlineLvl w:val="9"/>
        <w:rPr>
          <w:rFonts w:eastAsia="仿宋_GB2312"/>
          <w:sz w:val="32"/>
          <w:szCs w:val="32"/>
        </w:rPr>
      </w:pPr>
    </w:p>
    <w:p>
      <w:pPr>
        <w:pageBreakBefore w:val="0"/>
        <w:widowControl/>
        <w:kinsoku/>
        <w:wordWrap/>
        <w:overflowPunct/>
        <w:topLinePunct w:val="0"/>
        <w:autoSpaceDE/>
        <w:autoSpaceDN/>
        <w:bidi w:val="0"/>
        <w:adjustRightInd/>
        <w:snapToGrid w:val="0"/>
        <w:ind w:firstLine="640" w:firstLineChars="200"/>
        <w:jc w:val="right"/>
        <w:textAlignment w:val="auto"/>
        <w:outlineLvl w:val="9"/>
        <w:rPr>
          <w:rFonts w:eastAsia="仿宋_GB2312"/>
          <w:sz w:val="32"/>
          <w:szCs w:val="32"/>
        </w:rPr>
      </w:pPr>
    </w:p>
    <w:p>
      <w:pPr>
        <w:pageBreakBefore w:val="0"/>
        <w:widowControl/>
        <w:kinsoku/>
        <w:wordWrap/>
        <w:overflowPunct/>
        <w:topLinePunct w:val="0"/>
        <w:autoSpaceDE/>
        <w:autoSpaceDN/>
        <w:bidi w:val="0"/>
        <w:adjustRightInd/>
        <w:snapToGrid w:val="0"/>
        <w:ind w:firstLine="640" w:firstLineChars="200"/>
        <w:jc w:val="right"/>
        <w:textAlignment w:val="auto"/>
        <w:outlineLvl w:val="9"/>
        <w:rPr>
          <w:rFonts w:eastAsia="仿宋_GB2312"/>
          <w:sz w:val="32"/>
          <w:szCs w:val="32"/>
        </w:rPr>
      </w:pPr>
    </w:p>
    <w:p>
      <w:pPr>
        <w:pageBreakBefore w:val="0"/>
        <w:widowControl/>
        <w:kinsoku/>
        <w:wordWrap/>
        <w:overflowPunct/>
        <w:topLinePunct w:val="0"/>
        <w:autoSpaceDE/>
        <w:autoSpaceDN/>
        <w:bidi w:val="0"/>
        <w:adjustRightInd/>
        <w:snapToGrid w:val="0"/>
        <w:ind w:firstLine="640" w:firstLineChars="200"/>
        <w:jc w:val="right"/>
        <w:textAlignment w:val="auto"/>
        <w:outlineLvl w:val="9"/>
        <w:rPr>
          <w:rFonts w:eastAsia="仿宋_GB2312"/>
          <w:sz w:val="32"/>
          <w:szCs w:val="32"/>
        </w:rPr>
      </w:pPr>
    </w:p>
    <w:p>
      <w:pPr>
        <w:widowControl/>
        <w:snapToGrid w:val="0"/>
        <w:ind w:firstLine="640" w:firstLineChars="200"/>
        <w:jc w:val="right"/>
        <w:rPr>
          <w:rFonts w:eastAsia="仿宋_GB2312"/>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ascii="方正小标宋简体" w:eastAsia="方正小标宋简体" w:cs="方正小标宋简体"/>
          <w:color w:val="CE6B2A"/>
          <w:sz w:val="36"/>
          <w:szCs w:val="36"/>
          <w14:shadow w14:blurRad="38100" w14:dist="25400" w14:dir="5400000" w14:sx="100000" w14:sy="100000" w14:algn="ctr">
            <w14:srgbClr w14:val="6E747A">
              <w14:alpha w14:val="57000"/>
            </w14:srgbClr>
          </w14:shadow>
          <w14:reflection w14:stA="0" w14:endPos="0" w14:dir="5400000" w14:fadeDir="5400000" w14:sx="100000" w14:sy="-100000" w14:algn="bl"/>
        </w:rPr>
      </w:pPr>
      <w:bookmarkStart w:id="16" w:name="_Toc9177"/>
      <w:bookmarkStart w:id="17" w:name="_Toc15974"/>
      <w:r>
        <w:rPr>
          <w:rFonts w:hint="eastAsia" w:ascii="方正小标宋简体" w:eastAsia="方正小标宋简体" w:cs="方正小标宋简体"/>
          <w:b w:val="0"/>
          <w:bCs w:val="0"/>
          <w:color w:val="CE6B2A"/>
          <w:sz w:val="40"/>
          <w:szCs w:val="40"/>
          <w14:shadow w14:blurRad="38100" w14:dist="25400" w14:dir="5400000" w14:sx="100000" w14:sy="100000" w14:algn="ctr">
            <w14:srgbClr w14:val="6E747A">
              <w14:alpha w14:val="57000"/>
            </w14:srgbClr>
          </w14:shadow>
          <w14:reflection w14:stA="0" w14:endPos="0" w14:dir="5400000" w14:fadeDir="5400000" w14:sx="100000" w14:sy="-100000" w14:algn="bl"/>
        </w:rPr>
        <w:t>编委名单</w:t>
      </w:r>
      <w:bookmarkEnd w:id="16"/>
      <w:bookmarkEnd w:id="17"/>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b/>
          <w:bCs/>
          <w:color w:val="CE6B2A"/>
          <w:sz w:val="32"/>
          <w:szCs w:val="32"/>
          <w:u w:val="none" w:color="0070C0"/>
        </w:rPr>
      </w:pPr>
      <w:r>
        <w:rPr>
          <w:rFonts w:hint="eastAsia" w:ascii="宋体" w:hAnsi="宋体" w:eastAsia="宋体" w:cs="宋体"/>
          <w:b/>
          <w:bCs/>
          <w:color w:val="CE6B2A"/>
          <w:sz w:val="32"/>
          <w:u w:color="0070C0"/>
        </w:rPr>
        <mc:AlternateContent>
          <mc:Choice Requires="wps">
            <w:drawing>
              <wp:anchor distT="0" distB="0" distL="114300" distR="114300" simplePos="0" relativeHeight="251662336" behindDoc="0" locked="0" layoutInCell="1" allowOverlap="1">
                <wp:simplePos x="0" y="0"/>
                <wp:positionH relativeFrom="column">
                  <wp:posOffset>5080</wp:posOffset>
                </wp:positionH>
                <wp:positionV relativeFrom="paragraph">
                  <wp:posOffset>370840</wp:posOffset>
                </wp:positionV>
                <wp:extent cx="1656080" cy="8255"/>
                <wp:effectExtent l="0" t="4445" r="7620" b="6350"/>
                <wp:wrapNone/>
                <wp:docPr id="43" name="直接连接符 43"/>
                <wp:cNvGraphicFramePr/>
                <a:graphic xmlns:a="http://schemas.openxmlformats.org/drawingml/2006/main">
                  <a:graphicData uri="http://schemas.microsoft.com/office/word/2010/wordprocessingShape">
                    <wps:wsp>
                      <wps:cNvCnPr/>
                      <wps:spPr>
                        <a:xfrm flipV="true">
                          <a:off x="1172845" y="2069465"/>
                          <a:ext cx="1656080" cy="8255"/>
                        </a:xfrm>
                        <a:prstGeom prst="line">
                          <a:avLst/>
                        </a:prstGeom>
                        <a:ln>
                          <a:solidFill>
                            <a:srgbClr val="CE6B2A"/>
                          </a:solidFill>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id="_x0000_s1026" o:spid="_x0000_s1026" o:spt="20" style="position:absolute;left:0pt;flip:y;margin-left:0.4pt;margin-top:29.2pt;height:0.65pt;width:130.4pt;z-index:251662336;mso-width-relative:page;mso-height-relative:page;" filled="f" stroked="t" coordsize="21600,21600" o:gfxdata="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EyRUi9UAAAAGAQAADwAAAAAAAAABACAAAAA4AAAAZHJzL2Rvd25yZXYu&#10;eG1sUEsBAhQAFAAAAAgAh07iQLmF8HLoAQAAgQMAAA4AAAAAAAAAAQAgAAAAOgEAAGRycy9lMm9E&#10;b2MueG1sUEsFBgAAAAAGAAYAWQEAAJQFAAAAAA==&#10;">
                <v:fill on="f" focussize="0,0"/>
                <v:stroke weight="0.5pt" color="#CE6B2A [3208]" miterlimit="8" joinstyle="miter"/>
                <v:imagedata o:title=""/>
                <o:lock v:ext="edit" aspectratio="f"/>
              </v:line>
            </w:pict>
          </mc:Fallback>
        </mc:AlternateContent>
      </w:r>
      <w:r>
        <w:rPr>
          <w:rFonts w:hint="eastAsia" w:ascii="宋体" w:hAnsi="宋体" w:eastAsia="宋体" w:cs="宋体"/>
          <w:b/>
          <w:bCs/>
          <w:color w:val="CE6B2A"/>
          <w:spacing w:val="64"/>
          <w:kern w:val="0"/>
          <w:sz w:val="32"/>
          <w:u w:color="0070C0"/>
          <w:fitText w:val="2560" w:id="1505374490"/>
          <w:lang w:val="en-US" w:eastAsia="zh-CN"/>
        </w:rPr>
        <w:t>遂宁</w:t>
      </w:r>
      <w:r>
        <w:rPr>
          <w:rFonts w:hint="eastAsia" w:ascii="宋体" w:hAnsi="宋体" w:eastAsia="宋体" w:cs="宋体"/>
          <w:b/>
          <w:bCs/>
          <w:color w:val="CE6B2A"/>
          <w:spacing w:val="64"/>
          <w:kern w:val="0"/>
          <w:sz w:val="32"/>
          <w:szCs w:val="32"/>
          <w:u w:val="none" w:color="0070C0"/>
          <w:fitText w:val="2560" w:id="1505374490"/>
        </w:rPr>
        <w:t>市教育</w:t>
      </w:r>
      <w:r>
        <w:rPr>
          <w:rFonts w:hint="eastAsia" w:ascii="宋体" w:hAnsi="宋体" w:eastAsia="宋体" w:cs="宋体"/>
          <w:b/>
          <w:bCs/>
          <w:color w:val="CE6B2A"/>
          <w:spacing w:val="0"/>
          <w:kern w:val="0"/>
          <w:sz w:val="32"/>
          <w:szCs w:val="32"/>
          <w:u w:val="none" w:color="0070C0"/>
          <w:fitText w:val="2560" w:id="1505374490"/>
        </w:rPr>
        <w:t>局</w:t>
      </w:r>
    </w:p>
    <w:p>
      <w:pPr>
        <w:keepNext w:val="0"/>
        <w:keepLines w:val="0"/>
        <w:pageBreakBefore w:val="0"/>
        <w:widowControl w:val="0"/>
        <w:kinsoku/>
        <w:wordWrap/>
        <w:overflowPunct/>
        <w:topLinePunct w:val="0"/>
        <w:autoSpaceDE/>
        <w:autoSpaceDN/>
        <w:bidi w:val="0"/>
        <w:adjustRightInd/>
        <w:snapToGrid/>
        <w:spacing w:before="240" w:line="560" w:lineRule="exact"/>
        <w:jc w:val="both"/>
        <w:textAlignment w:val="auto"/>
        <w:rPr>
          <w:rFonts w:hint="eastAsia" w:ascii="宋体" w:hAnsi="宋体" w:eastAsia="宋体" w:cs="宋体"/>
          <w:b w:val="0"/>
          <w:bCs w:val="0"/>
          <w:sz w:val="28"/>
          <w:szCs w:val="28"/>
          <w:highlight w:val="none"/>
          <w:lang w:eastAsia="zh-CN"/>
        </w:rPr>
      </w:pPr>
      <w:r>
        <w:rPr>
          <w:rFonts w:hint="eastAsia" w:ascii="宋体" w:hAnsi="宋体" w:eastAsia="宋体" w:cs="宋体"/>
          <w:b w:val="0"/>
          <w:bCs w:val="0"/>
          <w:sz w:val="28"/>
          <w:szCs w:val="28"/>
          <w:highlight w:val="none"/>
        </w:rPr>
        <w:t>项目负责人：</w:t>
      </w:r>
      <w:r>
        <w:rPr>
          <w:rFonts w:hint="eastAsia" w:ascii="宋体" w:hAnsi="宋体" w:eastAsia="宋体" w:cs="宋体"/>
          <w:b w:val="0"/>
          <w:bCs w:val="0"/>
          <w:sz w:val="28"/>
          <w:szCs w:val="28"/>
          <w:highlight w:val="none"/>
          <w:lang w:eastAsia="zh-CN"/>
        </w:rPr>
        <w:t>王</w:t>
      </w:r>
      <w:r>
        <w:rPr>
          <w:rFonts w:hint="eastAsia" w:ascii="宋体" w:hAnsi="宋体" w:eastAsia="宋体" w:cs="宋体"/>
          <w:b w:val="0"/>
          <w:bCs w:val="0"/>
          <w:sz w:val="28"/>
          <w:szCs w:val="28"/>
          <w:highlight w:val="none"/>
          <w:lang w:val="en-US" w:eastAsia="zh-CN"/>
        </w:rPr>
        <w:t xml:space="preserve">  </w:t>
      </w:r>
      <w:r>
        <w:rPr>
          <w:rFonts w:hint="eastAsia" w:ascii="宋体" w:hAnsi="宋体" w:eastAsia="宋体" w:cs="宋体"/>
          <w:b w:val="0"/>
          <w:bCs w:val="0"/>
          <w:sz w:val="28"/>
          <w:szCs w:val="28"/>
          <w:highlight w:val="none"/>
          <w:lang w:eastAsia="zh-CN"/>
        </w:rPr>
        <w:t>松</w:t>
      </w:r>
    </w:p>
    <w:p>
      <w:pPr>
        <w:keepNext w:val="0"/>
        <w:keepLines w:val="0"/>
        <w:pageBreakBefore w:val="0"/>
        <w:widowControl w:val="0"/>
        <w:kinsoku/>
        <w:wordWrap/>
        <w:overflowPunct/>
        <w:topLinePunct w:val="0"/>
        <w:autoSpaceDE/>
        <w:autoSpaceDN/>
        <w:bidi w:val="0"/>
        <w:adjustRightInd/>
        <w:snapToGrid/>
        <w:spacing w:before="240" w:line="560" w:lineRule="exact"/>
        <w:textAlignment w:val="auto"/>
        <w:rPr>
          <w:rFonts w:hint="eastAsia" w:ascii="宋体" w:hAnsi="宋体" w:eastAsia="宋体" w:cs="宋体"/>
          <w:b w:val="0"/>
          <w:bCs w:val="0"/>
          <w:color w:val="auto"/>
          <w:sz w:val="28"/>
          <w:szCs w:val="28"/>
          <w:highlight w:val="none"/>
          <w:lang w:eastAsia="zh-CN"/>
        </w:rPr>
      </w:pPr>
      <w:r>
        <w:rPr>
          <w:rFonts w:hint="eastAsia" w:ascii="宋体" w:hAnsi="宋体" w:eastAsia="宋体" w:cs="宋体"/>
          <w:b w:val="0"/>
          <w:bCs w:val="0"/>
          <w:color w:val="auto"/>
          <w:sz w:val="28"/>
          <w:szCs w:val="28"/>
          <w:highlight w:val="none"/>
        </w:rPr>
        <w:t>主      编：</w:t>
      </w:r>
      <w:r>
        <w:rPr>
          <w:rFonts w:hint="eastAsia" w:ascii="宋体" w:hAnsi="宋体" w:eastAsia="宋体" w:cs="宋体"/>
          <w:b w:val="0"/>
          <w:bCs w:val="0"/>
          <w:color w:val="auto"/>
          <w:sz w:val="28"/>
          <w:szCs w:val="28"/>
          <w:highlight w:val="none"/>
          <w:lang w:eastAsia="zh-CN"/>
        </w:rPr>
        <w:t>石安清</w:t>
      </w:r>
    </w:p>
    <w:p>
      <w:pPr>
        <w:keepNext w:val="0"/>
        <w:keepLines w:val="0"/>
        <w:pageBreakBefore w:val="0"/>
        <w:widowControl w:val="0"/>
        <w:kinsoku/>
        <w:wordWrap/>
        <w:overflowPunct/>
        <w:topLinePunct w:val="0"/>
        <w:autoSpaceDE/>
        <w:autoSpaceDN/>
        <w:bidi w:val="0"/>
        <w:adjustRightInd/>
        <w:snapToGrid/>
        <w:spacing w:before="240" w:line="560" w:lineRule="exact"/>
        <w:textAlignment w:val="auto"/>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t>审      稿：林世友</w:t>
      </w:r>
      <w:bookmarkStart w:id="18" w:name="_Toc16302"/>
      <w:bookmarkStart w:id="19" w:name="_Toc17833"/>
      <w:bookmarkStart w:id="20" w:name="_Toc29876"/>
      <w:bookmarkStart w:id="21" w:name="_Toc28734"/>
      <w:bookmarkStart w:id="22" w:name="_Toc13715"/>
      <w:bookmarkStart w:id="23" w:name="_Toc19077"/>
      <w:bookmarkStart w:id="24" w:name="_Toc7498"/>
      <w:r>
        <w:rPr>
          <w:rFonts w:hint="eastAsia" w:ascii="宋体" w:hAnsi="宋体" w:eastAsia="宋体" w:cs="宋体"/>
          <w:b w:val="0"/>
          <w:bCs w:val="0"/>
          <w:color w:val="auto"/>
          <w:sz w:val="28"/>
          <w:szCs w:val="28"/>
          <w:highlight w:val="none"/>
          <w:lang w:val="en-US" w:eastAsia="zh-CN"/>
        </w:rPr>
        <w:t xml:space="preserve">   </w:t>
      </w:r>
      <w:r>
        <w:rPr>
          <w:rFonts w:hint="eastAsia" w:ascii="宋体" w:hAnsi="宋体" w:eastAsia="宋体" w:cs="宋体"/>
          <w:b w:val="0"/>
          <w:bCs w:val="0"/>
          <w:spacing w:val="2"/>
          <w:kern w:val="0"/>
          <w:sz w:val="28"/>
          <w:szCs w:val="28"/>
          <w:highlight w:val="none"/>
        </w:rPr>
        <w:t>朱  琳</w:t>
      </w:r>
    </w:p>
    <w:p>
      <w:pPr>
        <w:keepNext w:val="0"/>
        <w:keepLines w:val="0"/>
        <w:pageBreakBefore w:val="0"/>
        <w:widowControl w:val="0"/>
        <w:kinsoku/>
        <w:wordWrap/>
        <w:overflowPunct/>
        <w:topLinePunct w:val="0"/>
        <w:autoSpaceDE/>
        <w:autoSpaceDN/>
        <w:bidi w:val="0"/>
        <w:adjustRightInd/>
        <w:snapToGrid/>
        <w:spacing w:before="240" w:line="560" w:lineRule="exact"/>
        <w:textAlignment w:val="auto"/>
        <w:rPr>
          <w:rFonts w:hint="eastAsia" w:ascii="宋体" w:hAnsi="宋体" w:eastAsia="宋体" w:cs="宋体"/>
          <w:b w:val="0"/>
          <w:bCs w:val="0"/>
          <w:sz w:val="28"/>
          <w:szCs w:val="28"/>
          <w:highlight w:val="none"/>
        </w:rPr>
      </w:pPr>
      <w:r>
        <w:rPr>
          <w:rFonts w:hint="eastAsia" w:ascii="宋体" w:hAnsi="宋体" w:eastAsia="宋体" w:cs="宋体"/>
          <w:b w:val="0"/>
          <w:bCs w:val="0"/>
          <w:spacing w:val="35"/>
          <w:kern w:val="0"/>
          <w:sz w:val="28"/>
          <w:szCs w:val="28"/>
          <w:highlight w:val="none"/>
          <w:fitText w:val="1680" w:id="223900939"/>
          <w:lang w:val="en-US" w:eastAsia="zh-CN"/>
        </w:rPr>
        <w:t>数据采集</w:t>
      </w:r>
      <w:r>
        <w:rPr>
          <w:rFonts w:hint="eastAsia" w:ascii="宋体" w:hAnsi="宋体" w:eastAsia="宋体" w:cs="宋体"/>
          <w:b w:val="0"/>
          <w:bCs w:val="0"/>
          <w:spacing w:val="0"/>
          <w:kern w:val="0"/>
          <w:sz w:val="28"/>
          <w:szCs w:val="28"/>
          <w:highlight w:val="none"/>
          <w:fitText w:val="1680" w:id="223900939"/>
        </w:rPr>
        <w:t>：</w:t>
      </w:r>
      <w:r>
        <w:rPr>
          <w:rFonts w:hint="eastAsia" w:ascii="宋体" w:hAnsi="宋体" w:eastAsia="宋体" w:cs="宋体"/>
          <w:b w:val="0"/>
          <w:bCs w:val="0"/>
          <w:sz w:val="28"/>
          <w:szCs w:val="28"/>
          <w:highlight w:val="none"/>
        </w:rPr>
        <w:t>蒋  锐</w:t>
      </w:r>
      <w:r>
        <w:rPr>
          <w:rFonts w:hint="eastAsia" w:ascii="宋体" w:hAnsi="宋体" w:eastAsia="宋体" w:cs="宋体"/>
          <w:b w:val="0"/>
          <w:bCs w:val="0"/>
          <w:sz w:val="28"/>
          <w:szCs w:val="28"/>
          <w:highlight w:val="none"/>
          <w:lang w:val="en-US" w:eastAsia="zh-CN"/>
        </w:rPr>
        <w:t xml:space="preserve">   </w:t>
      </w:r>
      <w:r>
        <w:rPr>
          <w:rFonts w:hint="eastAsia" w:ascii="宋体" w:hAnsi="宋体" w:eastAsia="宋体" w:cs="宋体"/>
          <w:b w:val="0"/>
          <w:bCs w:val="0"/>
          <w:sz w:val="28"/>
          <w:szCs w:val="28"/>
          <w:highlight w:val="none"/>
        </w:rPr>
        <w:t>郑陆意</w:t>
      </w:r>
      <w:r>
        <w:rPr>
          <w:rFonts w:hint="eastAsia" w:ascii="宋体" w:hAnsi="宋体" w:eastAsia="宋体" w:cs="宋体"/>
          <w:b w:val="0"/>
          <w:bCs w:val="0"/>
          <w:sz w:val="28"/>
          <w:szCs w:val="28"/>
          <w:highlight w:val="none"/>
          <w:lang w:val="en-US" w:eastAsia="zh-CN"/>
        </w:rPr>
        <w:t xml:space="preserve">   </w:t>
      </w:r>
      <w:r>
        <w:rPr>
          <w:rFonts w:hint="eastAsia" w:ascii="宋体" w:hAnsi="宋体" w:eastAsia="宋体" w:cs="宋体"/>
          <w:b w:val="0"/>
          <w:bCs w:val="0"/>
          <w:sz w:val="28"/>
          <w:szCs w:val="28"/>
          <w:highlight w:val="none"/>
        </w:rPr>
        <w:t>邓乾坤</w:t>
      </w:r>
      <w:bookmarkEnd w:id="18"/>
      <w:bookmarkEnd w:id="19"/>
      <w:bookmarkEnd w:id="20"/>
      <w:bookmarkEnd w:id="21"/>
      <w:bookmarkEnd w:id="22"/>
      <w:bookmarkEnd w:id="23"/>
      <w:bookmarkEnd w:id="24"/>
      <w:r>
        <w:rPr>
          <w:rFonts w:hint="eastAsia" w:ascii="宋体" w:hAnsi="宋体" w:eastAsia="宋体" w:cs="宋体"/>
          <w:b w:val="0"/>
          <w:bCs w:val="0"/>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before="240" w:line="560" w:lineRule="exact"/>
        <w:textAlignment w:val="auto"/>
        <w:rPr>
          <w:rFonts w:hint="eastAsia" w:ascii="宋体" w:hAnsi="宋体" w:eastAsia="宋体" w:cs="宋体"/>
          <w:b w:val="0"/>
          <w:bCs w:val="0"/>
          <w:color w:val="auto"/>
          <w:sz w:val="28"/>
          <w:szCs w:val="28"/>
          <w:highlight w:val="none"/>
        </w:rPr>
      </w:pPr>
      <w:bookmarkStart w:id="25" w:name="_Toc4042"/>
      <w:bookmarkStart w:id="26" w:name="_Toc26629"/>
      <w:bookmarkStart w:id="27" w:name="_Toc9393"/>
      <w:bookmarkStart w:id="28" w:name="_Toc9699"/>
      <w:bookmarkStart w:id="29" w:name="_Toc12226"/>
      <w:bookmarkStart w:id="30" w:name="_Toc5210"/>
      <w:bookmarkStart w:id="31" w:name="_Toc31278"/>
      <w:bookmarkStart w:id="32" w:name="_Toc13077"/>
      <w:bookmarkStart w:id="33" w:name="_Toc3925"/>
      <w:bookmarkStart w:id="34" w:name="_Toc7560"/>
      <w:bookmarkStart w:id="35" w:name="_Toc26964"/>
      <w:bookmarkStart w:id="36" w:name="_Toc14540"/>
      <w:bookmarkStart w:id="37" w:name="_Toc26315"/>
      <w:r>
        <w:rPr>
          <w:rFonts w:hint="eastAsia" w:ascii="宋体" w:hAnsi="宋体" w:eastAsia="宋体" w:cs="宋体"/>
          <w:b w:val="0"/>
          <w:bCs w:val="0"/>
          <w:spacing w:val="0"/>
          <w:kern w:val="0"/>
          <w:sz w:val="28"/>
          <w:szCs w:val="28"/>
          <w:highlight w:val="none"/>
          <w:fitText w:val="1680" w:id="499653423"/>
        </w:rPr>
        <w:t>第三方支持：</w:t>
      </w:r>
      <w:bookmarkEnd w:id="25"/>
      <w:bookmarkEnd w:id="26"/>
      <w:bookmarkEnd w:id="27"/>
      <w:bookmarkEnd w:id="28"/>
      <w:bookmarkEnd w:id="29"/>
      <w:bookmarkEnd w:id="30"/>
      <w:bookmarkEnd w:id="31"/>
      <w:bookmarkEnd w:id="32"/>
      <w:bookmarkEnd w:id="33"/>
      <w:bookmarkEnd w:id="34"/>
      <w:bookmarkEnd w:id="35"/>
      <w:bookmarkEnd w:id="36"/>
      <w:bookmarkEnd w:id="37"/>
      <w:r>
        <w:rPr>
          <w:rFonts w:hint="eastAsia" w:ascii="宋体" w:hAnsi="宋体" w:eastAsia="宋体" w:cs="宋体"/>
          <w:b w:val="0"/>
          <w:bCs w:val="0"/>
          <w:color w:val="auto"/>
          <w:sz w:val="28"/>
          <w:szCs w:val="28"/>
          <w:highlight w:val="none"/>
          <w:lang w:eastAsia="zh-CN"/>
        </w:rPr>
        <w:t>成都香丽社文化发展有限公司</w:t>
      </w:r>
    </w:p>
    <w:p>
      <w:pPr>
        <w:pStyle w:val="28"/>
        <w:ind w:firstLine="402"/>
        <w:rPr>
          <w:rFonts w:hint="default" w:ascii="Times New Roman" w:hAnsi="Times New Roman" w:eastAsia="仿宋" w:cs="仿宋"/>
          <w:b/>
          <w:bCs/>
          <w:sz w:val="40"/>
          <w:szCs w:val="40"/>
        </w:rPr>
      </w:pPr>
    </w:p>
    <w:p>
      <w:pPr>
        <w:pStyle w:val="28"/>
        <w:ind w:firstLine="402"/>
        <w:rPr>
          <w:rFonts w:hint="default" w:ascii="Times New Roman" w:hAnsi="Times New Roman" w:eastAsia="仿宋" w:cs="仿宋"/>
          <w:b/>
          <w:bCs/>
          <w:sz w:val="40"/>
          <w:szCs w:val="40"/>
        </w:rPr>
      </w:pPr>
    </w:p>
    <w:p>
      <w:pPr>
        <w:pStyle w:val="28"/>
        <w:ind w:firstLine="402"/>
        <w:rPr>
          <w:rFonts w:hint="default" w:ascii="Times New Roman" w:hAnsi="Times New Roman" w:eastAsia="仿宋" w:cs="仿宋"/>
          <w:b/>
          <w:bCs/>
          <w:sz w:val="40"/>
          <w:szCs w:val="40"/>
        </w:rPr>
      </w:pPr>
    </w:p>
    <w:p>
      <w:pPr>
        <w:pStyle w:val="28"/>
        <w:ind w:firstLine="402"/>
        <w:rPr>
          <w:rFonts w:hint="default" w:ascii="Times New Roman" w:hAnsi="Times New Roman" w:eastAsia="仿宋" w:cs="仿宋"/>
          <w:b/>
          <w:bCs/>
          <w:sz w:val="40"/>
          <w:szCs w:val="40"/>
        </w:rPr>
      </w:pPr>
    </w:p>
    <w:p>
      <w:pPr>
        <w:pStyle w:val="28"/>
        <w:ind w:firstLine="402"/>
        <w:rPr>
          <w:rFonts w:hint="default" w:ascii="Times New Roman" w:hAnsi="Times New Roman" w:eastAsia="仿宋" w:cs="仿宋"/>
          <w:b/>
          <w:bCs/>
          <w:sz w:val="40"/>
          <w:szCs w:val="40"/>
        </w:rPr>
      </w:pPr>
    </w:p>
    <w:p>
      <w:pPr>
        <w:pStyle w:val="28"/>
        <w:ind w:firstLine="402"/>
        <w:rPr>
          <w:rFonts w:hint="default" w:ascii="Times New Roman" w:hAnsi="Times New Roman" w:eastAsia="仿宋" w:cs="仿宋"/>
          <w:b/>
          <w:bCs/>
          <w:sz w:val="40"/>
          <w:szCs w:val="40"/>
        </w:rPr>
      </w:pPr>
    </w:p>
    <w:p>
      <w:pPr>
        <w:keepNext w:val="0"/>
        <w:keepLines w:val="0"/>
        <w:pageBreakBefore w:val="0"/>
        <w:widowControl w:val="0"/>
        <w:kinsoku/>
        <w:wordWrap/>
        <w:overflowPunct/>
        <w:topLinePunct w:val="0"/>
        <w:autoSpaceDE/>
        <w:autoSpaceDN/>
        <w:bidi w:val="0"/>
        <w:adjustRightInd/>
        <w:snapToGrid/>
        <w:spacing w:before="240" w:after="240" w:line="360" w:lineRule="auto"/>
        <w:jc w:val="center"/>
        <w:textAlignment w:val="auto"/>
        <w:outlineLvl w:val="9"/>
        <w:rPr>
          <w:rFonts w:hint="eastAsia" w:ascii="宋体" w:hAnsi="宋体" w:eastAsia="宋体" w:cs="宋体"/>
          <w:b/>
          <w:bCs/>
          <w:color w:val="0070C0"/>
          <w:sz w:val="40"/>
          <w:szCs w:val="40"/>
          <w:highlight w:val="yellow"/>
        </w:rPr>
      </w:pPr>
      <w:bookmarkStart w:id="38" w:name="_Toc23866"/>
      <w:bookmarkStart w:id="39" w:name="_Toc11617"/>
    </w:p>
    <w:p>
      <w:pPr>
        <w:keepNext/>
        <w:keepLines/>
        <w:pageBreakBefore w:val="0"/>
        <w:widowControl w:val="0"/>
        <w:kinsoku/>
        <w:wordWrap/>
        <w:overflowPunct/>
        <w:topLinePunct w:val="0"/>
        <w:autoSpaceDE/>
        <w:autoSpaceDN/>
        <w:bidi w:val="0"/>
        <w:adjustRightInd/>
        <w:snapToGrid/>
        <w:spacing w:line="579" w:lineRule="auto"/>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240" w:after="240" w:line="360" w:lineRule="auto"/>
        <w:jc w:val="both"/>
        <w:textAlignment w:val="auto"/>
        <w:outlineLvl w:val="9"/>
        <w:rPr>
          <w:rFonts w:hint="eastAsia" w:ascii="宋体" w:hAnsi="宋体" w:eastAsia="宋体" w:cs="宋体"/>
          <w:b/>
          <w:bCs/>
          <w:color w:val="0070C0"/>
          <w:sz w:val="40"/>
          <w:szCs w:val="40"/>
          <w:highlight w:val="yellow"/>
        </w:rPr>
      </w:pPr>
    </w:p>
    <w:p>
      <w:pPr>
        <w:spacing w:before="240" w:after="240" w:line="360" w:lineRule="auto"/>
        <w:jc w:val="center"/>
        <w:outlineLvl w:val="0"/>
        <w:rPr>
          <w:rFonts w:hint="eastAsia" w:ascii="黑体" w:hAnsi="黑体" w:eastAsia="黑体" w:cs="黑体"/>
          <w:b/>
          <w:bCs/>
          <w:color w:val="CE6B2A"/>
          <w:sz w:val="40"/>
          <w:szCs w:val="40"/>
          <w:highlight w:val="none"/>
        </w:rPr>
      </w:pPr>
      <w:bookmarkStart w:id="40" w:name="_Toc8219"/>
      <w:bookmarkStart w:id="41" w:name="_Toc32694"/>
      <w:r>
        <w:rPr>
          <w:rFonts w:hint="eastAsia" w:ascii="宋体" w:hAnsi="宋体" w:eastAsia="宋体" w:cs="宋体"/>
          <w:b/>
          <w:bCs/>
          <w:color w:val="CE6B2A"/>
          <w:sz w:val="40"/>
          <w:szCs w:val="40"/>
          <w:highlight w:val="none"/>
        </w:rPr>
        <w:t>前  言</w:t>
      </w:r>
      <w:bookmarkEnd w:id="3"/>
      <w:bookmarkEnd w:id="4"/>
      <w:bookmarkEnd w:id="5"/>
      <w:bookmarkEnd w:id="6"/>
      <w:bookmarkEnd w:id="7"/>
      <w:bookmarkEnd w:id="8"/>
      <w:bookmarkEnd w:id="9"/>
      <w:bookmarkEnd w:id="10"/>
      <w:bookmarkEnd w:id="11"/>
      <w:bookmarkEnd w:id="12"/>
      <w:bookmarkEnd w:id="13"/>
      <w:bookmarkEnd w:id="14"/>
      <w:bookmarkEnd w:id="15"/>
      <w:bookmarkEnd w:id="38"/>
      <w:bookmarkEnd w:id="39"/>
      <w:bookmarkEnd w:id="40"/>
      <w:bookmarkEnd w:id="41"/>
    </w:p>
    <w:p>
      <w:pPr>
        <w:widowControl/>
        <w:spacing w:line="560" w:lineRule="exact"/>
        <w:ind w:firstLine="480" w:firstLineChars="200"/>
        <w:jc w:val="left"/>
        <w:rPr>
          <w:rFonts w:hint="eastAsia" w:ascii="Times New Roman" w:hAnsi="Times New Roman" w:eastAsia="宋体" w:cs="仿宋"/>
          <w:color w:val="auto"/>
          <w:sz w:val="24"/>
          <w:szCs w:val="24"/>
        </w:rPr>
      </w:pPr>
      <w:r>
        <w:rPr>
          <w:rFonts w:hint="eastAsia" w:ascii="Times New Roman" w:hAnsi="Times New Roman" w:eastAsia="宋体" w:cs="仿宋"/>
          <w:color w:val="auto"/>
          <w:sz w:val="24"/>
          <w:szCs w:val="24"/>
          <w:lang w:val="en-US" w:eastAsia="zh-CN"/>
        </w:rPr>
        <w:t>2024年，遂宁市中等职业教育始终坚持以习近平新时代中国特色社会主义思想为指导，全面贯彻落实《中华人民共和国职业教育法》《四川省职业教育条例》《关于深化现代职业教育体系建设改革的意见》等国省文件精神，按照“扩容、提质、培优、融合”的工作思路，以建设职业院校为硬支撑，整合升级各县（市、区）、市直园区内的职业教育资源，推动职业教育加速发展，为建设实力之城、活力之城、魅力之城贡献职教力量。</w:t>
      </w:r>
    </w:p>
    <w:p>
      <w:pPr>
        <w:widowControl/>
        <w:spacing w:line="560" w:lineRule="exact"/>
        <w:ind w:firstLine="480" w:firstLineChars="200"/>
        <w:jc w:val="left"/>
        <w:rPr>
          <w:rFonts w:hint="eastAsia" w:ascii="Times New Roman" w:hAnsi="Times New Roman" w:eastAsia="宋体" w:cs="仿宋"/>
          <w:color w:val="auto"/>
          <w:sz w:val="24"/>
          <w:szCs w:val="24"/>
          <w:lang w:val="en-US" w:eastAsia="zh-CN"/>
        </w:rPr>
      </w:pPr>
      <w:r>
        <w:rPr>
          <w:rFonts w:hint="eastAsia" w:ascii="Times New Roman" w:hAnsi="Times New Roman" w:eastAsia="宋体" w:cs="仿宋"/>
          <w:color w:val="auto"/>
          <w:sz w:val="24"/>
          <w:szCs w:val="24"/>
        </w:rPr>
        <w:t>根据《四川省教育厅关于做好202</w:t>
      </w:r>
      <w:r>
        <w:rPr>
          <w:rFonts w:hint="eastAsia" w:ascii="Times New Roman" w:hAnsi="Times New Roman" w:eastAsia="宋体" w:cs="仿宋"/>
          <w:color w:val="auto"/>
          <w:sz w:val="24"/>
          <w:szCs w:val="24"/>
          <w:lang w:val="en-US" w:eastAsia="zh-CN"/>
        </w:rPr>
        <w:t>4</w:t>
      </w:r>
      <w:r>
        <w:rPr>
          <w:rFonts w:hint="eastAsia" w:ascii="Times New Roman" w:hAnsi="Times New Roman" w:eastAsia="宋体" w:cs="仿宋"/>
          <w:color w:val="auto"/>
          <w:sz w:val="24"/>
          <w:szCs w:val="24"/>
        </w:rPr>
        <w:t>年度职业教育质量报告编制</w:t>
      </w:r>
      <w:r>
        <w:rPr>
          <w:rFonts w:hint="eastAsia" w:ascii="Times New Roman" w:hAnsi="Times New Roman" w:eastAsia="宋体" w:cs="仿宋"/>
          <w:color w:val="auto"/>
          <w:sz w:val="24"/>
          <w:szCs w:val="24"/>
          <w:lang w:eastAsia="zh-CN"/>
        </w:rPr>
        <w:t>、</w:t>
      </w:r>
      <w:r>
        <w:rPr>
          <w:rFonts w:hint="eastAsia" w:ascii="Times New Roman" w:hAnsi="Times New Roman" w:eastAsia="宋体" w:cs="仿宋"/>
          <w:color w:val="auto"/>
          <w:sz w:val="24"/>
          <w:szCs w:val="24"/>
        </w:rPr>
        <w:t>发布和报送工作的通知</w:t>
      </w:r>
      <w:r>
        <w:rPr>
          <w:rFonts w:ascii="Times New Roman" w:hAnsi="Times New Roman" w:eastAsia="宋体" w:cs="仿宋"/>
          <w:color w:val="auto"/>
          <w:sz w:val="24"/>
          <w:szCs w:val="24"/>
        </w:rPr>
        <w:t>》文件精神，遂宁市教育局</w:t>
      </w:r>
      <w:r>
        <w:rPr>
          <w:rFonts w:hint="eastAsia" w:ascii="Times New Roman" w:hAnsi="Times New Roman" w:eastAsia="宋体" w:cs="仿宋"/>
          <w:color w:val="auto"/>
          <w:sz w:val="24"/>
          <w:szCs w:val="24"/>
          <w:lang w:val="en-US" w:eastAsia="zh-CN"/>
        </w:rPr>
        <w:t>通过遂宁市职业技术学校</w:t>
      </w:r>
      <w:r>
        <w:rPr>
          <w:rFonts w:ascii="Times New Roman" w:hAnsi="Times New Roman" w:eastAsia="宋体" w:cs="仿宋"/>
          <w:color w:val="auto"/>
          <w:sz w:val="24"/>
          <w:szCs w:val="24"/>
        </w:rPr>
        <w:t>引入第三方独立评价机构</w:t>
      </w:r>
      <w:r>
        <w:rPr>
          <w:rFonts w:hint="eastAsia" w:ascii="Times New Roman" w:hAnsi="Times New Roman" w:eastAsia="宋体" w:cs="仿宋"/>
          <w:color w:val="auto"/>
          <w:sz w:val="24"/>
          <w:szCs w:val="24"/>
          <w:lang w:eastAsia="zh-CN"/>
        </w:rPr>
        <w:t>——成都香丽社文化发展有限公司</w:t>
      </w:r>
      <w:r>
        <w:rPr>
          <w:rFonts w:hint="eastAsia" w:ascii="Times New Roman" w:hAnsi="Times New Roman" w:eastAsia="宋体" w:cs="仿宋"/>
          <w:color w:val="auto"/>
          <w:sz w:val="24"/>
          <w:szCs w:val="24"/>
        </w:rPr>
        <w:t>参与年报编制工作，现就遂宁市中等职业教育基本情况、</w:t>
      </w:r>
      <w:r>
        <w:rPr>
          <w:rFonts w:hint="eastAsia" w:ascii="Times New Roman" w:hAnsi="Times New Roman" w:eastAsia="宋体" w:cs="仿宋"/>
          <w:color w:val="auto"/>
          <w:sz w:val="24"/>
          <w:szCs w:val="24"/>
          <w:lang w:val="en-US" w:eastAsia="zh-CN"/>
        </w:rPr>
        <w:t>人才培养、</w:t>
      </w:r>
      <w:r>
        <w:rPr>
          <w:rFonts w:hint="eastAsia" w:ascii="Times New Roman" w:hAnsi="Times New Roman" w:eastAsia="宋体" w:cs="仿宋"/>
          <w:color w:val="auto"/>
          <w:sz w:val="24"/>
          <w:szCs w:val="24"/>
        </w:rPr>
        <w:t>服务贡献</w:t>
      </w:r>
      <w:r>
        <w:rPr>
          <w:rFonts w:hint="eastAsia" w:ascii="Times New Roman" w:hAnsi="Times New Roman" w:eastAsia="宋体" w:cs="仿宋"/>
          <w:color w:val="auto"/>
          <w:sz w:val="24"/>
          <w:szCs w:val="24"/>
          <w:lang w:eastAsia="zh-CN"/>
        </w:rPr>
        <w:t>、</w:t>
      </w:r>
      <w:r>
        <w:rPr>
          <w:rFonts w:hint="eastAsia" w:ascii="Times New Roman" w:hAnsi="Times New Roman" w:eastAsia="宋体" w:cs="仿宋"/>
          <w:color w:val="auto"/>
          <w:sz w:val="24"/>
          <w:szCs w:val="24"/>
          <w:lang w:val="en-US" w:eastAsia="zh-CN"/>
        </w:rPr>
        <w:t>文化传承、</w:t>
      </w:r>
      <w:r>
        <w:rPr>
          <w:rFonts w:hint="eastAsia" w:ascii="Times New Roman" w:hAnsi="Times New Roman" w:eastAsia="宋体" w:cs="仿宋"/>
          <w:color w:val="auto"/>
          <w:sz w:val="24"/>
          <w:szCs w:val="24"/>
        </w:rPr>
        <w:t>国际合作、</w:t>
      </w:r>
      <w:r>
        <w:rPr>
          <w:rFonts w:hint="eastAsia" w:ascii="Times New Roman" w:hAnsi="Times New Roman" w:eastAsia="宋体" w:cs="仿宋"/>
          <w:color w:val="auto"/>
          <w:sz w:val="24"/>
          <w:szCs w:val="24"/>
          <w:lang w:val="en-US" w:eastAsia="zh-CN"/>
        </w:rPr>
        <w:t>融合发展</w:t>
      </w:r>
      <w:r>
        <w:rPr>
          <w:rFonts w:hint="eastAsia" w:ascii="Times New Roman" w:hAnsi="Times New Roman" w:eastAsia="宋体" w:cs="仿宋"/>
          <w:color w:val="auto"/>
          <w:sz w:val="24"/>
          <w:szCs w:val="24"/>
        </w:rPr>
        <w:t>、</w:t>
      </w:r>
      <w:r>
        <w:rPr>
          <w:rFonts w:hint="eastAsia" w:ascii="Times New Roman" w:hAnsi="Times New Roman" w:eastAsia="宋体" w:cs="仿宋"/>
          <w:color w:val="auto"/>
          <w:sz w:val="24"/>
          <w:szCs w:val="24"/>
          <w:lang w:val="en-US" w:eastAsia="zh-CN"/>
        </w:rPr>
        <w:t>发展保障、</w:t>
      </w:r>
      <w:r>
        <w:rPr>
          <w:rFonts w:hint="eastAsia" w:ascii="Times New Roman" w:hAnsi="Times New Roman" w:eastAsia="宋体" w:cs="仿宋"/>
          <w:color w:val="auto"/>
          <w:sz w:val="24"/>
          <w:szCs w:val="24"/>
        </w:rPr>
        <w:t>面临挑战等方面发布本报告</w:t>
      </w:r>
      <w:r>
        <w:rPr>
          <w:rFonts w:hint="eastAsia" w:ascii="Times New Roman" w:hAnsi="Times New Roman" w:eastAsia="宋体" w:cs="仿宋"/>
          <w:color w:val="auto"/>
          <w:sz w:val="24"/>
          <w:szCs w:val="24"/>
          <w:lang w:eastAsia="zh-CN"/>
        </w:rPr>
        <w:t>，并</w:t>
      </w:r>
      <w:r>
        <w:rPr>
          <w:rFonts w:hint="eastAsia" w:ascii="Times New Roman" w:hAnsi="Times New Roman" w:eastAsia="宋体" w:cs="仿宋"/>
          <w:color w:val="auto"/>
          <w:sz w:val="24"/>
          <w:szCs w:val="24"/>
        </w:rPr>
        <w:t>接受社会监督。遂宁职业教育将坚持服务国家战略、服务地方发展、服务行业企业、服务学生发展、促进</w:t>
      </w:r>
      <w:r>
        <w:rPr>
          <w:rFonts w:hint="eastAsia" w:ascii="Times New Roman" w:hAnsi="Times New Roman" w:eastAsia="宋体" w:cs="仿宋"/>
          <w:color w:val="auto"/>
          <w:sz w:val="24"/>
          <w:szCs w:val="24"/>
          <w:lang w:val="en-US" w:eastAsia="zh-CN"/>
        </w:rPr>
        <w:t>科教融汇</w:t>
      </w:r>
      <w:r>
        <w:rPr>
          <w:rFonts w:hint="eastAsia" w:ascii="Times New Roman" w:hAnsi="Times New Roman" w:eastAsia="宋体" w:cs="仿宋"/>
          <w:color w:val="auto"/>
          <w:sz w:val="24"/>
          <w:szCs w:val="24"/>
        </w:rPr>
        <w:t>，</w:t>
      </w:r>
      <w:r>
        <w:rPr>
          <w:rFonts w:ascii="Times New Roman" w:hAnsi="Times New Roman" w:eastAsia="宋体" w:cs="仿宋"/>
          <w:color w:val="auto"/>
          <w:sz w:val="24"/>
          <w:szCs w:val="24"/>
        </w:rPr>
        <w:t>奋力书写遂宁职教事业发展新篇章。</w:t>
      </w:r>
    </w:p>
    <w:p>
      <w:pPr>
        <w:pStyle w:val="2"/>
        <w:rPr>
          <w:rFonts w:hint="eastAsia" w:ascii="Times New Roman" w:hAnsi="Times New Roman" w:eastAsia="宋体" w:cs="仿宋"/>
          <w:color w:val="auto"/>
          <w:sz w:val="24"/>
          <w:szCs w:val="24"/>
          <w:lang w:eastAsia="zh-CN"/>
        </w:rPr>
      </w:pPr>
    </w:p>
    <w:p>
      <w:pPr>
        <w:pStyle w:val="2"/>
        <w:jc w:val="center"/>
        <w:rPr>
          <w:rFonts w:hint="eastAsia" w:ascii="Times New Roman" w:hAnsi="Times New Roman" w:eastAsia="宋体" w:cs="仿宋"/>
          <w:color w:val="auto"/>
          <w:sz w:val="24"/>
          <w:szCs w:val="24"/>
          <w:lang w:eastAsia="zh-CN"/>
        </w:rPr>
        <w:sectPr>
          <w:footerReference r:id="rId5" w:type="default"/>
          <w:footnotePr>
            <w:numFmt w:val="decimalEnclosedCircleChinese"/>
          </w:footnote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eastAsia="宋体" w:cs="仿宋"/>
          <w:color w:val="auto"/>
          <w:sz w:val="24"/>
          <w:szCs w:val="24"/>
          <w:lang w:eastAsia="zh-CN"/>
        </w:rPr>
        <w:drawing>
          <wp:inline distT="0" distB="0" distL="114300" distR="114300">
            <wp:extent cx="5267960" cy="2965450"/>
            <wp:effectExtent l="0" t="0" r="2540" b="6350"/>
            <wp:docPr id="8" name="图片 8" descr="人工智能数字概念"/>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人工智能数字概念"/>
                    <pic:cNvPicPr>
                      <a:picLocks noChangeAspect="true"/>
                    </pic:cNvPicPr>
                  </pic:nvPicPr>
                  <pic:blipFill>
                    <a:blip r:embed="rId14"/>
                    <a:stretch>
                      <a:fillRect/>
                    </a:stretch>
                  </pic:blipFill>
                  <pic:spPr>
                    <a:xfrm>
                      <a:off x="0" y="0"/>
                      <a:ext cx="5267960" cy="29654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after="219" w:afterLines="70" w:line="520" w:lineRule="exact"/>
        <w:jc w:val="center"/>
        <w:textAlignment w:val="auto"/>
        <w:outlineLvl w:val="0"/>
        <w:rPr>
          <w:rFonts w:ascii="Times New Roman" w:hAnsi="Times New Roman" w:eastAsia="宋体" w:cstheme="minorBidi"/>
          <w:kern w:val="2"/>
          <w:sz w:val="21"/>
          <w:szCs w:val="24"/>
          <w:lang w:val="en-US" w:eastAsia="zh-CN" w:bidi="ar-SA"/>
        </w:rPr>
      </w:pPr>
      <w:r>
        <w:rPr>
          <w:rFonts w:hint="eastAsia" w:ascii="宋体" w:hAnsi="宋体" w:eastAsia="宋体" w:cs="宋体"/>
          <w:b/>
          <w:bCs/>
          <w:color w:val="CE6B2A"/>
          <w:sz w:val="36"/>
          <w:szCs w:val="36"/>
          <w:highlight w:val="none"/>
        </w:rPr>
        <w:t>目</w:t>
      </w:r>
      <w:r>
        <w:rPr>
          <w:rFonts w:hint="eastAsia" w:ascii="宋体" w:hAnsi="宋体" w:eastAsia="宋体" w:cs="宋体"/>
          <w:b/>
          <w:bCs/>
          <w:color w:val="CE6B2A"/>
          <w:sz w:val="36"/>
          <w:szCs w:val="36"/>
          <w:highlight w:val="none"/>
          <w:lang w:val="en-US" w:eastAsia="zh-CN"/>
        </w:rPr>
        <w:t xml:space="preserve">   </w:t>
      </w:r>
      <w:r>
        <w:rPr>
          <w:rFonts w:hint="eastAsia" w:ascii="宋体" w:hAnsi="宋体" w:eastAsia="宋体" w:cs="宋体"/>
          <w:b/>
          <w:bCs/>
          <w:color w:val="CE6B2A"/>
          <w:sz w:val="36"/>
          <w:szCs w:val="36"/>
          <w:highlight w:val="none"/>
        </w:rPr>
        <w:t>录</w:t>
      </w:r>
      <w:r>
        <w:rPr>
          <w:sz w:val="24"/>
          <w:szCs w:val="24"/>
        </w:rPr>
        <w:fldChar w:fldCharType="begin"/>
      </w:r>
      <w:r>
        <w:rPr>
          <w:sz w:val="24"/>
          <w:szCs w:val="24"/>
        </w:rPr>
        <w:instrText xml:space="preserve">TOC \o "1-2" \h \u </w:instrText>
      </w:r>
      <w:r>
        <w:rPr>
          <w:sz w:val="24"/>
          <w:szCs w:val="24"/>
        </w:rPr>
        <w:fldChar w:fldCharType="separate"/>
      </w:r>
    </w:p>
    <w:p>
      <w:pPr>
        <w:pStyle w:val="19"/>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20" w:lineRule="exact"/>
        <w:textAlignment w:val="auto"/>
        <w:rPr>
          <w:rFonts w:hint="eastAsia" w:ascii="宋体" w:hAnsi="宋体" w:eastAsia="宋体" w:cs="宋体"/>
          <w:color w:val="CE6B2A"/>
          <w:sz w:val="24"/>
          <w:szCs w:val="24"/>
        </w:rPr>
      </w:pPr>
      <w:r>
        <w:rPr>
          <w:rFonts w:hint="eastAsia" w:ascii="宋体" w:hAnsi="宋体" w:eastAsia="宋体" w:cs="宋体"/>
          <w:color w:val="CE6B2A"/>
          <w:sz w:val="24"/>
          <w:szCs w:val="24"/>
        </w:rPr>
        <w:fldChar w:fldCharType="begin"/>
      </w:r>
      <w:r>
        <w:rPr>
          <w:rFonts w:hint="eastAsia" w:ascii="宋体" w:hAnsi="宋体" w:eastAsia="宋体" w:cs="宋体"/>
          <w:color w:val="CE6B2A"/>
          <w:sz w:val="24"/>
          <w:szCs w:val="24"/>
        </w:rPr>
        <w:instrText xml:space="preserve"> HYPERLINK \l _Toc21664 </w:instrText>
      </w:r>
      <w:r>
        <w:rPr>
          <w:rFonts w:hint="eastAsia" w:ascii="宋体" w:hAnsi="宋体" w:eastAsia="宋体" w:cs="宋体"/>
          <w:color w:val="CE6B2A"/>
          <w:sz w:val="24"/>
          <w:szCs w:val="24"/>
        </w:rPr>
        <w:fldChar w:fldCharType="separate"/>
      </w:r>
      <w:r>
        <w:rPr>
          <w:rFonts w:hint="eastAsia" w:ascii="宋体" w:hAnsi="宋体" w:eastAsia="宋体" w:cs="宋体"/>
          <w:bCs/>
          <w:color w:val="CE6B2A"/>
          <w:sz w:val="24"/>
          <w:szCs w:val="24"/>
          <w:highlight w:val="none"/>
        </w:rPr>
        <w:t>1 基本情况</w:t>
      </w:r>
      <w:r>
        <w:rPr>
          <w:rFonts w:hint="eastAsia" w:ascii="宋体" w:hAnsi="宋体" w:eastAsia="宋体" w:cs="宋体"/>
          <w:color w:val="CE6B2A"/>
          <w:sz w:val="24"/>
          <w:szCs w:val="24"/>
        </w:rPr>
        <w:tab/>
      </w:r>
      <w:r>
        <w:rPr>
          <w:rFonts w:hint="eastAsia" w:ascii="宋体" w:hAnsi="宋体" w:eastAsia="宋体" w:cs="宋体"/>
          <w:color w:val="CE6B2A"/>
          <w:sz w:val="24"/>
          <w:szCs w:val="24"/>
        </w:rPr>
        <w:fldChar w:fldCharType="begin"/>
      </w:r>
      <w:r>
        <w:rPr>
          <w:rFonts w:hint="eastAsia" w:ascii="宋体" w:hAnsi="宋体" w:eastAsia="宋体" w:cs="宋体"/>
          <w:color w:val="CE6B2A"/>
          <w:sz w:val="24"/>
          <w:szCs w:val="24"/>
        </w:rPr>
        <w:instrText xml:space="preserve"> PAGEREF _Toc21664 \h </w:instrText>
      </w:r>
      <w:r>
        <w:rPr>
          <w:rFonts w:hint="eastAsia" w:ascii="宋体" w:hAnsi="宋体" w:eastAsia="宋体" w:cs="宋体"/>
          <w:color w:val="CE6B2A"/>
          <w:sz w:val="24"/>
          <w:szCs w:val="24"/>
        </w:rPr>
        <w:fldChar w:fldCharType="separate"/>
      </w:r>
      <w:r>
        <w:rPr>
          <w:rFonts w:hint="eastAsia" w:ascii="宋体" w:hAnsi="宋体" w:eastAsia="宋体" w:cs="宋体"/>
          <w:color w:val="CE6B2A"/>
          <w:sz w:val="24"/>
          <w:szCs w:val="24"/>
        </w:rPr>
        <w:t>1</w:t>
      </w:r>
      <w:r>
        <w:rPr>
          <w:rFonts w:hint="eastAsia" w:ascii="宋体" w:hAnsi="宋体" w:eastAsia="宋体" w:cs="宋体"/>
          <w:color w:val="CE6B2A"/>
          <w:sz w:val="24"/>
          <w:szCs w:val="24"/>
        </w:rPr>
        <w:fldChar w:fldCharType="end"/>
      </w:r>
      <w:r>
        <w:rPr>
          <w:rFonts w:hint="eastAsia" w:ascii="宋体" w:hAnsi="宋体" w:eastAsia="宋体" w:cs="宋体"/>
          <w:color w:val="CE6B2A"/>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_Toc16288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rPr>
        <w:t>1.1 规模和结构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_Toc16288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_Toc16085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rPr>
        <w:t>1.</w:t>
      </w: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rPr>
        <w:t xml:space="preserve"> 教师队伍</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_Toc16085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_Toc19977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rPr>
        <w:t>1.</w:t>
      </w:r>
      <w:r>
        <w:rPr>
          <w:rFonts w:hint="eastAsia" w:ascii="宋体" w:hAnsi="宋体" w:eastAsia="宋体" w:cs="宋体"/>
          <w:bCs/>
          <w:sz w:val="24"/>
          <w:szCs w:val="24"/>
          <w:highlight w:val="none"/>
          <w:lang w:val="en-US" w:eastAsia="zh-CN"/>
        </w:rPr>
        <w:t>3</w:t>
      </w:r>
      <w:r>
        <w:rPr>
          <w:rFonts w:hint="eastAsia" w:ascii="宋体" w:hAnsi="宋体" w:eastAsia="宋体" w:cs="宋体"/>
          <w:bCs/>
          <w:sz w:val="24"/>
          <w:szCs w:val="24"/>
          <w:highlight w:val="none"/>
        </w:rPr>
        <w:t xml:space="preserve"> 设施设备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_Toc19977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20" w:lineRule="exact"/>
        <w:textAlignment w:val="auto"/>
        <w:rPr>
          <w:rFonts w:hint="eastAsia" w:ascii="宋体" w:hAnsi="宋体" w:eastAsia="宋体" w:cs="宋体"/>
          <w:color w:val="CE6B2A"/>
          <w:sz w:val="24"/>
          <w:szCs w:val="24"/>
        </w:rPr>
      </w:pPr>
      <w:r>
        <w:rPr>
          <w:rFonts w:hint="eastAsia" w:ascii="宋体" w:hAnsi="宋体" w:eastAsia="宋体" w:cs="宋体"/>
          <w:color w:val="CE6B2A"/>
          <w:sz w:val="24"/>
          <w:szCs w:val="24"/>
        </w:rPr>
        <w:fldChar w:fldCharType="begin"/>
      </w:r>
      <w:r>
        <w:rPr>
          <w:rFonts w:hint="eastAsia" w:ascii="宋体" w:hAnsi="宋体" w:eastAsia="宋体" w:cs="宋体"/>
          <w:color w:val="CE6B2A"/>
          <w:sz w:val="24"/>
          <w:szCs w:val="24"/>
        </w:rPr>
        <w:instrText xml:space="preserve"> HYPERLINK \l _Toc20903 </w:instrText>
      </w:r>
      <w:r>
        <w:rPr>
          <w:rFonts w:hint="eastAsia" w:ascii="宋体" w:hAnsi="宋体" w:eastAsia="宋体" w:cs="宋体"/>
          <w:color w:val="CE6B2A"/>
          <w:sz w:val="24"/>
          <w:szCs w:val="24"/>
        </w:rPr>
        <w:fldChar w:fldCharType="separate"/>
      </w:r>
      <w:r>
        <w:rPr>
          <w:rFonts w:hint="eastAsia" w:ascii="宋体" w:hAnsi="宋体" w:eastAsia="宋体" w:cs="宋体"/>
          <w:bCs/>
          <w:color w:val="CE6B2A"/>
          <w:sz w:val="24"/>
          <w:szCs w:val="24"/>
          <w:highlight w:val="none"/>
        </w:rPr>
        <w:t xml:space="preserve">2 </w:t>
      </w:r>
      <w:r>
        <w:rPr>
          <w:rFonts w:hint="eastAsia" w:ascii="宋体" w:hAnsi="宋体" w:eastAsia="宋体" w:cs="宋体"/>
          <w:bCs/>
          <w:color w:val="CE6B2A"/>
          <w:sz w:val="24"/>
          <w:szCs w:val="24"/>
          <w:highlight w:val="none"/>
          <w:lang w:val="en-US" w:eastAsia="zh-CN"/>
        </w:rPr>
        <w:t>人才培养</w:t>
      </w:r>
      <w:r>
        <w:rPr>
          <w:rFonts w:hint="eastAsia" w:ascii="宋体" w:hAnsi="宋体" w:eastAsia="宋体" w:cs="宋体"/>
          <w:color w:val="CE6B2A"/>
          <w:sz w:val="24"/>
          <w:szCs w:val="24"/>
        </w:rPr>
        <w:tab/>
      </w:r>
      <w:r>
        <w:rPr>
          <w:rFonts w:hint="eastAsia" w:ascii="宋体" w:hAnsi="宋体" w:eastAsia="宋体" w:cs="宋体"/>
          <w:color w:val="CE6B2A"/>
          <w:sz w:val="24"/>
          <w:szCs w:val="24"/>
        </w:rPr>
        <w:fldChar w:fldCharType="begin"/>
      </w:r>
      <w:r>
        <w:rPr>
          <w:rFonts w:hint="eastAsia" w:ascii="宋体" w:hAnsi="宋体" w:eastAsia="宋体" w:cs="宋体"/>
          <w:color w:val="CE6B2A"/>
          <w:sz w:val="24"/>
          <w:szCs w:val="24"/>
        </w:rPr>
        <w:instrText xml:space="preserve"> PAGEREF _Toc20903 \h </w:instrText>
      </w:r>
      <w:r>
        <w:rPr>
          <w:rFonts w:hint="eastAsia" w:ascii="宋体" w:hAnsi="宋体" w:eastAsia="宋体" w:cs="宋体"/>
          <w:color w:val="CE6B2A"/>
          <w:sz w:val="24"/>
          <w:szCs w:val="24"/>
        </w:rPr>
        <w:fldChar w:fldCharType="separate"/>
      </w:r>
      <w:r>
        <w:rPr>
          <w:rFonts w:hint="eastAsia" w:ascii="宋体" w:hAnsi="宋体" w:eastAsia="宋体" w:cs="宋体"/>
          <w:color w:val="CE6B2A"/>
          <w:sz w:val="24"/>
          <w:szCs w:val="24"/>
        </w:rPr>
        <w:t>8</w:t>
      </w:r>
      <w:r>
        <w:rPr>
          <w:rFonts w:hint="eastAsia" w:ascii="宋体" w:hAnsi="宋体" w:eastAsia="宋体" w:cs="宋体"/>
          <w:color w:val="CE6B2A"/>
          <w:sz w:val="24"/>
          <w:szCs w:val="24"/>
        </w:rPr>
        <w:fldChar w:fldCharType="end"/>
      </w:r>
      <w:r>
        <w:rPr>
          <w:rFonts w:hint="eastAsia" w:ascii="宋体" w:hAnsi="宋体" w:eastAsia="宋体" w:cs="宋体"/>
          <w:color w:val="CE6B2A"/>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_Toc27663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rPr>
        <w:t>2.1 党建</w:t>
      </w:r>
      <w:r>
        <w:rPr>
          <w:rFonts w:hint="eastAsia" w:ascii="宋体" w:hAnsi="宋体" w:eastAsia="宋体" w:cs="宋体"/>
          <w:bCs/>
          <w:sz w:val="24"/>
          <w:szCs w:val="24"/>
          <w:highlight w:val="none"/>
          <w:lang w:eastAsia="zh-CN"/>
        </w:rPr>
        <w:t>工作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_Toc27663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_Toc16956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rPr>
        <w:t xml:space="preserve">2.2 </w:t>
      </w:r>
      <w:r>
        <w:rPr>
          <w:rFonts w:hint="eastAsia" w:ascii="宋体" w:hAnsi="宋体" w:eastAsia="宋体" w:cs="宋体"/>
          <w:bCs/>
          <w:sz w:val="24"/>
          <w:szCs w:val="24"/>
          <w:highlight w:val="none"/>
          <w:lang w:val="en-US" w:eastAsia="zh-CN"/>
        </w:rPr>
        <w:t>立</w:t>
      </w:r>
      <w:r>
        <w:rPr>
          <w:rFonts w:hint="eastAsia" w:ascii="宋体" w:hAnsi="宋体" w:eastAsia="宋体" w:cs="宋体"/>
          <w:bCs/>
          <w:sz w:val="24"/>
          <w:szCs w:val="24"/>
          <w:highlight w:val="none"/>
        </w:rPr>
        <w:t>德</w:t>
      </w:r>
      <w:r>
        <w:rPr>
          <w:rFonts w:hint="eastAsia" w:ascii="宋体" w:hAnsi="宋体" w:eastAsia="宋体" w:cs="宋体"/>
          <w:bCs/>
          <w:sz w:val="24"/>
          <w:szCs w:val="24"/>
          <w:highlight w:val="none"/>
          <w:lang w:val="en-US" w:eastAsia="zh-CN"/>
        </w:rPr>
        <w:t>树人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_Toc16956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_Toc20468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rPr>
        <w:t>2.</w:t>
      </w:r>
      <w:r>
        <w:rPr>
          <w:rFonts w:hint="eastAsia" w:ascii="宋体" w:hAnsi="宋体" w:eastAsia="宋体" w:cs="宋体"/>
          <w:bCs/>
          <w:sz w:val="24"/>
          <w:szCs w:val="24"/>
          <w:highlight w:val="none"/>
          <w:lang w:val="en-US" w:eastAsia="zh-CN"/>
        </w:rPr>
        <w:t xml:space="preserve">3 </w:t>
      </w:r>
      <w:r>
        <w:rPr>
          <w:rFonts w:hint="eastAsia" w:ascii="宋体" w:hAnsi="宋体" w:eastAsia="宋体" w:cs="宋体"/>
          <w:bCs/>
          <w:sz w:val="24"/>
          <w:szCs w:val="24"/>
          <w:highlight w:val="none"/>
        </w:rPr>
        <w:t>学生素质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_Toc20468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_Toc24707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rPr>
        <w:t>2.</w:t>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rPr>
        <w:t xml:space="preserve"> 升学情况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_Toc24707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_Toc772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rPr>
        <w:t>2.</w:t>
      </w:r>
      <w:r>
        <w:rPr>
          <w:rFonts w:hint="eastAsia" w:ascii="宋体" w:hAnsi="宋体" w:eastAsia="宋体" w:cs="宋体"/>
          <w:bCs/>
          <w:sz w:val="24"/>
          <w:szCs w:val="24"/>
          <w:highlight w:val="none"/>
          <w:lang w:val="en-US" w:eastAsia="zh-CN"/>
        </w:rPr>
        <w:t>5</w:t>
      </w:r>
      <w:r>
        <w:rPr>
          <w:rFonts w:hint="eastAsia" w:ascii="宋体" w:hAnsi="宋体" w:eastAsia="宋体" w:cs="宋体"/>
          <w:bCs/>
          <w:sz w:val="24"/>
          <w:szCs w:val="24"/>
          <w:highlight w:val="none"/>
        </w:rPr>
        <w:t xml:space="preserve"> 就业</w:t>
      </w:r>
      <w:r>
        <w:rPr>
          <w:rFonts w:hint="eastAsia" w:ascii="宋体" w:hAnsi="宋体" w:eastAsia="宋体" w:cs="宋体"/>
          <w:bCs/>
          <w:sz w:val="24"/>
          <w:szCs w:val="24"/>
          <w:highlight w:val="none"/>
          <w:lang w:val="en-US" w:eastAsia="zh-CN"/>
        </w:rPr>
        <w:t>创业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_Toc772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_Toc19834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rPr>
        <w:t>2.</w:t>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 xml:space="preserve"> </w:t>
      </w:r>
      <w:r>
        <w:rPr>
          <w:rFonts w:hint="eastAsia" w:ascii="宋体" w:hAnsi="宋体" w:eastAsia="宋体" w:cs="宋体"/>
          <w:bCs/>
          <w:sz w:val="24"/>
          <w:szCs w:val="24"/>
          <w:highlight w:val="none"/>
          <w:lang w:val="en-US" w:eastAsia="zh-CN"/>
        </w:rPr>
        <w:t>满意度调查情况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_Toc19834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20" w:lineRule="exact"/>
        <w:textAlignment w:val="auto"/>
        <w:rPr>
          <w:rFonts w:hint="eastAsia" w:ascii="宋体" w:hAnsi="宋体" w:eastAsia="宋体" w:cs="宋体"/>
          <w:color w:val="CE6B2A"/>
          <w:sz w:val="24"/>
          <w:szCs w:val="24"/>
        </w:rPr>
      </w:pPr>
      <w:r>
        <w:rPr>
          <w:rFonts w:hint="eastAsia" w:ascii="宋体" w:hAnsi="宋体" w:eastAsia="宋体" w:cs="宋体"/>
          <w:color w:val="CE6B2A"/>
          <w:sz w:val="24"/>
          <w:szCs w:val="24"/>
        </w:rPr>
        <w:fldChar w:fldCharType="begin"/>
      </w:r>
      <w:r>
        <w:rPr>
          <w:rFonts w:hint="eastAsia" w:ascii="宋体" w:hAnsi="宋体" w:eastAsia="宋体" w:cs="宋体"/>
          <w:color w:val="CE6B2A"/>
          <w:sz w:val="24"/>
          <w:szCs w:val="24"/>
        </w:rPr>
        <w:instrText xml:space="preserve"> HYPERLINK \l _Toc11737 </w:instrText>
      </w:r>
      <w:r>
        <w:rPr>
          <w:rFonts w:hint="eastAsia" w:ascii="宋体" w:hAnsi="宋体" w:eastAsia="宋体" w:cs="宋体"/>
          <w:color w:val="CE6B2A"/>
          <w:sz w:val="24"/>
          <w:szCs w:val="24"/>
        </w:rPr>
        <w:fldChar w:fldCharType="separate"/>
      </w:r>
      <w:r>
        <w:rPr>
          <w:rFonts w:hint="eastAsia" w:ascii="宋体" w:hAnsi="宋体" w:eastAsia="宋体" w:cs="宋体"/>
          <w:bCs/>
          <w:color w:val="CE6B2A"/>
          <w:sz w:val="24"/>
          <w:szCs w:val="24"/>
          <w:highlight w:val="none"/>
          <w:lang w:val="en-US" w:eastAsia="zh-CN"/>
        </w:rPr>
        <w:t>3</w:t>
      </w:r>
      <w:r>
        <w:rPr>
          <w:rFonts w:hint="eastAsia" w:ascii="宋体" w:hAnsi="宋体" w:eastAsia="宋体" w:cs="宋体"/>
          <w:bCs/>
          <w:color w:val="CE6B2A"/>
          <w:sz w:val="24"/>
          <w:szCs w:val="24"/>
          <w:highlight w:val="none"/>
        </w:rPr>
        <w:t xml:space="preserve"> 服务贡献</w:t>
      </w:r>
      <w:r>
        <w:rPr>
          <w:rFonts w:hint="eastAsia" w:ascii="宋体" w:hAnsi="宋体" w:eastAsia="宋体" w:cs="宋体"/>
          <w:color w:val="CE6B2A"/>
          <w:sz w:val="24"/>
          <w:szCs w:val="24"/>
        </w:rPr>
        <w:tab/>
      </w:r>
      <w:r>
        <w:rPr>
          <w:rFonts w:hint="eastAsia" w:ascii="宋体" w:hAnsi="宋体" w:eastAsia="宋体" w:cs="宋体"/>
          <w:color w:val="CE6B2A"/>
          <w:sz w:val="24"/>
          <w:szCs w:val="24"/>
        </w:rPr>
        <w:fldChar w:fldCharType="begin"/>
      </w:r>
      <w:r>
        <w:rPr>
          <w:rFonts w:hint="eastAsia" w:ascii="宋体" w:hAnsi="宋体" w:eastAsia="宋体" w:cs="宋体"/>
          <w:color w:val="CE6B2A"/>
          <w:sz w:val="24"/>
          <w:szCs w:val="24"/>
        </w:rPr>
        <w:instrText xml:space="preserve"> PAGEREF _Toc11737 \h </w:instrText>
      </w:r>
      <w:r>
        <w:rPr>
          <w:rFonts w:hint="eastAsia" w:ascii="宋体" w:hAnsi="宋体" w:eastAsia="宋体" w:cs="宋体"/>
          <w:color w:val="CE6B2A"/>
          <w:sz w:val="24"/>
          <w:szCs w:val="24"/>
        </w:rPr>
        <w:fldChar w:fldCharType="separate"/>
      </w:r>
      <w:r>
        <w:rPr>
          <w:rFonts w:hint="eastAsia" w:ascii="宋体" w:hAnsi="宋体" w:eastAsia="宋体" w:cs="宋体"/>
          <w:color w:val="CE6B2A"/>
          <w:sz w:val="24"/>
          <w:szCs w:val="24"/>
        </w:rPr>
        <w:t>21</w:t>
      </w:r>
      <w:r>
        <w:rPr>
          <w:rFonts w:hint="eastAsia" w:ascii="宋体" w:hAnsi="宋体" w:eastAsia="宋体" w:cs="宋体"/>
          <w:color w:val="CE6B2A"/>
          <w:sz w:val="24"/>
          <w:szCs w:val="24"/>
        </w:rPr>
        <w:fldChar w:fldCharType="end"/>
      </w:r>
      <w:r>
        <w:rPr>
          <w:rFonts w:hint="eastAsia" w:ascii="宋体" w:hAnsi="宋体" w:eastAsia="宋体" w:cs="宋体"/>
          <w:color w:val="CE6B2A"/>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_Toc3172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3</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1</w:t>
      </w:r>
      <w:r>
        <w:rPr>
          <w:rFonts w:hint="eastAsia" w:ascii="宋体" w:hAnsi="宋体" w:eastAsia="宋体" w:cs="宋体"/>
          <w:bCs/>
          <w:sz w:val="24"/>
          <w:szCs w:val="24"/>
          <w:highlight w:val="none"/>
        </w:rPr>
        <w:t xml:space="preserve"> 服务行业企业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_Toc3172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_Toc29951 </w:instrText>
      </w:r>
      <w:r>
        <w:rPr>
          <w:rFonts w:hint="eastAsia" w:ascii="宋体" w:hAnsi="宋体" w:eastAsia="宋体" w:cs="宋体"/>
          <w:sz w:val="24"/>
          <w:szCs w:val="24"/>
        </w:rPr>
        <w:fldChar w:fldCharType="separate"/>
      </w:r>
      <w:r>
        <w:rPr>
          <w:rFonts w:hint="eastAsia" w:ascii="宋体" w:hAnsi="宋体" w:eastAsia="宋体" w:cs="宋体"/>
          <w:bCs/>
          <w:kern w:val="2"/>
          <w:sz w:val="24"/>
          <w:szCs w:val="24"/>
          <w:highlight w:val="none"/>
          <w:lang w:val="en-US" w:eastAsia="zh-CN" w:bidi="ar-SA"/>
        </w:rPr>
        <w:t>3.2 服务乡村振兴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_Toc29951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_Toc25838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3.3 服务地方社区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_Toc25838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_Toc13458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3</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rPr>
        <w:t xml:space="preserve"> 具有地域特色的服务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_Toc13458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20" w:lineRule="exact"/>
        <w:textAlignment w:val="auto"/>
        <w:rPr>
          <w:rFonts w:hint="eastAsia" w:ascii="宋体" w:hAnsi="宋体" w:eastAsia="宋体" w:cs="宋体"/>
          <w:color w:val="CE6B2A"/>
          <w:sz w:val="24"/>
          <w:szCs w:val="24"/>
        </w:rPr>
      </w:pPr>
      <w:r>
        <w:rPr>
          <w:rFonts w:hint="eastAsia" w:ascii="宋体" w:hAnsi="宋体" w:eastAsia="宋体" w:cs="宋体"/>
          <w:color w:val="CE6B2A"/>
          <w:sz w:val="24"/>
          <w:szCs w:val="24"/>
        </w:rPr>
        <w:fldChar w:fldCharType="begin"/>
      </w:r>
      <w:r>
        <w:rPr>
          <w:rFonts w:hint="eastAsia" w:ascii="宋体" w:hAnsi="宋体" w:eastAsia="宋体" w:cs="宋体"/>
          <w:color w:val="CE6B2A"/>
          <w:sz w:val="24"/>
          <w:szCs w:val="24"/>
        </w:rPr>
        <w:instrText xml:space="preserve"> HYPERLINK \l _Toc20801 </w:instrText>
      </w:r>
      <w:r>
        <w:rPr>
          <w:rFonts w:hint="eastAsia" w:ascii="宋体" w:hAnsi="宋体" w:eastAsia="宋体" w:cs="宋体"/>
          <w:color w:val="CE6B2A"/>
          <w:sz w:val="24"/>
          <w:szCs w:val="24"/>
        </w:rPr>
        <w:fldChar w:fldCharType="separate"/>
      </w:r>
      <w:r>
        <w:rPr>
          <w:rFonts w:hint="eastAsia" w:ascii="宋体" w:hAnsi="宋体" w:eastAsia="宋体" w:cs="宋体"/>
          <w:bCs/>
          <w:color w:val="CE6B2A"/>
          <w:sz w:val="24"/>
          <w:szCs w:val="24"/>
          <w:highlight w:val="none"/>
          <w:lang w:val="en-US" w:eastAsia="zh-CN"/>
        </w:rPr>
        <w:t>4</w:t>
      </w:r>
      <w:r>
        <w:rPr>
          <w:rFonts w:hint="eastAsia" w:ascii="宋体" w:hAnsi="宋体" w:eastAsia="宋体" w:cs="宋体"/>
          <w:bCs/>
          <w:color w:val="CE6B2A"/>
          <w:sz w:val="24"/>
          <w:szCs w:val="24"/>
          <w:highlight w:val="none"/>
        </w:rPr>
        <w:t xml:space="preserve"> </w:t>
      </w:r>
      <w:r>
        <w:rPr>
          <w:rFonts w:hint="eastAsia" w:ascii="宋体" w:hAnsi="宋体" w:eastAsia="宋体" w:cs="宋体"/>
          <w:bCs/>
          <w:color w:val="CE6B2A"/>
          <w:sz w:val="24"/>
          <w:szCs w:val="24"/>
          <w:highlight w:val="none"/>
          <w:lang w:val="en-US" w:eastAsia="zh-CN"/>
        </w:rPr>
        <w:t>文化传承</w:t>
      </w:r>
      <w:r>
        <w:rPr>
          <w:rFonts w:hint="eastAsia" w:ascii="宋体" w:hAnsi="宋体" w:eastAsia="宋体" w:cs="宋体"/>
          <w:color w:val="CE6B2A"/>
          <w:sz w:val="24"/>
          <w:szCs w:val="24"/>
        </w:rPr>
        <w:tab/>
      </w:r>
      <w:r>
        <w:rPr>
          <w:rFonts w:hint="eastAsia" w:ascii="宋体" w:hAnsi="宋体" w:eastAsia="宋体" w:cs="宋体"/>
          <w:color w:val="CE6B2A"/>
          <w:sz w:val="24"/>
          <w:szCs w:val="24"/>
        </w:rPr>
        <w:fldChar w:fldCharType="begin"/>
      </w:r>
      <w:r>
        <w:rPr>
          <w:rFonts w:hint="eastAsia" w:ascii="宋体" w:hAnsi="宋体" w:eastAsia="宋体" w:cs="宋体"/>
          <w:color w:val="CE6B2A"/>
          <w:sz w:val="24"/>
          <w:szCs w:val="24"/>
        </w:rPr>
        <w:instrText xml:space="preserve"> PAGEREF _Toc20801 \h </w:instrText>
      </w:r>
      <w:r>
        <w:rPr>
          <w:rFonts w:hint="eastAsia" w:ascii="宋体" w:hAnsi="宋体" w:eastAsia="宋体" w:cs="宋体"/>
          <w:color w:val="CE6B2A"/>
          <w:sz w:val="24"/>
          <w:szCs w:val="24"/>
        </w:rPr>
        <w:fldChar w:fldCharType="separate"/>
      </w:r>
      <w:r>
        <w:rPr>
          <w:rFonts w:hint="eastAsia" w:ascii="宋体" w:hAnsi="宋体" w:eastAsia="宋体" w:cs="宋体"/>
          <w:color w:val="CE6B2A"/>
          <w:sz w:val="24"/>
          <w:szCs w:val="24"/>
        </w:rPr>
        <w:t>29</w:t>
      </w:r>
      <w:r>
        <w:rPr>
          <w:rFonts w:hint="eastAsia" w:ascii="宋体" w:hAnsi="宋体" w:eastAsia="宋体" w:cs="宋体"/>
          <w:color w:val="CE6B2A"/>
          <w:sz w:val="24"/>
          <w:szCs w:val="24"/>
        </w:rPr>
        <w:fldChar w:fldCharType="end"/>
      </w:r>
      <w:r>
        <w:rPr>
          <w:rFonts w:hint="eastAsia" w:ascii="宋体" w:hAnsi="宋体" w:eastAsia="宋体" w:cs="宋体"/>
          <w:color w:val="CE6B2A"/>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_Toc23186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1 红色文化传承</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_Toc23186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_Toc23026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4.2 传统文化传承</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_Toc23026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_Toc7566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4.3 地方文化传承</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_Toc7566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20" w:lineRule="exact"/>
        <w:textAlignment w:val="auto"/>
        <w:rPr>
          <w:rFonts w:hint="eastAsia" w:ascii="宋体" w:hAnsi="宋体" w:eastAsia="宋体" w:cs="宋体"/>
          <w:color w:val="CE6B2A"/>
          <w:sz w:val="24"/>
          <w:szCs w:val="24"/>
        </w:rPr>
      </w:pPr>
      <w:r>
        <w:rPr>
          <w:rFonts w:hint="eastAsia" w:ascii="宋体" w:hAnsi="宋体" w:eastAsia="宋体" w:cs="宋体"/>
          <w:color w:val="CE6B2A"/>
          <w:sz w:val="24"/>
          <w:szCs w:val="24"/>
        </w:rPr>
        <w:fldChar w:fldCharType="begin"/>
      </w:r>
      <w:r>
        <w:rPr>
          <w:rFonts w:hint="eastAsia" w:ascii="宋体" w:hAnsi="宋体" w:eastAsia="宋体" w:cs="宋体"/>
          <w:color w:val="CE6B2A"/>
          <w:sz w:val="24"/>
          <w:szCs w:val="24"/>
        </w:rPr>
        <w:instrText xml:space="preserve"> HYPERLINK \l _Toc4723 </w:instrText>
      </w:r>
      <w:r>
        <w:rPr>
          <w:rFonts w:hint="eastAsia" w:ascii="宋体" w:hAnsi="宋体" w:eastAsia="宋体" w:cs="宋体"/>
          <w:color w:val="CE6B2A"/>
          <w:sz w:val="24"/>
          <w:szCs w:val="24"/>
        </w:rPr>
        <w:fldChar w:fldCharType="separate"/>
      </w:r>
      <w:r>
        <w:rPr>
          <w:rFonts w:hint="eastAsia" w:ascii="宋体" w:hAnsi="宋体" w:eastAsia="宋体" w:cs="宋体"/>
          <w:bCs/>
          <w:color w:val="CE6B2A"/>
          <w:sz w:val="24"/>
          <w:szCs w:val="24"/>
          <w:highlight w:val="none"/>
          <w:lang w:val="en-US" w:eastAsia="zh-CN"/>
        </w:rPr>
        <w:t>5 国际合作</w:t>
      </w:r>
      <w:r>
        <w:rPr>
          <w:rFonts w:hint="eastAsia" w:ascii="宋体" w:hAnsi="宋体" w:eastAsia="宋体" w:cs="宋体"/>
          <w:color w:val="CE6B2A"/>
          <w:sz w:val="24"/>
          <w:szCs w:val="24"/>
        </w:rPr>
        <w:tab/>
      </w:r>
      <w:r>
        <w:rPr>
          <w:rFonts w:hint="eastAsia" w:ascii="宋体" w:hAnsi="宋体" w:eastAsia="宋体" w:cs="宋体"/>
          <w:color w:val="CE6B2A"/>
          <w:sz w:val="24"/>
          <w:szCs w:val="24"/>
        </w:rPr>
        <w:fldChar w:fldCharType="begin"/>
      </w:r>
      <w:r>
        <w:rPr>
          <w:rFonts w:hint="eastAsia" w:ascii="宋体" w:hAnsi="宋体" w:eastAsia="宋体" w:cs="宋体"/>
          <w:color w:val="CE6B2A"/>
          <w:sz w:val="24"/>
          <w:szCs w:val="24"/>
        </w:rPr>
        <w:instrText xml:space="preserve"> PAGEREF _Toc4723 \h </w:instrText>
      </w:r>
      <w:r>
        <w:rPr>
          <w:rFonts w:hint="eastAsia" w:ascii="宋体" w:hAnsi="宋体" w:eastAsia="宋体" w:cs="宋体"/>
          <w:color w:val="CE6B2A"/>
          <w:sz w:val="24"/>
          <w:szCs w:val="24"/>
        </w:rPr>
        <w:fldChar w:fldCharType="separate"/>
      </w:r>
      <w:r>
        <w:rPr>
          <w:rFonts w:hint="eastAsia" w:ascii="宋体" w:hAnsi="宋体" w:eastAsia="宋体" w:cs="宋体"/>
          <w:color w:val="CE6B2A"/>
          <w:sz w:val="24"/>
          <w:szCs w:val="24"/>
        </w:rPr>
        <w:t>35</w:t>
      </w:r>
      <w:r>
        <w:rPr>
          <w:rFonts w:hint="eastAsia" w:ascii="宋体" w:hAnsi="宋体" w:eastAsia="宋体" w:cs="宋体"/>
          <w:color w:val="CE6B2A"/>
          <w:sz w:val="24"/>
          <w:szCs w:val="24"/>
        </w:rPr>
        <w:fldChar w:fldCharType="end"/>
      </w:r>
      <w:r>
        <w:rPr>
          <w:rFonts w:hint="eastAsia" w:ascii="宋体" w:hAnsi="宋体" w:eastAsia="宋体" w:cs="宋体"/>
          <w:color w:val="CE6B2A"/>
          <w:sz w:val="24"/>
          <w:szCs w:val="24"/>
        </w:rPr>
        <w:fldChar w:fldCharType="end"/>
      </w:r>
    </w:p>
    <w:p>
      <w:pPr>
        <w:pStyle w:val="19"/>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20" w:lineRule="exact"/>
        <w:textAlignment w:val="auto"/>
        <w:rPr>
          <w:rFonts w:hint="eastAsia" w:ascii="宋体" w:hAnsi="宋体" w:eastAsia="宋体" w:cs="宋体"/>
          <w:color w:val="CE6B2A"/>
          <w:sz w:val="24"/>
          <w:szCs w:val="24"/>
        </w:rPr>
      </w:pPr>
      <w:r>
        <w:rPr>
          <w:rFonts w:hint="eastAsia" w:ascii="宋体" w:hAnsi="宋体" w:eastAsia="宋体" w:cs="宋体"/>
          <w:color w:val="CE6B2A"/>
          <w:sz w:val="24"/>
          <w:szCs w:val="24"/>
        </w:rPr>
        <w:fldChar w:fldCharType="begin"/>
      </w:r>
      <w:r>
        <w:rPr>
          <w:rFonts w:hint="eastAsia" w:ascii="宋体" w:hAnsi="宋体" w:eastAsia="宋体" w:cs="宋体"/>
          <w:color w:val="CE6B2A"/>
          <w:sz w:val="24"/>
          <w:szCs w:val="24"/>
        </w:rPr>
        <w:instrText xml:space="preserve"> HYPERLINK \l _Toc9670 </w:instrText>
      </w:r>
      <w:r>
        <w:rPr>
          <w:rFonts w:hint="eastAsia" w:ascii="宋体" w:hAnsi="宋体" w:eastAsia="宋体" w:cs="宋体"/>
          <w:color w:val="CE6B2A"/>
          <w:sz w:val="24"/>
          <w:szCs w:val="24"/>
        </w:rPr>
        <w:fldChar w:fldCharType="separate"/>
      </w:r>
      <w:r>
        <w:rPr>
          <w:rFonts w:hint="eastAsia" w:ascii="宋体" w:hAnsi="宋体" w:eastAsia="宋体" w:cs="宋体"/>
          <w:bCs/>
          <w:color w:val="CE6B2A"/>
          <w:sz w:val="24"/>
          <w:szCs w:val="24"/>
          <w:highlight w:val="none"/>
          <w:lang w:val="en-US" w:eastAsia="zh-CN"/>
        </w:rPr>
        <w:t>6 融合发展</w:t>
      </w:r>
      <w:r>
        <w:rPr>
          <w:rFonts w:hint="eastAsia" w:ascii="宋体" w:hAnsi="宋体" w:eastAsia="宋体" w:cs="宋体"/>
          <w:color w:val="CE6B2A"/>
          <w:sz w:val="24"/>
          <w:szCs w:val="24"/>
        </w:rPr>
        <w:tab/>
      </w:r>
      <w:r>
        <w:rPr>
          <w:rFonts w:hint="eastAsia" w:ascii="宋体" w:hAnsi="宋体" w:eastAsia="宋体" w:cs="宋体"/>
          <w:color w:val="CE6B2A"/>
          <w:sz w:val="24"/>
          <w:szCs w:val="24"/>
        </w:rPr>
        <w:fldChar w:fldCharType="begin"/>
      </w:r>
      <w:r>
        <w:rPr>
          <w:rFonts w:hint="eastAsia" w:ascii="宋体" w:hAnsi="宋体" w:eastAsia="宋体" w:cs="宋体"/>
          <w:color w:val="CE6B2A"/>
          <w:sz w:val="24"/>
          <w:szCs w:val="24"/>
        </w:rPr>
        <w:instrText xml:space="preserve"> PAGEREF _Toc9670 \h </w:instrText>
      </w:r>
      <w:r>
        <w:rPr>
          <w:rFonts w:hint="eastAsia" w:ascii="宋体" w:hAnsi="宋体" w:eastAsia="宋体" w:cs="宋体"/>
          <w:color w:val="CE6B2A"/>
          <w:sz w:val="24"/>
          <w:szCs w:val="24"/>
        </w:rPr>
        <w:fldChar w:fldCharType="separate"/>
      </w:r>
      <w:r>
        <w:rPr>
          <w:rFonts w:hint="eastAsia" w:ascii="宋体" w:hAnsi="宋体" w:eastAsia="宋体" w:cs="宋体"/>
          <w:color w:val="CE6B2A"/>
          <w:sz w:val="24"/>
          <w:szCs w:val="24"/>
        </w:rPr>
        <w:t>37</w:t>
      </w:r>
      <w:r>
        <w:rPr>
          <w:rFonts w:hint="eastAsia" w:ascii="宋体" w:hAnsi="宋体" w:eastAsia="宋体" w:cs="宋体"/>
          <w:color w:val="CE6B2A"/>
          <w:sz w:val="24"/>
          <w:szCs w:val="24"/>
        </w:rPr>
        <w:fldChar w:fldCharType="end"/>
      </w:r>
      <w:r>
        <w:rPr>
          <w:rFonts w:hint="eastAsia" w:ascii="宋体" w:hAnsi="宋体" w:eastAsia="宋体" w:cs="宋体"/>
          <w:color w:val="CE6B2A"/>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_Toc16955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.1</w:t>
      </w:r>
      <w:r>
        <w:rPr>
          <w:rFonts w:hint="eastAsia" w:ascii="宋体" w:hAnsi="宋体" w:eastAsia="宋体" w:cs="宋体"/>
          <w:bCs/>
          <w:sz w:val="24"/>
          <w:szCs w:val="24"/>
          <w:highlight w:val="none"/>
          <w:lang w:val="en-US" w:eastAsia="zh-CN"/>
        </w:rPr>
        <w:t xml:space="preserve"> 产教融合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_Toc16955 \h </w:instrText>
      </w:r>
      <w:r>
        <w:rPr>
          <w:rFonts w:hint="eastAsia" w:ascii="宋体" w:hAnsi="宋体" w:eastAsia="宋体" w:cs="宋体"/>
          <w:sz w:val="24"/>
          <w:szCs w:val="24"/>
        </w:rPr>
        <w:fldChar w:fldCharType="separate"/>
      </w:r>
      <w:r>
        <w:rPr>
          <w:rFonts w:hint="eastAsia" w:ascii="宋体" w:hAnsi="宋体" w:eastAsia="宋体" w:cs="宋体"/>
          <w:sz w:val="24"/>
          <w:szCs w:val="24"/>
        </w:rPr>
        <w:t>37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_Toc9278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2 职普融通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_Toc9278 \h </w:instrText>
      </w:r>
      <w:r>
        <w:rPr>
          <w:rFonts w:hint="eastAsia" w:ascii="宋体" w:hAnsi="宋体" w:eastAsia="宋体" w:cs="宋体"/>
          <w:sz w:val="24"/>
          <w:szCs w:val="24"/>
        </w:rPr>
        <w:fldChar w:fldCharType="separate"/>
      </w:r>
      <w:r>
        <w:rPr>
          <w:rFonts w:hint="eastAsia" w:ascii="宋体" w:hAnsi="宋体" w:eastAsia="宋体" w:cs="宋体"/>
          <w:sz w:val="24"/>
          <w:szCs w:val="24"/>
        </w:rPr>
        <w:t>39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20" w:lineRule="exact"/>
        <w:textAlignment w:val="auto"/>
        <w:rPr>
          <w:rFonts w:hint="eastAsia" w:ascii="宋体" w:hAnsi="宋体" w:eastAsia="宋体" w:cs="宋体"/>
          <w:color w:val="CE6B2A"/>
          <w:sz w:val="24"/>
          <w:szCs w:val="24"/>
        </w:rPr>
      </w:pPr>
      <w:r>
        <w:rPr>
          <w:rFonts w:hint="eastAsia" w:ascii="宋体" w:hAnsi="宋体" w:eastAsia="宋体" w:cs="宋体"/>
          <w:color w:val="CE6B2A"/>
          <w:sz w:val="24"/>
          <w:szCs w:val="24"/>
        </w:rPr>
        <w:fldChar w:fldCharType="begin"/>
      </w:r>
      <w:r>
        <w:rPr>
          <w:rFonts w:hint="eastAsia" w:ascii="宋体" w:hAnsi="宋体" w:eastAsia="宋体" w:cs="宋体"/>
          <w:color w:val="CE6B2A"/>
          <w:sz w:val="24"/>
          <w:szCs w:val="24"/>
        </w:rPr>
        <w:instrText xml:space="preserve"> HYPERLINK \l _Toc26621 </w:instrText>
      </w:r>
      <w:r>
        <w:rPr>
          <w:rFonts w:hint="eastAsia" w:ascii="宋体" w:hAnsi="宋体" w:eastAsia="宋体" w:cs="宋体"/>
          <w:color w:val="CE6B2A"/>
          <w:sz w:val="24"/>
          <w:szCs w:val="24"/>
        </w:rPr>
        <w:fldChar w:fldCharType="separate"/>
      </w:r>
      <w:r>
        <w:rPr>
          <w:rFonts w:hint="eastAsia" w:ascii="宋体" w:hAnsi="宋体" w:eastAsia="宋体" w:cs="宋体"/>
          <w:bCs/>
          <w:color w:val="CE6B2A"/>
          <w:sz w:val="24"/>
          <w:szCs w:val="24"/>
          <w:highlight w:val="none"/>
          <w:lang w:val="en-US" w:eastAsia="zh-CN"/>
        </w:rPr>
        <w:t>7 发展保障</w:t>
      </w:r>
      <w:r>
        <w:rPr>
          <w:rFonts w:hint="eastAsia" w:ascii="宋体" w:hAnsi="宋体" w:eastAsia="宋体" w:cs="宋体"/>
          <w:color w:val="CE6B2A"/>
          <w:sz w:val="24"/>
          <w:szCs w:val="24"/>
        </w:rPr>
        <w:tab/>
      </w:r>
      <w:r>
        <w:rPr>
          <w:rFonts w:hint="eastAsia" w:ascii="宋体" w:hAnsi="宋体" w:eastAsia="宋体" w:cs="宋体"/>
          <w:color w:val="CE6B2A"/>
          <w:sz w:val="24"/>
          <w:szCs w:val="24"/>
        </w:rPr>
        <w:fldChar w:fldCharType="begin"/>
      </w:r>
      <w:r>
        <w:rPr>
          <w:rFonts w:hint="eastAsia" w:ascii="宋体" w:hAnsi="宋体" w:eastAsia="宋体" w:cs="宋体"/>
          <w:color w:val="CE6B2A"/>
          <w:sz w:val="24"/>
          <w:szCs w:val="24"/>
        </w:rPr>
        <w:instrText xml:space="preserve"> PAGEREF _Toc26621 \h </w:instrText>
      </w:r>
      <w:r>
        <w:rPr>
          <w:rFonts w:hint="eastAsia" w:ascii="宋体" w:hAnsi="宋体" w:eastAsia="宋体" w:cs="宋体"/>
          <w:color w:val="CE6B2A"/>
          <w:sz w:val="24"/>
          <w:szCs w:val="24"/>
        </w:rPr>
        <w:fldChar w:fldCharType="separate"/>
      </w:r>
      <w:r>
        <w:rPr>
          <w:rFonts w:hint="eastAsia" w:ascii="宋体" w:hAnsi="宋体" w:eastAsia="宋体" w:cs="宋体"/>
          <w:color w:val="CE6B2A"/>
          <w:sz w:val="24"/>
          <w:szCs w:val="24"/>
        </w:rPr>
        <w:t>41</w:t>
      </w:r>
      <w:r>
        <w:rPr>
          <w:rFonts w:hint="eastAsia" w:ascii="宋体" w:hAnsi="宋体" w:eastAsia="宋体" w:cs="宋体"/>
          <w:color w:val="CE6B2A"/>
          <w:sz w:val="24"/>
          <w:szCs w:val="24"/>
        </w:rPr>
        <w:fldChar w:fldCharType="end"/>
      </w:r>
      <w:r>
        <w:rPr>
          <w:rFonts w:hint="eastAsia" w:ascii="宋体" w:hAnsi="宋体" w:eastAsia="宋体" w:cs="宋体"/>
          <w:color w:val="CE6B2A"/>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_Toc28572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7.1 专业建设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_Toc28572 \h </w:instrText>
      </w:r>
      <w:r>
        <w:rPr>
          <w:rFonts w:hint="eastAsia" w:ascii="宋体" w:hAnsi="宋体" w:eastAsia="宋体" w:cs="宋体"/>
          <w:sz w:val="24"/>
          <w:szCs w:val="24"/>
        </w:rPr>
        <w:fldChar w:fldCharType="separate"/>
      </w:r>
      <w:r>
        <w:rPr>
          <w:rFonts w:hint="eastAsia" w:ascii="宋体" w:hAnsi="宋体" w:eastAsia="宋体" w:cs="宋体"/>
          <w:sz w:val="24"/>
          <w:szCs w:val="24"/>
        </w:rPr>
        <w:t>41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_Toc28569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7</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 xml:space="preserve">2 </w:t>
      </w:r>
      <w:r>
        <w:rPr>
          <w:rFonts w:hint="eastAsia" w:ascii="宋体" w:hAnsi="宋体" w:eastAsia="宋体" w:cs="宋体"/>
          <w:bCs/>
          <w:sz w:val="24"/>
          <w:szCs w:val="24"/>
          <w:highlight w:val="none"/>
        </w:rPr>
        <w:t>师资建设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_Toc28569 \h </w:instrText>
      </w:r>
      <w:r>
        <w:rPr>
          <w:rFonts w:hint="eastAsia" w:ascii="宋体" w:hAnsi="宋体" w:eastAsia="宋体" w:cs="宋体"/>
          <w:sz w:val="24"/>
          <w:szCs w:val="24"/>
        </w:rPr>
        <w:fldChar w:fldCharType="separate"/>
      </w:r>
      <w:r>
        <w:rPr>
          <w:rFonts w:hint="eastAsia" w:ascii="宋体" w:hAnsi="宋体" w:eastAsia="宋体" w:cs="宋体"/>
          <w:sz w:val="24"/>
          <w:szCs w:val="24"/>
        </w:rPr>
        <w:t>43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_Toc15560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7</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 xml:space="preserve">3 </w:t>
      </w:r>
      <w:r>
        <w:rPr>
          <w:rFonts w:hint="eastAsia" w:ascii="宋体" w:hAnsi="宋体" w:eastAsia="宋体" w:cs="宋体"/>
          <w:bCs/>
          <w:sz w:val="24"/>
          <w:szCs w:val="24"/>
          <w:highlight w:val="none"/>
        </w:rPr>
        <w:t>课程建设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_Toc15560 \h </w:instrText>
      </w:r>
      <w:r>
        <w:rPr>
          <w:rFonts w:hint="eastAsia" w:ascii="宋体" w:hAnsi="宋体" w:eastAsia="宋体" w:cs="宋体"/>
          <w:sz w:val="24"/>
          <w:szCs w:val="24"/>
        </w:rPr>
        <w:fldChar w:fldCharType="separate"/>
      </w:r>
      <w:r>
        <w:rPr>
          <w:rFonts w:hint="eastAsia" w:ascii="宋体" w:hAnsi="宋体" w:eastAsia="宋体" w:cs="宋体"/>
          <w:sz w:val="24"/>
          <w:szCs w:val="24"/>
        </w:rPr>
        <w:t>48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_Toc30903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7</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 xml:space="preserve">4 </w:t>
      </w:r>
      <w:r>
        <w:rPr>
          <w:rFonts w:hint="eastAsia" w:ascii="宋体" w:hAnsi="宋体" w:eastAsia="宋体" w:cs="宋体"/>
          <w:bCs/>
          <w:sz w:val="24"/>
          <w:szCs w:val="24"/>
          <w:highlight w:val="none"/>
        </w:rPr>
        <w:t>教材建设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_Toc30903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_Toc31137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7</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 xml:space="preserve">5 </w:t>
      </w:r>
      <w:r>
        <w:rPr>
          <w:rFonts w:hint="eastAsia" w:ascii="宋体" w:hAnsi="宋体" w:eastAsia="宋体" w:cs="宋体"/>
          <w:bCs/>
          <w:sz w:val="24"/>
          <w:szCs w:val="24"/>
          <w:highlight w:val="none"/>
        </w:rPr>
        <w:t>资源建设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_Toc31137 \h </w:instrText>
      </w:r>
      <w:r>
        <w:rPr>
          <w:rFonts w:hint="eastAsia" w:ascii="宋体" w:hAnsi="宋体" w:eastAsia="宋体" w:cs="宋体"/>
          <w:sz w:val="24"/>
          <w:szCs w:val="24"/>
        </w:rPr>
        <w:fldChar w:fldCharType="separate"/>
      </w:r>
      <w:r>
        <w:rPr>
          <w:rFonts w:hint="eastAsia" w:ascii="宋体" w:hAnsi="宋体" w:eastAsia="宋体" w:cs="宋体"/>
          <w:sz w:val="24"/>
          <w:szCs w:val="24"/>
        </w:rPr>
        <w:t>52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_Toc15153 </w:instrText>
      </w:r>
      <w:r>
        <w:rPr>
          <w:rFonts w:hint="eastAsia" w:ascii="宋体" w:hAnsi="宋体" w:eastAsia="宋体" w:cs="宋体"/>
          <w:sz w:val="24"/>
          <w:szCs w:val="24"/>
        </w:rPr>
        <w:fldChar w:fldCharType="separate"/>
      </w:r>
      <w:r>
        <w:rPr>
          <w:rFonts w:hint="eastAsia" w:ascii="宋体" w:hAnsi="宋体" w:eastAsia="宋体" w:cs="宋体"/>
          <w:bCs/>
          <w:kern w:val="2"/>
          <w:sz w:val="24"/>
          <w:szCs w:val="24"/>
          <w:highlight w:val="none"/>
          <w:lang w:val="en-US" w:eastAsia="zh-CN" w:bidi="ar-SA"/>
        </w:rPr>
        <w:t>7.6 教研教改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_Toc15153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_Toc16965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7</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7</w:t>
      </w:r>
      <w:r>
        <w:rPr>
          <w:rFonts w:hint="eastAsia" w:ascii="宋体" w:hAnsi="宋体" w:eastAsia="宋体" w:cs="宋体"/>
          <w:bCs/>
          <w:sz w:val="24"/>
          <w:szCs w:val="24"/>
          <w:highlight w:val="none"/>
        </w:rPr>
        <w:t xml:space="preserve"> 资助情况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_Toc16965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_Toc16300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7</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8</w:t>
      </w:r>
      <w:r>
        <w:rPr>
          <w:rFonts w:hint="eastAsia" w:ascii="宋体" w:hAnsi="宋体" w:eastAsia="宋体" w:cs="宋体"/>
          <w:bCs/>
          <w:sz w:val="24"/>
          <w:szCs w:val="24"/>
          <w:highlight w:val="none"/>
        </w:rPr>
        <w:t xml:space="preserve"> 政策落实</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_Toc16300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_Toc28099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7</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9</w:t>
      </w:r>
      <w:r>
        <w:rPr>
          <w:rFonts w:hint="eastAsia" w:ascii="宋体" w:hAnsi="宋体" w:eastAsia="宋体" w:cs="宋体"/>
          <w:bCs/>
          <w:sz w:val="24"/>
          <w:szCs w:val="24"/>
          <w:highlight w:val="none"/>
        </w:rPr>
        <w:t xml:space="preserve"> 质量保障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_Toc28099 \h </w:instrText>
      </w:r>
      <w:r>
        <w:rPr>
          <w:rFonts w:hint="eastAsia" w:ascii="宋体" w:hAnsi="宋体" w:eastAsia="宋体" w:cs="宋体"/>
          <w:sz w:val="24"/>
          <w:szCs w:val="24"/>
        </w:rPr>
        <w:fldChar w:fldCharType="separate"/>
      </w:r>
      <w:r>
        <w:rPr>
          <w:rFonts w:hint="eastAsia" w:ascii="宋体" w:hAnsi="宋体" w:eastAsia="宋体" w:cs="宋体"/>
          <w:sz w:val="24"/>
          <w:szCs w:val="24"/>
        </w:rPr>
        <w:t>60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_Toc5645 </w:instrText>
      </w:r>
      <w:r>
        <w:rPr>
          <w:rFonts w:hint="eastAsia" w:ascii="宋体" w:hAnsi="宋体" w:eastAsia="宋体" w:cs="宋体"/>
          <w:sz w:val="24"/>
          <w:szCs w:val="24"/>
        </w:rPr>
        <w:fldChar w:fldCharType="separate"/>
      </w:r>
      <w:r>
        <w:rPr>
          <w:rFonts w:hint="eastAsia" w:ascii="宋体" w:hAnsi="宋体" w:eastAsia="宋体" w:cs="宋体"/>
          <w:bCs/>
          <w:kern w:val="2"/>
          <w:sz w:val="24"/>
          <w:szCs w:val="24"/>
          <w:highlight w:val="none"/>
          <w:lang w:val="en-US" w:eastAsia="zh-CN" w:bidi="ar-SA"/>
        </w:rPr>
        <w:t>7.10 合规性检查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_Toc5645 \h </w:instrText>
      </w:r>
      <w:r>
        <w:rPr>
          <w:rFonts w:hint="eastAsia" w:ascii="宋体" w:hAnsi="宋体" w:eastAsia="宋体" w:cs="宋体"/>
          <w:sz w:val="24"/>
          <w:szCs w:val="24"/>
        </w:rPr>
        <w:fldChar w:fldCharType="separate"/>
      </w:r>
      <w:r>
        <w:rPr>
          <w:rFonts w:hint="eastAsia" w:ascii="宋体" w:hAnsi="宋体" w:eastAsia="宋体" w:cs="宋体"/>
          <w:sz w:val="24"/>
          <w:szCs w:val="24"/>
        </w:rPr>
        <w:t>61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_Toc21805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7</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val="en-US" w:eastAsia="zh-CN"/>
        </w:rPr>
        <w:t>11</w:t>
      </w:r>
      <w:r>
        <w:rPr>
          <w:rFonts w:hint="eastAsia" w:ascii="宋体" w:hAnsi="宋体" w:eastAsia="宋体" w:cs="宋体"/>
          <w:bCs/>
          <w:sz w:val="24"/>
          <w:szCs w:val="24"/>
          <w:highlight w:val="none"/>
        </w:rPr>
        <w:t xml:space="preserve"> 经费投入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_Toc21805 \h </w:instrText>
      </w:r>
      <w:r>
        <w:rPr>
          <w:rFonts w:hint="eastAsia" w:ascii="宋体" w:hAnsi="宋体" w:eastAsia="宋体" w:cs="宋体"/>
          <w:sz w:val="24"/>
          <w:szCs w:val="24"/>
        </w:rPr>
        <w:fldChar w:fldCharType="separate"/>
      </w:r>
      <w:r>
        <w:rPr>
          <w:rFonts w:hint="eastAsia" w:ascii="宋体" w:hAnsi="宋体" w:eastAsia="宋体" w:cs="宋体"/>
          <w:sz w:val="24"/>
          <w:szCs w:val="24"/>
        </w:rPr>
        <w:t>65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20" w:lineRule="exact"/>
        <w:textAlignment w:val="auto"/>
        <w:rPr>
          <w:rFonts w:hint="eastAsia" w:ascii="宋体" w:hAnsi="宋体" w:eastAsia="宋体" w:cs="宋体"/>
          <w:color w:val="CE6B2A"/>
          <w:sz w:val="24"/>
          <w:szCs w:val="24"/>
        </w:rPr>
      </w:pPr>
      <w:r>
        <w:rPr>
          <w:rFonts w:hint="eastAsia" w:ascii="宋体" w:hAnsi="宋体" w:eastAsia="宋体" w:cs="宋体"/>
          <w:color w:val="CE6B2A"/>
          <w:sz w:val="24"/>
          <w:szCs w:val="24"/>
        </w:rPr>
        <w:fldChar w:fldCharType="begin"/>
      </w:r>
      <w:r>
        <w:rPr>
          <w:rFonts w:hint="eastAsia" w:ascii="宋体" w:hAnsi="宋体" w:eastAsia="宋体" w:cs="宋体"/>
          <w:color w:val="CE6B2A"/>
          <w:sz w:val="24"/>
          <w:szCs w:val="24"/>
        </w:rPr>
        <w:instrText xml:space="preserve"> HYPERLINK \l _Toc16576 </w:instrText>
      </w:r>
      <w:r>
        <w:rPr>
          <w:rFonts w:hint="eastAsia" w:ascii="宋体" w:hAnsi="宋体" w:eastAsia="宋体" w:cs="宋体"/>
          <w:color w:val="CE6B2A"/>
          <w:sz w:val="24"/>
          <w:szCs w:val="24"/>
        </w:rPr>
        <w:fldChar w:fldCharType="separate"/>
      </w:r>
      <w:r>
        <w:rPr>
          <w:rFonts w:hint="eastAsia" w:ascii="宋体" w:hAnsi="宋体" w:eastAsia="宋体" w:cs="宋体"/>
          <w:bCs/>
          <w:color w:val="CE6B2A"/>
          <w:sz w:val="24"/>
          <w:szCs w:val="24"/>
          <w:highlight w:val="none"/>
          <w:lang w:val="en-US" w:eastAsia="zh-CN"/>
        </w:rPr>
        <w:t>8 面临挑战</w:t>
      </w:r>
      <w:r>
        <w:rPr>
          <w:rFonts w:hint="eastAsia" w:ascii="宋体" w:hAnsi="宋体" w:eastAsia="宋体" w:cs="宋体"/>
          <w:color w:val="CE6B2A"/>
          <w:sz w:val="24"/>
          <w:szCs w:val="24"/>
        </w:rPr>
        <w:tab/>
      </w:r>
      <w:r>
        <w:rPr>
          <w:rFonts w:hint="eastAsia" w:ascii="宋体" w:hAnsi="宋体" w:eastAsia="宋体" w:cs="宋体"/>
          <w:color w:val="CE6B2A"/>
          <w:sz w:val="24"/>
          <w:szCs w:val="24"/>
        </w:rPr>
        <w:fldChar w:fldCharType="begin"/>
      </w:r>
      <w:r>
        <w:rPr>
          <w:rFonts w:hint="eastAsia" w:ascii="宋体" w:hAnsi="宋体" w:eastAsia="宋体" w:cs="宋体"/>
          <w:color w:val="CE6B2A"/>
          <w:sz w:val="24"/>
          <w:szCs w:val="24"/>
        </w:rPr>
        <w:instrText xml:space="preserve"> PAGEREF _Toc16576 \h </w:instrText>
      </w:r>
      <w:r>
        <w:rPr>
          <w:rFonts w:hint="eastAsia" w:ascii="宋体" w:hAnsi="宋体" w:eastAsia="宋体" w:cs="宋体"/>
          <w:color w:val="CE6B2A"/>
          <w:sz w:val="24"/>
          <w:szCs w:val="24"/>
        </w:rPr>
        <w:fldChar w:fldCharType="separate"/>
      </w:r>
      <w:r>
        <w:rPr>
          <w:rFonts w:hint="eastAsia" w:ascii="宋体" w:hAnsi="宋体" w:eastAsia="宋体" w:cs="宋体"/>
          <w:color w:val="CE6B2A"/>
          <w:sz w:val="24"/>
          <w:szCs w:val="24"/>
        </w:rPr>
        <w:t>66</w:t>
      </w:r>
      <w:r>
        <w:rPr>
          <w:rFonts w:hint="eastAsia" w:ascii="宋体" w:hAnsi="宋体" w:eastAsia="宋体" w:cs="宋体"/>
          <w:color w:val="CE6B2A"/>
          <w:sz w:val="24"/>
          <w:szCs w:val="24"/>
        </w:rPr>
        <w:fldChar w:fldCharType="end"/>
      </w:r>
      <w:r>
        <w:rPr>
          <w:rFonts w:hint="eastAsia" w:ascii="宋体" w:hAnsi="宋体" w:eastAsia="宋体" w:cs="宋体"/>
          <w:color w:val="CE6B2A"/>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_Toc20579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8</w:t>
      </w:r>
      <w:r>
        <w:rPr>
          <w:rFonts w:hint="eastAsia" w:ascii="宋体" w:hAnsi="宋体" w:eastAsia="宋体" w:cs="宋体"/>
          <w:bCs/>
          <w:sz w:val="24"/>
          <w:szCs w:val="24"/>
          <w:highlight w:val="none"/>
        </w:rPr>
        <w:t>.1 主要问题</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_Toc20579 \h </w:instrText>
      </w:r>
      <w:r>
        <w:rPr>
          <w:rFonts w:hint="eastAsia" w:ascii="宋体" w:hAnsi="宋体" w:eastAsia="宋体" w:cs="宋体"/>
          <w:sz w:val="24"/>
          <w:szCs w:val="24"/>
        </w:rPr>
        <w:fldChar w:fldCharType="separate"/>
      </w:r>
      <w:r>
        <w:rPr>
          <w:rFonts w:hint="eastAsia" w:ascii="宋体" w:hAnsi="宋体" w:eastAsia="宋体" w:cs="宋体"/>
          <w:sz w:val="24"/>
          <w:szCs w:val="24"/>
        </w:rPr>
        <w:t>66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2"/>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_Toc728 </w:instrText>
      </w:r>
      <w:r>
        <w:rPr>
          <w:rFonts w:hint="eastAsia" w:ascii="宋体" w:hAnsi="宋体" w:eastAsia="宋体" w:cs="宋体"/>
          <w:sz w:val="24"/>
          <w:szCs w:val="24"/>
        </w:rPr>
        <w:fldChar w:fldCharType="separate"/>
      </w:r>
      <w:r>
        <w:rPr>
          <w:rFonts w:hint="eastAsia" w:ascii="宋体" w:hAnsi="宋体" w:eastAsia="宋体" w:cs="宋体"/>
          <w:bCs/>
          <w:sz w:val="24"/>
          <w:szCs w:val="24"/>
          <w:highlight w:val="none"/>
          <w:lang w:val="en-US" w:eastAsia="zh-CN"/>
        </w:rPr>
        <w:t>8.2 改进措施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_Toc728 \h </w:instrText>
      </w:r>
      <w:r>
        <w:rPr>
          <w:rFonts w:hint="eastAsia" w:ascii="宋体" w:hAnsi="宋体" w:eastAsia="宋体" w:cs="宋体"/>
          <w:sz w:val="24"/>
          <w:szCs w:val="24"/>
        </w:rPr>
        <w:fldChar w:fldCharType="separate"/>
      </w:r>
      <w:r>
        <w:rPr>
          <w:rFonts w:hint="eastAsia" w:ascii="宋体" w:hAnsi="宋体" w:eastAsia="宋体" w:cs="宋体"/>
          <w:sz w:val="24"/>
          <w:szCs w:val="24"/>
        </w:rPr>
        <w:t>67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9"/>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20" w:lineRule="exact"/>
        <w:textAlignment w:val="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_Toc32271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附表1  人才培养质量计分卡</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_Toc32271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69</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9"/>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20" w:lineRule="exact"/>
        <w:textAlignment w:val="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_Toc28822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附表2  满意度调查表</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_Toc28822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70</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9"/>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20" w:lineRule="exact"/>
        <w:textAlignment w:val="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_Toc22699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附表3  教学资源表</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_Toc22699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71</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9"/>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20" w:lineRule="exact"/>
        <w:textAlignment w:val="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_Toc23778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附表4  服务贡献表</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_Toc23778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73</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9"/>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20" w:lineRule="exact"/>
        <w:textAlignment w:val="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_Toc26758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附表5  国际影响表</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_Toc26758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74</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9"/>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520" w:lineRule="exact"/>
        <w:textAlignment w:val="auto"/>
        <w:rPr>
          <w:b w:val="0"/>
          <w:bCs/>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_Toc21424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附表6  落实政策表</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_Toc21424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75</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keepNext w:val="0"/>
        <w:keepLines w:val="0"/>
        <w:pageBreakBefore w:val="0"/>
        <w:widowControl w:val="0"/>
        <w:kinsoku/>
        <w:wordWrap/>
        <w:overflowPunct/>
        <w:topLinePunct w:val="0"/>
        <w:autoSpaceDE/>
        <w:autoSpaceDN/>
        <w:bidi w:val="0"/>
        <w:adjustRightInd/>
        <w:snapToGrid/>
        <w:spacing w:after="219" w:afterLines="70" w:line="520" w:lineRule="exact"/>
        <w:jc w:val="center"/>
        <w:textAlignment w:val="auto"/>
        <w:outlineLvl w:val="9"/>
        <w:rPr>
          <w:rFonts w:ascii="Times New Roman" w:hAnsi="Times New Roman" w:eastAsia="宋体"/>
          <w:sz w:val="24"/>
          <w:szCs w:val="24"/>
        </w:rPr>
      </w:pPr>
      <w:r>
        <w:rPr>
          <w:rFonts w:ascii="Times New Roman" w:hAnsi="Times New Roman" w:eastAsia="宋体"/>
          <w:szCs w:val="24"/>
        </w:rPr>
        <w:fldChar w:fldCharType="end"/>
      </w:r>
    </w:p>
    <w:p>
      <w:pPr>
        <w:keepNext w:val="0"/>
        <w:keepLines w:val="0"/>
        <w:pageBreakBefore w:val="0"/>
        <w:widowControl w:val="0"/>
        <w:kinsoku/>
        <w:wordWrap/>
        <w:overflowPunct/>
        <w:topLinePunct w:val="0"/>
        <w:autoSpaceDE/>
        <w:autoSpaceDN/>
        <w:bidi w:val="0"/>
        <w:adjustRightInd/>
        <w:snapToGrid/>
        <w:spacing w:after="219" w:afterLines="70" w:line="520" w:lineRule="exact"/>
        <w:jc w:val="both"/>
        <w:textAlignment w:val="auto"/>
        <w:outlineLvl w:val="9"/>
        <w:rPr>
          <w:rFonts w:hint="eastAsia" w:ascii="宋体" w:hAnsi="宋体" w:eastAsia="宋体" w:cs="宋体"/>
          <w:b/>
          <w:bCs/>
          <w:color w:val="0070C0"/>
          <w:sz w:val="36"/>
          <w:szCs w:val="36"/>
          <w:highlight w:val="none"/>
        </w:rPr>
      </w:pPr>
      <w:bookmarkStart w:id="42" w:name="_Toc24053"/>
      <w:bookmarkStart w:id="43" w:name="_Toc30773"/>
      <w:bookmarkStart w:id="44" w:name="_Toc15740"/>
      <w:bookmarkStart w:id="45" w:name="_Toc3815"/>
      <w:bookmarkStart w:id="46" w:name="_Toc10012"/>
      <w:bookmarkStart w:id="47" w:name="_Toc41"/>
      <w:bookmarkStart w:id="48" w:name="_Toc29182"/>
      <w:bookmarkStart w:id="49" w:name="_Toc25418"/>
      <w:bookmarkStart w:id="50" w:name="_Toc23930"/>
      <w:bookmarkStart w:id="51" w:name="_Toc6922"/>
      <w:bookmarkStart w:id="52" w:name="_Toc21745"/>
    </w:p>
    <w:p>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b/>
          <w:bCs/>
          <w:color w:val="0070C0"/>
          <w:sz w:val="36"/>
          <w:szCs w:val="36"/>
          <w:highlight w:val="none"/>
        </w:rPr>
      </w:pPr>
    </w:p>
    <w:bookmarkEnd w:id="42"/>
    <w:bookmarkEnd w:id="43"/>
    <w:bookmarkEnd w:id="44"/>
    <w:bookmarkEnd w:id="45"/>
    <w:bookmarkEnd w:id="46"/>
    <w:bookmarkEnd w:id="47"/>
    <w:bookmarkEnd w:id="48"/>
    <w:bookmarkEnd w:id="49"/>
    <w:bookmarkEnd w:id="50"/>
    <w:bookmarkEnd w:id="51"/>
    <w:bookmarkEnd w:id="52"/>
    <w:p>
      <w:pPr>
        <w:keepNext w:val="0"/>
        <w:keepLines w:val="0"/>
        <w:pageBreakBefore w:val="0"/>
        <w:widowControl w:val="0"/>
        <w:kinsoku/>
        <w:wordWrap/>
        <w:overflowPunct/>
        <w:topLinePunct w:val="0"/>
        <w:autoSpaceDE/>
        <w:autoSpaceDN/>
        <w:bidi w:val="0"/>
        <w:adjustRightInd/>
        <w:snapToGrid/>
        <w:spacing w:after="219" w:afterLines="70" w:line="520" w:lineRule="exact"/>
        <w:jc w:val="center"/>
        <w:textAlignment w:val="auto"/>
        <w:outlineLvl w:val="9"/>
        <w:rPr>
          <w:rFonts w:hint="eastAsia" w:ascii="宋体" w:hAnsi="宋体" w:eastAsia="宋体" w:cs="宋体"/>
          <w:b/>
          <w:bCs/>
          <w:color w:val="CE6B2A"/>
          <w:sz w:val="36"/>
          <w:szCs w:val="36"/>
          <w:highlight w:val="none"/>
        </w:rPr>
      </w:pPr>
      <w:bookmarkStart w:id="53" w:name="_Toc11662"/>
      <w:bookmarkStart w:id="54" w:name="_Toc11985"/>
      <w:bookmarkStart w:id="55" w:name="_Toc19671"/>
      <w:bookmarkStart w:id="56" w:name="_Toc16527"/>
      <w:bookmarkStart w:id="57" w:name="_Toc25195"/>
      <w:bookmarkStart w:id="58" w:name="_Toc11979"/>
      <w:bookmarkStart w:id="59" w:name="_Toc18366"/>
      <w:bookmarkStart w:id="60" w:name="_Toc25449"/>
      <w:bookmarkStart w:id="61" w:name="_Toc3605"/>
      <w:bookmarkStart w:id="62" w:name="_Toc25992"/>
      <w:bookmarkStart w:id="63" w:name="_Toc20258"/>
      <w:bookmarkStart w:id="64" w:name="_Toc61254027"/>
      <w:bookmarkStart w:id="65" w:name="_Toc91576121"/>
      <w:bookmarkStart w:id="66" w:name="_Toc2494"/>
      <w:bookmarkStart w:id="67" w:name="_Toc8132"/>
    </w:p>
    <w:p>
      <w:pPr>
        <w:keepNext w:val="0"/>
        <w:keepLines w:val="0"/>
        <w:pageBreakBefore w:val="0"/>
        <w:widowControl w:val="0"/>
        <w:kinsoku/>
        <w:wordWrap/>
        <w:overflowPunct/>
        <w:topLinePunct w:val="0"/>
        <w:autoSpaceDE/>
        <w:autoSpaceDN/>
        <w:bidi w:val="0"/>
        <w:adjustRightInd/>
        <w:snapToGrid/>
        <w:spacing w:after="219" w:afterLines="70" w:line="520" w:lineRule="exact"/>
        <w:jc w:val="center"/>
        <w:textAlignment w:val="auto"/>
        <w:outlineLvl w:val="0"/>
        <w:rPr>
          <w:rFonts w:hint="eastAsia" w:ascii="宋体" w:hAnsi="宋体" w:eastAsia="宋体" w:cs="宋体"/>
          <w:color w:val="CE6B2A"/>
          <w:sz w:val="36"/>
          <w:szCs w:val="36"/>
          <w:highlight w:val="none"/>
        </w:rPr>
      </w:pPr>
      <w:r>
        <w:rPr>
          <w:rFonts w:hint="eastAsia" w:ascii="宋体" w:hAnsi="宋体" w:eastAsia="宋体" w:cs="宋体"/>
          <w:b/>
          <w:bCs/>
          <w:color w:val="CE6B2A"/>
          <w:sz w:val="36"/>
          <w:szCs w:val="36"/>
          <w:highlight w:val="none"/>
        </w:rPr>
        <w:t>表</w:t>
      </w:r>
      <w:r>
        <w:rPr>
          <w:rFonts w:hint="eastAsia" w:ascii="宋体" w:hAnsi="宋体" w:eastAsia="宋体" w:cs="宋体"/>
          <w:b/>
          <w:bCs/>
          <w:color w:val="CE6B2A"/>
          <w:sz w:val="36"/>
          <w:szCs w:val="36"/>
          <w:highlight w:val="none"/>
          <w:lang w:val="en-US" w:eastAsia="zh-CN"/>
        </w:rPr>
        <w:t xml:space="preserve"> </w:t>
      </w:r>
      <w:r>
        <w:rPr>
          <w:rFonts w:hint="eastAsia" w:ascii="宋体" w:hAnsi="宋体" w:eastAsia="宋体" w:cs="宋体"/>
          <w:b/>
          <w:bCs/>
          <w:color w:val="CE6B2A"/>
          <w:sz w:val="36"/>
          <w:szCs w:val="36"/>
          <w:highlight w:val="none"/>
        </w:rPr>
        <w:t>目</w:t>
      </w:r>
      <w:r>
        <w:rPr>
          <w:rFonts w:hint="eastAsia" w:ascii="宋体" w:hAnsi="宋体" w:eastAsia="宋体" w:cs="宋体"/>
          <w:b/>
          <w:bCs/>
          <w:color w:val="CE6B2A"/>
          <w:sz w:val="36"/>
          <w:szCs w:val="36"/>
          <w:highlight w:val="none"/>
          <w:lang w:val="en-US" w:eastAsia="zh-CN"/>
        </w:rPr>
        <w:t xml:space="preserve"> </w:t>
      </w:r>
      <w:r>
        <w:rPr>
          <w:rFonts w:hint="eastAsia" w:ascii="宋体" w:hAnsi="宋体" w:eastAsia="宋体" w:cs="宋体"/>
          <w:b/>
          <w:bCs/>
          <w:color w:val="CE6B2A"/>
          <w:sz w:val="36"/>
          <w:szCs w:val="36"/>
          <w:highlight w:val="none"/>
        </w:rPr>
        <w:t>录</w:t>
      </w:r>
      <w:bookmarkEnd w:id="53"/>
      <w:bookmarkEnd w:id="54"/>
      <w:bookmarkStart w:id="68" w:name="_Toc18802"/>
      <w:bookmarkEnd w:id="68"/>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\h \c "表"</w:instrText>
      </w:r>
      <w:r>
        <w:rPr>
          <w:rFonts w:hint="eastAsia" w:ascii="宋体" w:hAnsi="宋体" w:eastAsia="宋体" w:cs="宋体"/>
          <w:sz w:val="24"/>
          <w:szCs w:val="24"/>
        </w:rPr>
        <w:fldChar w:fldCharType="separate"/>
      </w:r>
      <w:bookmarkStart w:id="69" w:name="_Toc16600"/>
      <w:bookmarkStart w:id="70" w:name="_Toc21685"/>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_Toc22642 </w:instrText>
      </w:r>
      <w:r>
        <w:rPr>
          <w:rFonts w:hint="eastAsia" w:ascii="宋体" w:hAnsi="宋体" w:eastAsia="宋体" w:cs="宋体"/>
          <w:sz w:val="24"/>
          <w:szCs w:val="24"/>
        </w:rPr>
        <w:fldChar w:fldCharType="separate"/>
      </w:r>
      <w:r>
        <w:rPr>
          <w:rFonts w:hint="eastAsia" w:ascii="宋体" w:hAnsi="宋体" w:eastAsia="宋体" w:cs="宋体"/>
          <w:bCs/>
          <w:sz w:val="24"/>
          <w:szCs w:val="24"/>
        </w:rPr>
        <w:t>表</w:t>
      </w:r>
      <w:r>
        <w:rPr>
          <w:rFonts w:hint="eastAsia" w:ascii="宋体" w:hAnsi="宋体" w:eastAsia="宋体" w:cs="宋体"/>
          <w:sz w:val="24"/>
          <w:szCs w:val="24"/>
        </w:rPr>
        <w:t xml:space="preserve">1 </w:t>
      </w:r>
      <w:r>
        <w:rPr>
          <w:rFonts w:hint="eastAsia" w:ascii="宋体" w:hAnsi="宋体" w:eastAsia="宋体" w:cs="宋体"/>
          <w:bCs/>
          <w:sz w:val="24"/>
          <w:szCs w:val="24"/>
          <w:lang w:val="en-US" w:eastAsia="zh-CN"/>
        </w:rPr>
        <w:t xml:space="preserve">  2023-2024学年</w:t>
      </w:r>
      <w:r>
        <w:rPr>
          <w:rFonts w:hint="eastAsia" w:ascii="宋体" w:hAnsi="宋体" w:eastAsia="宋体" w:cs="宋体"/>
          <w:bCs/>
          <w:sz w:val="24"/>
          <w:szCs w:val="24"/>
        </w:rPr>
        <w:t>遂宁市教育部门管理的中等职业学校统计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_Toc22642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_Toc29944 </w:instrText>
      </w:r>
      <w:r>
        <w:rPr>
          <w:rFonts w:hint="eastAsia" w:ascii="宋体" w:hAnsi="宋体" w:eastAsia="宋体" w:cs="宋体"/>
          <w:sz w:val="24"/>
          <w:szCs w:val="24"/>
        </w:rPr>
        <w:fldChar w:fldCharType="separate"/>
      </w:r>
      <w:r>
        <w:rPr>
          <w:rFonts w:hint="eastAsia" w:ascii="宋体" w:hAnsi="宋体" w:eastAsia="宋体" w:cs="宋体"/>
          <w:bCs/>
          <w:sz w:val="24"/>
          <w:szCs w:val="24"/>
        </w:rPr>
        <w:t>表</w:t>
      </w:r>
      <w:r>
        <w:rPr>
          <w:rFonts w:hint="eastAsia" w:ascii="宋体" w:hAnsi="宋体" w:eastAsia="宋体" w:cs="宋体"/>
          <w:sz w:val="24"/>
          <w:szCs w:val="24"/>
        </w:rPr>
        <w:t xml:space="preserve">2 </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 xml:space="preserve">近两学年遂宁市中等职业学校变化统计表 </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_Toc29944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_Toc12060 </w:instrText>
      </w:r>
      <w:r>
        <w:rPr>
          <w:rFonts w:hint="eastAsia" w:ascii="宋体" w:hAnsi="宋体" w:eastAsia="宋体" w:cs="宋体"/>
          <w:sz w:val="24"/>
          <w:szCs w:val="24"/>
        </w:rPr>
        <w:fldChar w:fldCharType="separate"/>
      </w:r>
      <w:r>
        <w:rPr>
          <w:rFonts w:hint="eastAsia" w:ascii="宋体" w:hAnsi="宋体" w:eastAsia="宋体" w:cs="宋体"/>
          <w:bCs/>
          <w:sz w:val="24"/>
          <w:szCs w:val="24"/>
        </w:rPr>
        <w:t>表</w:t>
      </w:r>
      <w:r>
        <w:rPr>
          <w:rFonts w:hint="eastAsia" w:ascii="宋体" w:hAnsi="宋体" w:eastAsia="宋体" w:cs="宋体"/>
          <w:sz w:val="24"/>
          <w:szCs w:val="24"/>
        </w:rPr>
        <w:t xml:space="preserve">3 </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近两学年教师队伍人数变化统计表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_Toc12060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_Toc7094 </w:instrText>
      </w:r>
      <w:r>
        <w:rPr>
          <w:rFonts w:hint="eastAsia" w:ascii="宋体" w:hAnsi="宋体" w:eastAsia="宋体" w:cs="宋体"/>
          <w:sz w:val="24"/>
          <w:szCs w:val="24"/>
        </w:rPr>
        <w:fldChar w:fldCharType="separate"/>
      </w:r>
      <w:r>
        <w:rPr>
          <w:rFonts w:hint="eastAsia" w:ascii="宋体" w:hAnsi="宋体" w:eastAsia="宋体" w:cs="宋体"/>
          <w:bCs/>
          <w:sz w:val="24"/>
          <w:szCs w:val="24"/>
        </w:rPr>
        <w:t>表</w:t>
      </w:r>
      <w:r>
        <w:rPr>
          <w:rFonts w:hint="eastAsia" w:ascii="宋体" w:hAnsi="宋体" w:eastAsia="宋体" w:cs="宋体"/>
          <w:sz w:val="24"/>
          <w:szCs w:val="24"/>
        </w:rPr>
        <w:t xml:space="preserve">4 </w:t>
      </w:r>
      <w:r>
        <w:rPr>
          <w:rFonts w:hint="eastAsia" w:ascii="宋体" w:hAnsi="宋体" w:eastAsia="宋体" w:cs="宋体"/>
          <w:bCs/>
          <w:sz w:val="24"/>
          <w:szCs w:val="24"/>
          <w:lang w:val="en-US" w:eastAsia="zh-CN"/>
        </w:rPr>
        <w:t xml:space="preserve">  近两年</w:t>
      </w:r>
      <w:r>
        <w:rPr>
          <w:rFonts w:hint="eastAsia" w:ascii="宋体" w:hAnsi="宋体" w:eastAsia="宋体" w:cs="宋体"/>
          <w:bCs/>
          <w:sz w:val="24"/>
          <w:szCs w:val="24"/>
        </w:rPr>
        <w:t>师资队伍总体结构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_Toc7094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_Toc6622 </w:instrText>
      </w:r>
      <w:r>
        <w:rPr>
          <w:rFonts w:hint="eastAsia" w:ascii="宋体" w:hAnsi="宋体" w:eastAsia="宋体" w:cs="宋体"/>
          <w:sz w:val="24"/>
          <w:szCs w:val="24"/>
        </w:rPr>
        <w:fldChar w:fldCharType="separate"/>
      </w:r>
      <w:r>
        <w:rPr>
          <w:rFonts w:hint="eastAsia" w:ascii="宋体" w:hAnsi="宋体" w:eastAsia="宋体" w:cs="宋体"/>
          <w:bCs/>
          <w:sz w:val="24"/>
          <w:szCs w:val="24"/>
        </w:rPr>
        <w:t>表</w:t>
      </w:r>
      <w:r>
        <w:rPr>
          <w:rFonts w:hint="eastAsia" w:ascii="宋体" w:hAnsi="宋体" w:eastAsia="宋体" w:cs="宋体"/>
          <w:sz w:val="24"/>
          <w:szCs w:val="24"/>
        </w:rPr>
        <w:t xml:space="preserve">5 </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近两学年遂宁市中等职业学校办学条件变化统计表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_Toc6622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_Toc24700 </w:instrText>
      </w:r>
      <w:r>
        <w:rPr>
          <w:rFonts w:hint="eastAsia" w:ascii="宋体" w:hAnsi="宋体" w:eastAsia="宋体" w:cs="宋体"/>
          <w:sz w:val="24"/>
          <w:szCs w:val="24"/>
        </w:rPr>
        <w:fldChar w:fldCharType="separate"/>
      </w:r>
      <w:r>
        <w:rPr>
          <w:rFonts w:hint="eastAsia" w:ascii="宋体" w:hAnsi="宋体" w:eastAsia="宋体" w:cs="宋体"/>
          <w:bCs/>
          <w:sz w:val="24"/>
          <w:szCs w:val="24"/>
        </w:rPr>
        <w:t>表</w:t>
      </w:r>
      <w:r>
        <w:rPr>
          <w:rFonts w:hint="eastAsia" w:ascii="宋体" w:hAnsi="宋体" w:eastAsia="宋体" w:cs="宋体"/>
          <w:sz w:val="24"/>
          <w:szCs w:val="24"/>
        </w:rPr>
        <w:t xml:space="preserve">6 </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近两学年遂宁市中等职业学校生均办学基本指标变化情况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_Toc24700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_Toc21868 </w:instrText>
      </w:r>
      <w:r>
        <w:rPr>
          <w:rFonts w:hint="eastAsia" w:ascii="宋体" w:hAnsi="宋体" w:eastAsia="宋体" w:cs="宋体"/>
          <w:sz w:val="24"/>
          <w:szCs w:val="24"/>
        </w:rPr>
        <w:fldChar w:fldCharType="separate"/>
      </w:r>
      <w:r>
        <w:rPr>
          <w:rFonts w:hint="eastAsia" w:ascii="宋体" w:hAnsi="宋体" w:eastAsia="宋体" w:cs="宋体"/>
          <w:bCs/>
          <w:sz w:val="24"/>
          <w:szCs w:val="24"/>
        </w:rPr>
        <w:t>表</w:t>
      </w:r>
      <w:r>
        <w:rPr>
          <w:rFonts w:hint="eastAsia" w:ascii="宋体" w:hAnsi="宋体" w:eastAsia="宋体" w:cs="宋体"/>
          <w:sz w:val="24"/>
          <w:szCs w:val="24"/>
        </w:rPr>
        <w:t xml:space="preserve">7 </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highlight w:val="none"/>
        </w:rPr>
        <w:t>学生基本素质评价指标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_Toc21868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_Toc25272 </w:instrText>
      </w:r>
      <w:r>
        <w:rPr>
          <w:rFonts w:hint="eastAsia" w:ascii="宋体" w:hAnsi="宋体" w:eastAsia="宋体" w:cs="宋体"/>
          <w:sz w:val="24"/>
          <w:szCs w:val="24"/>
        </w:rPr>
        <w:fldChar w:fldCharType="separate"/>
      </w:r>
      <w:r>
        <w:rPr>
          <w:rFonts w:hint="eastAsia" w:ascii="宋体" w:hAnsi="宋体" w:eastAsia="宋体" w:cs="宋体"/>
          <w:bCs/>
          <w:sz w:val="24"/>
          <w:szCs w:val="24"/>
        </w:rPr>
        <w:t>表</w:t>
      </w:r>
      <w:r>
        <w:rPr>
          <w:rFonts w:hint="eastAsia" w:ascii="宋体" w:hAnsi="宋体" w:eastAsia="宋体" w:cs="宋体"/>
          <w:sz w:val="24"/>
          <w:szCs w:val="24"/>
        </w:rPr>
        <w:t xml:space="preserve">8 </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近两年遂宁市中等职业学校毕业生升学情况统计表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_Toc25272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_Toc25273 </w:instrText>
      </w:r>
      <w:r>
        <w:rPr>
          <w:rFonts w:hint="eastAsia" w:ascii="宋体" w:hAnsi="宋体" w:eastAsia="宋体" w:cs="宋体"/>
          <w:sz w:val="24"/>
          <w:szCs w:val="24"/>
        </w:rPr>
        <w:fldChar w:fldCharType="separate"/>
      </w:r>
      <w:r>
        <w:rPr>
          <w:rFonts w:hint="eastAsia" w:ascii="宋体" w:hAnsi="宋体" w:eastAsia="宋体" w:cs="宋体"/>
          <w:bCs/>
          <w:sz w:val="24"/>
          <w:szCs w:val="24"/>
        </w:rPr>
        <w:t>表</w:t>
      </w:r>
      <w:r>
        <w:rPr>
          <w:rFonts w:hint="eastAsia" w:ascii="宋体" w:hAnsi="宋体" w:eastAsia="宋体" w:cs="宋体"/>
          <w:sz w:val="24"/>
          <w:szCs w:val="24"/>
        </w:rPr>
        <w:t xml:space="preserve">9 </w:t>
      </w:r>
      <w:r>
        <w:rPr>
          <w:rFonts w:hint="eastAsia" w:ascii="宋体" w:hAnsi="宋体" w:eastAsia="宋体" w:cs="宋体"/>
          <w:bCs/>
          <w:sz w:val="24"/>
          <w:szCs w:val="24"/>
          <w:lang w:val="en-US" w:eastAsia="zh-CN"/>
        </w:rPr>
        <w:t xml:space="preserve">  2023</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4</w:t>
      </w:r>
      <w:r>
        <w:rPr>
          <w:rFonts w:hint="eastAsia" w:ascii="宋体" w:hAnsi="宋体" w:eastAsia="宋体" w:cs="宋体"/>
          <w:bCs/>
          <w:sz w:val="24"/>
          <w:szCs w:val="24"/>
        </w:rPr>
        <w:t>学年毕业生分专业就业率统计（单位：%）</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_Toc25273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_Toc16921 </w:instrText>
      </w:r>
      <w:r>
        <w:rPr>
          <w:rFonts w:hint="eastAsia" w:ascii="宋体" w:hAnsi="宋体" w:eastAsia="宋体" w:cs="宋体"/>
          <w:sz w:val="24"/>
          <w:szCs w:val="24"/>
        </w:rPr>
        <w:fldChar w:fldCharType="separate"/>
      </w:r>
      <w:r>
        <w:rPr>
          <w:rFonts w:hint="eastAsia" w:ascii="宋体" w:hAnsi="宋体" w:eastAsia="宋体" w:cs="宋体"/>
          <w:bCs/>
          <w:sz w:val="24"/>
          <w:szCs w:val="24"/>
        </w:rPr>
        <w:t>表</w:t>
      </w:r>
      <w:r>
        <w:rPr>
          <w:rFonts w:hint="eastAsia" w:ascii="宋体" w:hAnsi="宋体" w:eastAsia="宋体" w:cs="宋体"/>
          <w:sz w:val="24"/>
          <w:szCs w:val="24"/>
        </w:rPr>
        <w:t xml:space="preserve">10 </w:t>
      </w:r>
      <w:r>
        <w:rPr>
          <w:rFonts w:hint="eastAsia" w:ascii="宋体" w:hAnsi="宋体" w:eastAsia="宋体" w:cs="宋体"/>
          <w:bCs/>
          <w:sz w:val="24"/>
          <w:szCs w:val="24"/>
          <w:lang w:val="en-US" w:eastAsia="zh-CN"/>
        </w:rPr>
        <w:t xml:space="preserve">  2024年</w:t>
      </w:r>
      <w:r>
        <w:rPr>
          <w:rFonts w:hint="eastAsia" w:ascii="宋体" w:hAnsi="宋体" w:eastAsia="宋体" w:cs="宋体"/>
          <w:bCs/>
          <w:sz w:val="24"/>
          <w:szCs w:val="24"/>
        </w:rPr>
        <w:t>遂宁市社会培训统计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_Toc16921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_Toc12046 </w:instrText>
      </w:r>
      <w:r>
        <w:rPr>
          <w:rFonts w:hint="eastAsia" w:ascii="宋体" w:hAnsi="宋体" w:eastAsia="宋体" w:cs="宋体"/>
          <w:sz w:val="24"/>
          <w:szCs w:val="24"/>
        </w:rPr>
        <w:fldChar w:fldCharType="separate"/>
      </w:r>
      <w:r>
        <w:rPr>
          <w:rFonts w:hint="eastAsia" w:ascii="宋体" w:hAnsi="宋体" w:eastAsia="宋体" w:cs="宋体"/>
          <w:bCs/>
          <w:sz w:val="24"/>
          <w:szCs w:val="24"/>
        </w:rPr>
        <w:t>表</w:t>
      </w:r>
      <w:r>
        <w:rPr>
          <w:rFonts w:hint="eastAsia" w:ascii="宋体" w:hAnsi="宋体" w:eastAsia="宋体" w:cs="宋体"/>
          <w:sz w:val="24"/>
          <w:szCs w:val="24"/>
        </w:rPr>
        <w:t xml:space="preserve">11 </w:t>
      </w:r>
      <w:r>
        <w:rPr>
          <w:rFonts w:hint="eastAsia" w:ascii="宋体" w:hAnsi="宋体" w:eastAsia="宋体" w:cs="宋体"/>
          <w:bCs/>
          <w:sz w:val="24"/>
          <w:szCs w:val="24"/>
          <w:lang w:val="en-US" w:eastAsia="zh-CN"/>
        </w:rPr>
        <w:t xml:space="preserve">  2023年</w:t>
      </w:r>
      <w:r>
        <w:rPr>
          <w:rFonts w:hint="eastAsia" w:ascii="宋体" w:hAnsi="宋体" w:eastAsia="宋体" w:cs="宋体"/>
          <w:bCs/>
          <w:sz w:val="24"/>
          <w:szCs w:val="24"/>
        </w:rPr>
        <w:t>遂宁市中职教育投身乡村振兴建设统计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_Toc12046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_Toc10053 </w:instrText>
      </w:r>
      <w:r>
        <w:rPr>
          <w:rFonts w:hint="eastAsia" w:ascii="宋体" w:hAnsi="宋体" w:eastAsia="宋体" w:cs="宋体"/>
          <w:sz w:val="24"/>
          <w:szCs w:val="24"/>
        </w:rPr>
        <w:fldChar w:fldCharType="separate"/>
      </w:r>
      <w:r>
        <w:rPr>
          <w:rFonts w:hint="eastAsia" w:ascii="宋体" w:hAnsi="宋体" w:eastAsia="宋体" w:cs="宋体"/>
          <w:bCs/>
          <w:sz w:val="24"/>
          <w:szCs w:val="24"/>
        </w:rPr>
        <w:t>表</w:t>
      </w:r>
      <w:r>
        <w:rPr>
          <w:rFonts w:hint="eastAsia" w:ascii="宋体" w:hAnsi="宋体" w:eastAsia="宋体" w:cs="宋体"/>
          <w:sz w:val="24"/>
          <w:szCs w:val="24"/>
        </w:rPr>
        <w:t xml:space="preserve">12 </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4</w:t>
      </w:r>
      <w:r>
        <w:rPr>
          <w:rFonts w:hint="eastAsia" w:ascii="宋体" w:hAnsi="宋体" w:eastAsia="宋体" w:cs="宋体"/>
          <w:bCs/>
          <w:sz w:val="24"/>
          <w:szCs w:val="24"/>
        </w:rPr>
        <w:t>学年遂宁市中等职</w:t>
      </w:r>
      <w:r>
        <w:rPr>
          <w:rFonts w:hint="eastAsia" w:ascii="宋体" w:hAnsi="宋体" w:eastAsia="宋体" w:cs="宋体"/>
          <w:bCs/>
          <w:sz w:val="24"/>
          <w:szCs w:val="24"/>
          <w:highlight w:val="none"/>
        </w:rPr>
        <w:t>业教育专业变动统计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_Toc10053 \h </w:instrText>
      </w:r>
      <w:r>
        <w:rPr>
          <w:rFonts w:hint="eastAsia" w:ascii="宋体" w:hAnsi="宋体" w:eastAsia="宋体" w:cs="宋体"/>
          <w:sz w:val="24"/>
          <w:szCs w:val="24"/>
        </w:rPr>
        <w:fldChar w:fldCharType="separate"/>
      </w:r>
      <w:r>
        <w:rPr>
          <w:rFonts w:hint="eastAsia" w:ascii="宋体" w:hAnsi="宋体" w:eastAsia="宋体" w:cs="宋体"/>
          <w:sz w:val="24"/>
          <w:szCs w:val="24"/>
        </w:rPr>
        <w:t>41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_Toc602 </w:instrText>
      </w:r>
      <w:r>
        <w:rPr>
          <w:rFonts w:hint="eastAsia" w:ascii="宋体" w:hAnsi="宋体" w:eastAsia="宋体" w:cs="宋体"/>
          <w:sz w:val="24"/>
          <w:szCs w:val="24"/>
        </w:rPr>
        <w:fldChar w:fldCharType="separate"/>
      </w:r>
      <w:r>
        <w:rPr>
          <w:rFonts w:hint="eastAsia" w:ascii="宋体" w:hAnsi="宋体" w:eastAsia="宋体" w:cs="宋体"/>
          <w:bCs/>
          <w:sz w:val="24"/>
          <w:szCs w:val="24"/>
        </w:rPr>
        <w:t>表</w:t>
      </w:r>
      <w:r>
        <w:rPr>
          <w:rFonts w:hint="eastAsia" w:ascii="宋体" w:hAnsi="宋体" w:eastAsia="宋体" w:cs="宋体"/>
          <w:sz w:val="24"/>
          <w:szCs w:val="24"/>
        </w:rPr>
        <w:t xml:space="preserve">13 </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遂宁市产业结构与中职专业结构统计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_Toc602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_Toc17611 </w:instrText>
      </w:r>
      <w:r>
        <w:rPr>
          <w:rFonts w:hint="eastAsia" w:ascii="宋体" w:hAnsi="宋体" w:eastAsia="宋体" w:cs="宋体"/>
          <w:sz w:val="24"/>
          <w:szCs w:val="24"/>
        </w:rPr>
        <w:fldChar w:fldCharType="separate"/>
      </w:r>
      <w:r>
        <w:rPr>
          <w:rFonts w:hint="eastAsia" w:ascii="宋体" w:hAnsi="宋体" w:eastAsia="宋体" w:cs="宋体"/>
          <w:bCs/>
          <w:sz w:val="24"/>
          <w:szCs w:val="24"/>
        </w:rPr>
        <w:t>表</w:t>
      </w:r>
      <w:r>
        <w:rPr>
          <w:rFonts w:hint="eastAsia" w:ascii="宋体" w:hAnsi="宋体" w:eastAsia="宋体" w:cs="宋体"/>
          <w:sz w:val="24"/>
          <w:szCs w:val="24"/>
        </w:rPr>
        <w:t xml:space="preserve">14 </w:t>
      </w:r>
      <w:r>
        <w:rPr>
          <w:rFonts w:hint="eastAsia" w:ascii="宋体" w:hAnsi="宋体" w:eastAsia="宋体" w:cs="宋体"/>
          <w:bCs/>
          <w:sz w:val="24"/>
          <w:szCs w:val="24"/>
          <w:lang w:val="en-US" w:eastAsia="zh-CN"/>
        </w:rPr>
        <w:t xml:space="preserve">  2023学年全国职业院校教师教学能力大赛获奖情况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_Toc17611 \h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_Toc10185 </w:instrText>
      </w:r>
      <w:r>
        <w:rPr>
          <w:rFonts w:hint="eastAsia" w:ascii="宋体" w:hAnsi="宋体" w:eastAsia="宋体" w:cs="宋体"/>
          <w:sz w:val="24"/>
          <w:szCs w:val="24"/>
        </w:rPr>
        <w:fldChar w:fldCharType="separate"/>
      </w:r>
      <w:r>
        <w:rPr>
          <w:rFonts w:hint="eastAsia" w:ascii="宋体" w:hAnsi="宋体" w:eastAsia="宋体" w:cs="宋体"/>
          <w:bCs/>
          <w:sz w:val="24"/>
          <w:szCs w:val="24"/>
        </w:rPr>
        <w:t>表</w:t>
      </w:r>
      <w:r>
        <w:rPr>
          <w:rFonts w:hint="eastAsia" w:ascii="宋体" w:hAnsi="宋体" w:eastAsia="宋体" w:cs="宋体"/>
          <w:sz w:val="24"/>
          <w:szCs w:val="24"/>
        </w:rPr>
        <w:t xml:space="preserve">15 </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2</w:t>
      </w:r>
      <w:r>
        <w:rPr>
          <w:rFonts w:hint="eastAsia" w:ascii="宋体" w:hAnsi="宋体" w:eastAsia="宋体" w:cs="宋体"/>
          <w:bCs/>
          <w:sz w:val="24"/>
          <w:szCs w:val="24"/>
          <w:highlight w:val="none"/>
        </w:rPr>
        <w:t>02</w:t>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rPr>
        <w:t>学年</w:t>
      </w:r>
      <w:r>
        <w:rPr>
          <w:rFonts w:hint="eastAsia" w:ascii="宋体" w:hAnsi="宋体" w:eastAsia="宋体" w:cs="宋体"/>
          <w:bCs/>
          <w:sz w:val="24"/>
          <w:szCs w:val="24"/>
          <w:highlight w:val="none"/>
          <w:lang w:eastAsia="zh-CN"/>
        </w:rPr>
        <w:t>四川省</w:t>
      </w:r>
      <w:r>
        <w:rPr>
          <w:rFonts w:hint="eastAsia" w:ascii="宋体" w:hAnsi="宋体" w:eastAsia="宋体" w:cs="宋体"/>
          <w:bCs/>
          <w:sz w:val="24"/>
          <w:szCs w:val="24"/>
          <w:highlight w:val="none"/>
        </w:rPr>
        <w:t>教师</w:t>
      </w:r>
      <w:r>
        <w:rPr>
          <w:rFonts w:hint="eastAsia" w:ascii="宋体" w:hAnsi="宋体" w:eastAsia="宋体" w:cs="宋体"/>
          <w:bCs/>
          <w:sz w:val="24"/>
          <w:szCs w:val="24"/>
          <w:highlight w:val="none"/>
          <w:lang w:val="en-US" w:eastAsia="zh-CN"/>
        </w:rPr>
        <w:t>教学</w:t>
      </w:r>
      <w:r>
        <w:rPr>
          <w:rFonts w:hint="eastAsia" w:ascii="宋体" w:hAnsi="宋体" w:eastAsia="宋体" w:cs="宋体"/>
          <w:bCs/>
          <w:sz w:val="24"/>
          <w:szCs w:val="24"/>
          <w:highlight w:val="none"/>
          <w:lang w:eastAsia="zh-CN"/>
        </w:rPr>
        <w:t>能力</w:t>
      </w:r>
      <w:r>
        <w:rPr>
          <w:rFonts w:hint="eastAsia" w:ascii="宋体" w:hAnsi="宋体" w:eastAsia="宋体" w:cs="宋体"/>
          <w:bCs/>
          <w:sz w:val="24"/>
          <w:szCs w:val="24"/>
          <w:highlight w:val="none"/>
          <w:lang w:val="en-US" w:eastAsia="zh-CN"/>
        </w:rPr>
        <w:t>大</w:t>
      </w:r>
      <w:r>
        <w:rPr>
          <w:rFonts w:hint="eastAsia" w:ascii="宋体" w:hAnsi="宋体" w:eastAsia="宋体" w:cs="宋体"/>
          <w:bCs/>
          <w:sz w:val="24"/>
          <w:szCs w:val="24"/>
          <w:highlight w:val="none"/>
        </w:rPr>
        <w:t>赛获奖情况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_Toc10185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_Toc25688 </w:instrText>
      </w:r>
      <w:r>
        <w:rPr>
          <w:rFonts w:hint="eastAsia" w:ascii="宋体" w:hAnsi="宋体" w:eastAsia="宋体" w:cs="宋体"/>
          <w:sz w:val="24"/>
          <w:szCs w:val="24"/>
        </w:rPr>
        <w:fldChar w:fldCharType="separate"/>
      </w:r>
      <w:r>
        <w:rPr>
          <w:rFonts w:hint="eastAsia" w:ascii="宋体" w:hAnsi="宋体" w:eastAsia="宋体" w:cs="宋体"/>
          <w:bCs/>
          <w:sz w:val="24"/>
          <w:szCs w:val="24"/>
        </w:rPr>
        <w:t>表</w:t>
      </w:r>
      <w:r>
        <w:rPr>
          <w:rFonts w:hint="eastAsia" w:ascii="宋体" w:hAnsi="宋体" w:eastAsia="宋体" w:cs="宋体"/>
          <w:sz w:val="24"/>
          <w:szCs w:val="24"/>
        </w:rPr>
        <w:t xml:space="preserve">16 </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202</w:t>
      </w:r>
      <w:r>
        <w:rPr>
          <w:rFonts w:hint="eastAsia" w:ascii="宋体" w:hAnsi="宋体" w:eastAsia="宋体" w:cs="宋体"/>
          <w:bCs/>
          <w:sz w:val="24"/>
          <w:szCs w:val="24"/>
          <w:lang w:val="en-US" w:eastAsia="zh-CN"/>
        </w:rPr>
        <w:t>4</w:t>
      </w:r>
      <w:r>
        <w:rPr>
          <w:rFonts w:hint="eastAsia" w:ascii="宋体" w:hAnsi="宋体" w:eastAsia="宋体" w:cs="宋体"/>
          <w:bCs/>
          <w:sz w:val="24"/>
          <w:szCs w:val="24"/>
        </w:rPr>
        <w:t>学年</w:t>
      </w:r>
      <w:r>
        <w:rPr>
          <w:rFonts w:hint="eastAsia" w:ascii="宋体" w:hAnsi="宋体" w:eastAsia="宋体" w:cs="宋体"/>
          <w:bCs/>
          <w:sz w:val="24"/>
          <w:szCs w:val="24"/>
          <w:lang w:val="en-US" w:eastAsia="zh-CN"/>
        </w:rPr>
        <w:t>四川省</w:t>
      </w:r>
      <w:r>
        <w:rPr>
          <w:rFonts w:hint="eastAsia" w:ascii="宋体" w:hAnsi="宋体" w:eastAsia="宋体" w:cs="宋体"/>
          <w:bCs/>
          <w:sz w:val="24"/>
          <w:szCs w:val="24"/>
        </w:rPr>
        <w:t>班主任</w:t>
      </w:r>
      <w:r>
        <w:rPr>
          <w:rFonts w:hint="eastAsia" w:ascii="宋体" w:hAnsi="宋体" w:eastAsia="宋体" w:cs="宋体"/>
          <w:bCs/>
          <w:sz w:val="24"/>
          <w:szCs w:val="24"/>
          <w:lang w:val="en-US" w:eastAsia="zh-CN"/>
        </w:rPr>
        <w:t>能力大</w:t>
      </w:r>
      <w:r>
        <w:rPr>
          <w:rFonts w:hint="eastAsia" w:ascii="宋体" w:hAnsi="宋体" w:eastAsia="宋体" w:cs="宋体"/>
          <w:bCs/>
          <w:sz w:val="24"/>
          <w:szCs w:val="24"/>
        </w:rPr>
        <w:t>赛获奖情况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_Toc25688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_Toc1175 </w:instrText>
      </w:r>
      <w:r>
        <w:rPr>
          <w:rFonts w:hint="eastAsia" w:ascii="宋体" w:hAnsi="宋体" w:eastAsia="宋体" w:cs="宋体"/>
          <w:sz w:val="24"/>
          <w:szCs w:val="24"/>
        </w:rPr>
        <w:fldChar w:fldCharType="separate"/>
      </w:r>
      <w:r>
        <w:rPr>
          <w:rFonts w:hint="eastAsia" w:ascii="宋体" w:hAnsi="宋体" w:eastAsia="宋体" w:cs="宋体"/>
          <w:bCs/>
          <w:sz w:val="24"/>
          <w:szCs w:val="24"/>
        </w:rPr>
        <w:t>表</w:t>
      </w:r>
      <w:r>
        <w:rPr>
          <w:rFonts w:hint="eastAsia" w:ascii="宋体" w:hAnsi="宋体" w:eastAsia="宋体" w:cs="宋体"/>
          <w:sz w:val="24"/>
          <w:szCs w:val="24"/>
        </w:rPr>
        <w:t xml:space="preserve">17 </w:t>
      </w:r>
      <w:r>
        <w:rPr>
          <w:rFonts w:hint="eastAsia" w:ascii="宋体" w:hAnsi="宋体" w:eastAsia="宋体" w:cs="宋体"/>
          <w:bCs/>
          <w:sz w:val="24"/>
          <w:szCs w:val="24"/>
          <w:lang w:val="en-US" w:eastAsia="zh-CN"/>
        </w:rPr>
        <w:t xml:space="preserve">  2024学年四川省中等职业学校思想政治教师能力比赛获奖情况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_Toc1175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_Toc21549 </w:instrText>
      </w:r>
      <w:r>
        <w:rPr>
          <w:rFonts w:hint="eastAsia" w:ascii="宋体" w:hAnsi="宋体" w:eastAsia="宋体" w:cs="宋体"/>
          <w:sz w:val="24"/>
          <w:szCs w:val="24"/>
        </w:rPr>
        <w:fldChar w:fldCharType="separate"/>
      </w:r>
      <w:r>
        <w:rPr>
          <w:rFonts w:hint="eastAsia" w:ascii="宋体" w:hAnsi="宋体" w:eastAsia="宋体" w:cs="宋体"/>
          <w:bCs/>
          <w:sz w:val="24"/>
          <w:szCs w:val="24"/>
        </w:rPr>
        <w:t>表</w:t>
      </w:r>
      <w:r>
        <w:rPr>
          <w:rFonts w:hint="eastAsia" w:ascii="宋体" w:hAnsi="宋体" w:eastAsia="宋体" w:cs="宋体"/>
          <w:sz w:val="24"/>
          <w:szCs w:val="24"/>
        </w:rPr>
        <w:t xml:space="preserve">18 </w:t>
      </w:r>
      <w:r>
        <w:rPr>
          <w:rFonts w:hint="eastAsia" w:ascii="宋体" w:hAnsi="宋体" w:eastAsia="宋体" w:cs="宋体"/>
          <w:bCs/>
          <w:sz w:val="24"/>
          <w:szCs w:val="24"/>
          <w:lang w:val="en-US" w:eastAsia="zh-CN"/>
        </w:rPr>
        <w:t xml:space="preserve">  2024学年四川省教科院优秀论文获奖统计表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_Toc21549 \h </w:instrText>
      </w:r>
      <w:r>
        <w:rPr>
          <w:rFonts w:hint="eastAsia" w:ascii="宋体" w:hAnsi="宋体" w:eastAsia="宋体" w:cs="宋体"/>
          <w:sz w:val="24"/>
          <w:szCs w:val="24"/>
        </w:rPr>
        <w:fldChar w:fldCharType="separate"/>
      </w:r>
      <w:r>
        <w:rPr>
          <w:rFonts w:hint="eastAsia" w:ascii="宋体" w:hAnsi="宋体" w:eastAsia="宋体" w:cs="宋体"/>
          <w:sz w:val="24"/>
          <w:szCs w:val="24"/>
        </w:rPr>
        <w:t>47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_Toc4391 </w:instrText>
      </w:r>
      <w:r>
        <w:rPr>
          <w:rFonts w:hint="eastAsia" w:ascii="宋体" w:hAnsi="宋体" w:eastAsia="宋体" w:cs="宋体"/>
          <w:sz w:val="24"/>
          <w:szCs w:val="24"/>
        </w:rPr>
        <w:fldChar w:fldCharType="separate"/>
      </w:r>
      <w:r>
        <w:rPr>
          <w:rFonts w:hint="eastAsia" w:ascii="宋体" w:hAnsi="宋体" w:eastAsia="宋体" w:cs="宋体"/>
          <w:bCs/>
          <w:sz w:val="24"/>
          <w:szCs w:val="24"/>
        </w:rPr>
        <w:t>表</w:t>
      </w:r>
      <w:r>
        <w:rPr>
          <w:rFonts w:hint="eastAsia" w:ascii="宋体" w:hAnsi="宋体" w:eastAsia="宋体" w:cs="宋体"/>
          <w:sz w:val="24"/>
          <w:szCs w:val="24"/>
        </w:rPr>
        <w:t xml:space="preserve">19 </w:t>
      </w:r>
      <w:r>
        <w:rPr>
          <w:rFonts w:hint="eastAsia" w:ascii="宋体" w:hAnsi="宋体" w:eastAsia="宋体" w:cs="宋体"/>
          <w:bCs/>
          <w:sz w:val="24"/>
          <w:szCs w:val="24"/>
          <w:lang w:val="en-US" w:eastAsia="zh-CN"/>
        </w:rPr>
        <w:t xml:space="preserve">  四川省省级</w:t>
      </w:r>
      <w:r>
        <w:rPr>
          <w:rFonts w:hint="eastAsia" w:ascii="宋体" w:hAnsi="宋体" w:eastAsia="宋体" w:cs="宋体"/>
          <w:bCs/>
          <w:sz w:val="24"/>
          <w:szCs w:val="24"/>
        </w:rPr>
        <w:t>科研课题统计情况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_Toc4391 \h </w:instrText>
      </w:r>
      <w:r>
        <w:rPr>
          <w:rFonts w:hint="eastAsia" w:ascii="宋体" w:hAnsi="宋体" w:eastAsia="宋体" w:cs="宋体"/>
          <w:sz w:val="24"/>
          <w:szCs w:val="24"/>
        </w:rPr>
        <w:fldChar w:fldCharType="separate"/>
      </w:r>
      <w:r>
        <w:rPr>
          <w:rFonts w:hint="eastAsia" w:ascii="宋体" w:hAnsi="宋体" w:eastAsia="宋体" w:cs="宋体"/>
          <w:sz w:val="24"/>
          <w:szCs w:val="24"/>
        </w:rPr>
        <w:t>48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_Toc18640 </w:instrText>
      </w:r>
      <w:r>
        <w:rPr>
          <w:rFonts w:hint="eastAsia" w:ascii="宋体" w:hAnsi="宋体" w:eastAsia="宋体" w:cs="宋体"/>
          <w:sz w:val="24"/>
          <w:szCs w:val="24"/>
        </w:rPr>
        <w:fldChar w:fldCharType="separate"/>
      </w:r>
      <w:r>
        <w:rPr>
          <w:rFonts w:hint="eastAsia" w:ascii="宋体" w:hAnsi="宋体" w:eastAsia="宋体" w:cs="宋体"/>
          <w:bCs/>
          <w:sz w:val="24"/>
          <w:szCs w:val="24"/>
        </w:rPr>
        <w:t>表</w:t>
      </w:r>
      <w:r>
        <w:rPr>
          <w:rFonts w:hint="eastAsia" w:ascii="宋体" w:hAnsi="宋体" w:eastAsia="宋体" w:cs="宋体"/>
          <w:sz w:val="24"/>
          <w:szCs w:val="24"/>
        </w:rPr>
        <w:t xml:space="preserve">20 </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公共基础课开设情况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_Toc18640 \h </w:instrText>
      </w:r>
      <w:r>
        <w:rPr>
          <w:rFonts w:hint="eastAsia" w:ascii="宋体" w:hAnsi="宋体" w:eastAsia="宋体" w:cs="宋体"/>
          <w:sz w:val="24"/>
          <w:szCs w:val="24"/>
        </w:rPr>
        <w:fldChar w:fldCharType="separate"/>
      </w:r>
      <w:r>
        <w:rPr>
          <w:rFonts w:hint="eastAsia" w:ascii="宋体" w:hAnsi="宋体" w:eastAsia="宋体" w:cs="宋体"/>
          <w:sz w:val="24"/>
          <w:szCs w:val="24"/>
        </w:rPr>
        <w:t>49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_Toc26703 </w:instrText>
      </w:r>
      <w:r>
        <w:rPr>
          <w:rFonts w:hint="eastAsia" w:ascii="宋体" w:hAnsi="宋体" w:eastAsia="宋体" w:cs="宋体"/>
          <w:sz w:val="24"/>
          <w:szCs w:val="24"/>
        </w:rPr>
        <w:fldChar w:fldCharType="separate"/>
      </w:r>
      <w:r>
        <w:rPr>
          <w:rFonts w:hint="eastAsia" w:ascii="宋体" w:hAnsi="宋体" w:eastAsia="宋体" w:cs="宋体"/>
          <w:bCs/>
          <w:sz w:val="24"/>
          <w:szCs w:val="24"/>
        </w:rPr>
        <w:t>表</w:t>
      </w:r>
      <w:r>
        <w:rPr>
          <w:rFonts w:hint="eastAsia" w:ascii="宋体" w:hAnsi="宋体" w:eastAsia="宋体" w:cs="宋体"/>
          <w:sz w:val="24"/>
          <w:szCs w:val="24"/>
        </w:rPr>
        <w:t xml:space="preserve">21 </w:t>
      </w:r>
      <w:r>
        <w:rPr>
          <w:rFonts w:hint="eastAsia" w:ascii="宋体" w:hAnsi="宋体" w:eastAsia="宋体" w:cs="宋体"/>
          <w:bCs/>
          <w:sz w:val="24"/>
          <w:szCs w:val="24"/>
          <w:lang w:val="en-US" w:eastAsia="zh-CN"/>
        </w:rPr>
        <w:t xml:space="preserve">  2024年</w:t>
      </w:r>
      <w:r>
        <w:rPr>
          <w:rFonts w:hint="eastAsia" w:ascii="宋体" w:hAnsi="宋体" w:eastAsia="宋体" w:cs="宋体"/>
          <w:bCs/>
          <w:sz w:val="24"/>
          <w:szCs w:val="24"/>
        </w:rPr>
        <w:t>促进遂宁市中等职业教育发展的主要文件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_Toc26703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_Toc1794 </w:instrText>
      </w:r>
      <w:r>
        <w:rPr>
          <w:rFonts w:hint="eastAsia" w:ascii="宋体" w:hAnsi="宋体" w:eastAsia="宋体" w:cs="宋体"/>
          <w:sz w:val="24"/>
          <w:szCs w:val="24"/>
        </w:rPr>
        <w:fldChar w:fldCharType="separate"/>
      </w:r>
      <w:r>
        <w:rPr>
          <w:rFonts w:hint="eastAsia" w:ascii="宋体" w:hAnsi="宋体" w:eastAsia="宋体" w:cs="宋体"/>
          <w:bCs/>
          <w:sz w:val="24"/>
          <w:szCs w:val="24"/>
        </w:rPr>
        <w:t>表</w:t>
      </w:r>
      <w:r>
        <w:rPr>
          <w:rFonts w:hint="eastAsia" w:ascii="宋体" w:hAnsi="宋体" w:eastAsia="宋体" w:cs="宋体"/>
          <w:sz w:val="24"/>
          <w:szCs w:val="24"/>
        </w:rPr>
        <w:t xml:space="preserve">22 </w:t>
      </w:r>
      <w:r>
        <w:rPr>
          <w:rFonts w:hint="eastAsia" w:ascii="宋体" w:hAnsi="宋体" w:eastAsia="宋体" w:cs="宋体"/>
          <w:bCs/>
          <w:sz w:val="24"/>
          <w:szCs w:val="24"/>
          <w:lang w:val="en-US" w:eastAsia="zh-CN"/>
        </w:rPr>
        <w:t xml:space="preserve">  2024年</w:t>
      </w:r>
      <w:r>
        <w:rPr>
          <w:rFonts w:hint="eastAsia" w:ascii="宋体" w:hAnsi="宋体" w:eastAsia="宋体" w:cs="宋体"/>
          <w:bCs/>
          <w:sz w:val="24"/>
          <w:szCs w:val="24"/>
        </w:rPr>
        <w:t>各项目投入中省市资金情况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_Toc1794 \h </w:instrText>
      </w:r>
      <w:r>
        <w:rPr>
          <w:rFonts w:hint="eastAsia" w:ascii="宋体" w:hAnsi="宋体" w:eastAsia="宋体" w:cs="宋体"/>
          <w:sz w:val="24"/>
          <w:szCs w:val="24"/>
        </w:rPr>
        <w:fldChar w:fldCharType="separate"/>
      </w:r>
      <w:r>
        <w:rPr>
          <w:rFonts w:hint="eastAsia" w:ascii="宋体" w:hAnsi="宋体" w:eastAsia="宋体" w:cs="宋体"/>
          <w:sz w:val="24"/>
          <w:szCs w:val="24"/>
        </w:rPr>
        <w:t>65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after="219" w:afterLines="70" w:line="520" w:lineRule="exact"/>
        <w:ind w:left="0" w:leftChars="0" w:firstLine="0" w:firstLineChars="0"/>
        <w:jc w:val="center"/>
        <w:textAlignment w:val="auto"/>
        <w:outlineLvl w:val="0"/>
        <w:rPr>
          <w:rFonts w:hint="eastAsia" w:ascii="宋体" w:hAnsi="宋体" w:eastAsia="宋体" w:cs="宋体"/>
          <w:b/>
          <w:bCs/>
          <w:color w:val="CE6B2A"/>
          <w:kern w:val="2"/>
          <w:sz w:val="36"/>
          <w:szCs w:val="36"/>
          <w:highlight w:val="none"/>
          <w:lang w:val="en-US" w:eastAsia="zh-CN" w:bidi="ar-SA"/>
        </w:rPr>
      </w:pPr>
      <w:r>
        <w:rPr>
          <w:rFonts w:hint="eastAsia" w:ascii="宋体" w:hAnsi="宋体" w:eastAsia="宋体" w:cs="宋体"/>
          <w:sz w:val="24"/>
          <w:szCs w:val="24"/>
        </w:rPr>
        <w:fldChar w:fldCharType="end"/>
      </w:r>
      <w:r>
        <w:rPr>
          <w:rFonts w:hint="eastAsia" w:ascii="宋体" w:hAnsi="宋体" w:eastAsia="宋体" w:cs="宋体"/>
          <w:b/>
          <w:bCs/>
          <w:color w:val="CE6B2A"/>
          <w:kern w:val="2"/>
          <w:sz w:val="36"/>
          <w:szCs w:val="36"/>
          <w:highlight w:val="none"/>
          <w:lang w:val="en-US" w:eastAsia="zh-CN" w:bidi="ar-SA"/>
        </w:rPr>
        <w:t>图 目 录</w:t>
      </w:r>
      <w:bookmarkEnd w:id="55"/>
      <w:bookmarkEnd w:id="56"/>
      <w:bookmarkEnd w:id="69"/>
      <w:bookmarkEnd w:id="70"/>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\h \c "图"</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_Toc22336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图1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近两学年专任教师学历结构变化情况（单位：%）</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_Toc22336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_Toc13150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图2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近两学年不同学历层次专任教师人数变化情况（单位：人）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_Toc13150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_Toc13079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图3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近两学年专任教师职称结构变化统计（单位：人）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_Toc13079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_Toc25912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图4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近两学年遂宁市中等职业教育办学资源统计图（单位：平方米）</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_Toc25912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_Toc16984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图5 </w:t>
      </w:r>
      <w:r>
        <w:rPr>
          <w:rFonts w:hint="eastAsia" w:ascii="宋体" w:hAnsi="宋体" w:eastAsia="宋体" w:cs="宋体"/>
          <w:sz w:val="24"/>
          <w:szCs w:val="24"/>
          <w:lang w:eastAsia="zh-CN"/>
        </w:rPr>
        <w:t xml:space="preserve"> </w:t>
      </w:r>
      <w:r>
        <w:rPr>
          <w:rFonts w:hint="eastAsia" w:ascii="宋体" w:hAnsi="宋体" w:eastAsia="宋体" w:cs="宋体"/>
          <w:sz w:val="24"/>
          <w:szCs w:val="24"/>
          <w:lang w:val="en-US" w:eastAsia="zh-CN"/>
        </w:rPr>
        <w:t>贯彻党的二十届三中全会精神研讨交流座谈会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_Toc16984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_Toc14067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图6 </w:t>
      </w:r>
      <w:r>
        <w:rPr>
          <w:rFonts w:hint="eastAsia" w:ascii="宋体" w:hAnsi="宋体" w:eastAsia="宋体" w:cs="宋体"/>
          <w:sz w:val="24"/>
          <w:szCs w:val="24"/>
          <w:lang w:val="en-US" w:eastAsia="zh-CN"/>
        </w:rPr>
        <w:t xml:space="preserve"> 党员活动现场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_Toc14067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_Toc23302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图7 </w:t>
      </w:r>
      <w:r>
        <w:rPr>
          <w:rFonts w:hint="eastAsia" w:ascii="宋体" w:hAnsi="宋体" w:eastAsia="宋体" w:cs="宋体"/>
          <w:sz w:val="24"/>
          <w:szCs w:val="24"/>
          <w:lang w:eastAsia="zh-CN"/>
        </w:rPr>
        <w:t xml:space="preserve"> </w:t>
      </w:r>
      <w:r>
        <w:rPr>
          <w:rFonts w:hint="eastAsia" w:ascii="宋体" w:hAnsi="宋体" w:eastAsia="宋体" w:cs="宋体"/>
          <w:sz w:val="24"/>
          <w:szCs w:val="24"/>
          <w:lang w:val="en-US" w:eastAsia="zh-CN"/>
        </w:rPr>
        <w:t>开展心理健康教育活动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_Toc23302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_Toc11214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图8 </w:t>
      </w:r>
      <w:r>
        <w:rPr>
          <w:rFonts w:hint="eastAsia" w:ascii="宋体" w:hAnsi="宋体" w:eastAsia="宋体" w:cs="宋体"/>
          <w:sz w:val="24"/>
          <w:szCs w:val="24"/>
          <w:lang w:eastAsia="zh-CN"/>
        </w:rPr>
        <w:t xml:space="preserve"> </w:t>
      </w:r>
      <w:r>
        <w:rPr>
          <w:rFonts w:hint="eastAsia" w:ascii="宋体" w:hAnsi="宋体" w:eastAsia="宋体" w:cs="宋体"/>
          <w:sz w:val="24"/>
          <w:szCs w:val="24"/>
          <w:lang w:val="en-US" w:eastAsia="zh-CN"/>
        </w:rPr>
        <w:t>遂宁市中职学生参加世界职业院校技能大赛照片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_Toc11214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_Toc100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图9 </w:t>
      </w:r>
      <w:r>
        <w:rPr>
          <w:rFonts w:hint="eastAsia" w:ascii="宋体" w:hAnsi="宋体" w:eastAsia="宋体" w:cs="宋体"/>
          <w:sz w:val="24"/>
          <w:szCs w:val="24"/>
          <w:lang w:val="en-US" w:eastAsia="zh-CN"/>
        </w:rPr>
        <w:t xml:space="preserve"> 2024学年毕业生就业服务产业占比情况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_Toc100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_Toc30790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图10 </w:t>
      </w:r>
      <w:r>
        <w:rPr>
          <w:rFonts w:hint="eastAsia" w:ascii="宋体" w:hAnsi="宋体" w:eastAsia="宋体" w:cs="宋体"/>
          <w:sz w:val="24"/>
          <w:szCs w:val="24"/>
          <w:lang w:val="en-US" w:eastAsia="zh-CN"/>
        </w:rPr>
        <w:t xml:space="preserve"> 2024学年用人单位对毕业生各项指标的满意度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_Toc30790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_Toc23307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图11 </w:t>
      </w:r>
      <w:r>
        <w:rPr>
          <w:rFonts w:hint="eastAsia" w:ascii="宋体" w:hAnsi="宋体" w:eastAsia="宋体" w:cs="宋体"/>
          <w:sz w:val="24"/>
          <w:szCs w:val="24"/>
          <w:lang w:val="en-US" w:eastAsia="zh-CN"/>
        </w:rPr>
        <w:t xml:space="preserve"> 优秀毕业学子文京府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_Toc23307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_Toc23250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图12 </w:t>
      </w:r>
      <w:r>
        <w:rPr>
          <w:rFonts w:hint="eastAsia" w:ascii="宋体" w:hAnsi="宋体" w:eastAsia="宋体" w:cs="宋体"/>
          <w:sz w:val="24"/>
          <w:szCs w:val="24"/>
          <w:lang w:val="en-US" w:eastAsia="zh-CN"/>
        </w:rPr>
        <w:t xml:space="preserve"> “院校+企业+农场+农户”四方协同共建共享，助力大英乡村振兴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_Toc23250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_Toc30521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图13 </w:t>
      </w:r>
      <w:r>
        <w:rPr>
          <w:rFonts w:hint="eastAsia" w:ascii="宋体" w:hAnsi="宋体" w:eastAsia="宋体" w:cs="宋体"/>
          <w:sz w:val="24"/>
          <w:szCs w:val="24"/>
          <w:lang w:val="en-US" w:eastAsia="zh-CN"/>
        </w:rPr>
        <w:t xml:space="preserve"> 开展社区教育活动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_Toc30521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_Toc27857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图14 </w:t>
      </w:r>
      <w:r>
        <w:rPr>
          <w:rFonts w:hint="eastAsia" w:ascii="宋体" w:hAnsi="宋体" w:eastAsia="宋体" w:cs="宋体"/>
          <w:sz w:val="24"/>
          <w:szCs w:val="24"/>
          <w:lang w:val="en-US" w:eastAsia="zh-CN"/>
        </w:rPr>
        <w:t xml:space="preserve"> 遂宁市域产教联合体签约仪式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_Toc27857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_Toc15724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图15 </w:t>
      </w:r>
      <w:r>
        <w:rPr>
          <w:rFonts w:hint="eastAsia" w:ascii="宋体" w:hAnsi="宋体" w:eastAsia="宋体" w:cs="宋体"/>
          <w:sz w:val="24"/>
          <w:szCs w:val="24"/>
          <w:lang w:val="en-US" w:eastAsia="zh-CN"/>
        </w:rPr>
        <w:t xml:space="preserve"> 四川省蓬溪县中等职业技术学校开展纪念旷继勋牛角沟起义95周年红色之旅远足研学活动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_Toc15724 \h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_Toc32705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图16 </w:t>
      </w:r>
      <w:r>
        <w:rPr>
          <w:rFonts w:hint="eastAsia" w:ascii="宋体" w:hAnsi="宋体" w:eastAsia="宋体" w:cs="宋体"/>
          <w:sz w:val="24"/>
          <w:szCs w:val="24"/>
          <w:lang w:val="en-US" w:eastAsia="zh-CN"/>
        </w:rPr>
        <w:t xml:space="preserve"> 大英县蓝议科技职业技术学校开展研学、演讲等系列红色文化传承活动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_Toc32705 \h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_Toc22832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图17 </w:t>
      </w:r>
      <w:r>
        <w:rPr>
          <w:rFonts w:hint="eastAsia" w:ascii="宋体" w:hAnsi="宋体" w:eastAsia="宋体" w:cs="宋体"/>
          <w:sz w:val="24"/>
          <w:szCs w:val="24"/>
          <w:lang w:val="en-US" w:eastAsia="zh-CN"/>
        </w:rPr>
        <w:t xml:space="preserve"> 射洪市职中开展“9+3”学生红色文化教育研学活动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_Toc22832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_Toc23217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图18 </w:t>
      </w:r>
      <w:r>
        <w:rPr>
          <w:rFonts w:hint="eastAsia" w:ascii="宋体" w:hAnsi="宋体" w:eastAsia="宋体" w:cs="宋体"/>
          <w:sz w:val="24"/>
          <w:szCs w:val="24"/>
          <w:lang w:val="en-US" w:eastAsia="zh-CN"/>
        </w:rPr>
        <w:t xml:space="preserve"> 2024年3月参加川渝“诵读红色经典 弘扬英烈精神”活动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_Toc23217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_Toc565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图19 </w:t>
      </w:r>
      <w:r>
        <w:rPr>
          <w:rFonts w:hint="eastAsia" w:ascii="宋体" w:hAnsi="宋体" w:eastAsia="宋体" w:cs="宋体"/>
          <w:sz w:val="24"/>
          <w:szCs w:val="24"/>
          <w:lang w:val="en-US" w:eastAsia="zh-CN"/>
        </w:rPr>
        <w:t xml:space="preserve"> 2024年遂宁市中华经典诵写讲演系列活动（诗教中国评审现场）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_Toc565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_Toc27641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图20 </w:t>
      </w:r>
      <w:r>
        <w:rPr>
          <w:rFonts w:hint="eastAsia" w:ascii="宋体" w:hAnsi="宋体" w:eastAsia="宋体" w:cs="宋体"/>
          <w:sz w:val="24"/>
          <w:szCs w:val="24"/>
          <w:lang w:val="en-US" w:eastAsia="zh-CN"/>
        </w:rPr>
        <w:t xml:space="preserve"> 2024年遂宁市中华经典诵写讲演系列活动（笔墨中国 印记中国评审现场）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_Toc27641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_Toc23460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图21 </w:t>
      </w:r>
      <w:r>
        <w:rPr>
          <w:rFonts w:hint="eastAsia" w:ascii="宋体" w:hAnsi="宋体" w:eastAsia="宋体" w:cs="宋体"/>
          <w:sz w:val="24"/>
          <w:szCs w:val="24"/>
          <w:lang w:val="en-US" w:eastAsia="zh-CN"/>
        </w:rPr>
        <w:t xml:space="preserve"> 2024年遂宁市中华经典诵写讲演系列活动（诵读中国评审现场）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_Toc23460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_Toc17192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图22 </w:t>
      </w:r>
      <w:r>
        <w:rPr>
          <w:rFonts w:hint="eastAsia" w:ascii="宋体" w:hAnsi="宋体" w:eastAsia="宋体" w:cs="宋体"/>
          <w:sz w:val="24"/>
          <w:szCs w:val="24"/>
          <w:lang w:val="en-US" w:eastAsia="zh-CN"/>
        </w:rPr>
        <w:t xml:space="preserve"> 2024年遂宁市中华经典诵写讲演系列活动（书香天府 阅读之星市级决赛现场）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_Toc17192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_Toc23987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图23 </w:t>
      </w:r>
      <w:r>
        <w:rPr>
          <w:rFonts w:hint="eastAsia" w:ascii="宋体" w:hAnsi="宋体" w:eastAsia="宋体" w:cs="宋体"/>
          <w:sz w:val="24"/>
          <w:szCs w:val="24"/>
          <w:lang w:val="en-US" w:eastAsia="zh-CN"/>
        </w:rPr>
        <w:t xml:space="preserve"> 2024年遂宁市中华经典诵写讲演系列活动（书香天府 阅读之星市级决赛现场）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_Toc23987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_Toc26430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图24 </w:t>
      </w:r>
      <w:r>
        <w:rPr>
          <w:rFonts w:hint="eastAsia" w:ascii="宋体" w:hAnsi="宋体" w:eastAsia="宋体" w:cs="宋体"/>
          <w:sz w:val="24"/>
          <w:szCs w:val="24"/>
          <w:lang w:val="en-US" w:eastAsia="zh-CN"/>
        </w:rPr>
        <w:t xml:space="preserve"> 大英县蓝议科技职业技术学校开展地方特色文艺展示活动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_Toc26430 \h </w:instrText>
      </w:r>
      <w:r>
        <w:rPr>
          <w:rFonts w:hint="eastAsia" w:ascii="宋体" w:hAnsi="宋体" w:eastAsia="宋体" w:cs="宋体"/>
          <w:sz w:val="24"/>
          <w:szCs w:val="24"/>
        </w:rPr>
        <w:fldChar w:fldCharType="separate"/>
      </w:r>
      <w:r>
        <w:rPr>
          <w:rFonts w:hint="eastAsia" w:ascii="宋体" w:hAnsi="宋体" w:eastAsia="宋体" w:cs="宋体"/>
          <w:sz w:val="24"/>
          <w:szCs w:val="24"/>
        </w:rPr>
        <w:t>34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_Toc32120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图25 </w:t>
      </w:r>
      <w:r>
        <w:rPr>
          <w:rFonts w:hint="eastAsia" w:ascii="宋体" w:hAnsi="宋体" w:eastAsia="宋体" w:cs="宋体"/>
          <w:sz w:val="24"/>
          <w:szCs w:val="24"/>
          <w:lang w:val="en-US" w:eastAsia="zh-CN"/>
        </w:rPr>
        <w:t xml:space="preserve"> 斯里兰卡国家开放大学与船山职业技术学校交流活动现场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_Toc32120 \h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_Toc23836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图26 </w:t>
      </w:r>
      <w:r>
        <w:rPr>
          <w:rFonts w:hint="eastAsia" w:ascii="宋体" w:hAnsi="宋体" w:eastAsia="宋体" w:cs="宋体"/>
          <w:sz w:val="24"/>
          <w:szCs w:val="24"/>
          <w:lang w:val="en-US" w:eastAsia="zh-CN"/>
        </w:rPr>
        <w:t xml:space="preserve"> 第三届工业产品数字孪生（虚拟装调）赛项获“三等奖”</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_Toc23836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_Toc1786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图27 </w:t>
      </w:r>
      <w:r>
        <w:rPr>
          <w:rFonts w:hint="eastAsia" w:ascii="宋体" w:hAnsi="宋体" w:eastAsia="宋体" w:cs="宋体"/>
          <w:sz w:val="24"/>
          <w:szCs w:val="24"/>
          <w:lang w:val="en-US" w:eastAsia="zh-CN"/>
        </w:rPr>
        <w:t xml:space="preserve"> </w:t>
      </w:r>
      <w:r>
        <w:rPr>
          <w:rFonts w:hint="eastAsia" w:ascii="宋体" w:hAnsi="宋体" w:eastAsia="宋体" w:cs="宋体"/>
          <w:kern w:val="2"/>
          <w:sz w:val="24"/>
          <w:szCs w:val="24"/>
          <w:lang w:val="en-US" w:eastAsia="zh-CN" w:bidi="ar-SA"/>
        </w:rPr>
        <w:t>第四届无人机飞行应用技术赛项分获“三等奖”和“优秀奖”</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_Toc1786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_Toc29240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图28 </w:t>
      </w:r>
      <w:r>
        <w:rPr>
          <w:rFonts w:hint="eastAsia" w:ascii="宋体" w:hAnsi="宋体" w:eastAsia="宋体" w:cs="宋体"/>
          <w:sz w:val="24"/>
          <w:szCs w:val="24"/>
          <w:lang w:eastAsia="zh-CN"/>
        </w:rPr>
        <w:t xml:space="preserve"> </w:t>
      </w:r>
      <w:r>
        <w:rPr>
          <w:rFonts w:hint="eastAsia" w:ascii="宋体" w:hAnsi="宋体" w:eastAsia="宋体" w:cs="宋体"/>
          <w:sz w:val="24"/>
          <w:szCs w:val="24"/>
          <w:lang w:val="en-US" w:eastAsia="zh-CN"/>
        </w:rPr>
        <w:t>部分学校校企合作签约仪式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_Toc29240 \h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_Toc23950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图29 </w:t>
      </w:r>
      <w:r>
        <w:rPr>
          <w:rFonts w:hint="eastAsia" w:ascii="宋体" w:hAnsi="宋体" w:eastAsia="宋体" w:cs="宋体"/>
          <w:sz w:val="24"/>
          <w:szCs w:val="24"/>
          <w:lang w:eastAsia="zh-CN"/>
        </w:rPr>
        <w:t xml:space="preserve"> </w:t>
      </w:r>
      <w:r>
        <w:rPr>
          <w:rFonts w:hint="eastAsia" w:ascii="宋体" w:hAnsi="宋体" w:eastAsia="宋体" w:cs="宋体"/>
          <w:sz w:val="24"/>
          <w:szCs w:val="24"/>
          <w:lang w:val="en-US" w:eastAsia="zh-CN"/>
        </w:rPr>
        <w:t>学生在上海嘉捷通实习与就业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_Toc23950 \h </w:instrText>
      </w:r>
      <w:r>
        <w:rPr>
          <w:rFonts w:hint="eastAsia" w:ascii="宋体" w:hAnsi="宋体" w:eastAsia="宋体" w:cs="宋体"/>
          <w:sz w:val="24"/>
          <w:szCs w:val="24"/>
        </w:rPr>
        <w:fldChar w:fldCharType="separate"/>
      </w:r>
      <w:r>
        <w:rPr>
          <w:rFonts w:hint="eastAsia" w:ascii="宋体" w:hAnsi="宋体" w:eastAsia="宋体" w:cs="宋体"/>
          <w:sz w:val="24"/>
          <w:szCs w:val="24"/>
        </w:rPr>
        <w:t>39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_Toc8085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图30 </w:t>
      </w:r>
      <w:r>
        <w:rPr>
          <w:rFonts w:hint="eastAsia" w:ascii="宋体" w:hAnsi="宋体" w:eastAsia="宋体" w:cs="宋体"/>
          <w:sz w:val="24"/>
          <w:szCs w:val="24"/>
          <w:lang w:val="en-US" w:eastAsia="zh-CN"/>
        </w:rPr>
        <w:t xml:space="preserve"> 学生在重庆方正公司实习与就业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_Toc8085 \h </w:instrText>
      </w:r>
      <w:r>
        <w:rPr>
          <w:rFonts w:hint="eastAsia" w:ascii="宋体" w:hAnsi="宋体" w:eastAsia="宋体" w:cs="宋体"/>
          <w:sz w:val="24"/>
          <w:szCs w:val="24"/>
        </w:rPr>
        <w:fldChar w:fldCharType="separate"/>
      </w:r>
      <w:r>
        <w:rPr>
          <w:rFonts w:hint="eastAsia" w:ascii="宋体" w:hAnsi="宋体" w:eastAsia="宋体" w:cs="宋体"/>
          <w:sz w:val="24"/>
          <w:szCs w:val="24"/>
        </w:rPr>
        <w:t>39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_Toc5729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图31 </w:t>
      </w:r>
      <w:r>
        <w:rPr>
          <w:rFonts w:hint="eastAsia" w:ascii="宋体" w:hAnsi="宋体" w:eastAsia="宋体" w:cs="宋体"/>
          <w:sz w:val="24"/>
          <w:szCs w:val="24"/>
          <w:lang w:eastAsia="zh-CN"/>
        </w:rPr>
        <w:t xml:space="preserve"> </w:t>
      </w:r>
      <w:r>
        <w:rPr>
          <w:rFonts w:hint="eastAsia" w:ascii="宋体" w:hAnsi="宋体" w:eastAsia="宋体" w:cs="宋体"/>
          <w:sz w:val="24"/>
          <w:szCs w:val="24"/>
          <w:lang w:val="en-US" w:eastAsia="zh-CN"/>
        </w:rPr>
        <w:t>2024年遂宁市中职教师B1/B2课程实施能力提升培训</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_Toc5729 \h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_Toc6387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图32 </w:t>
      </w:r>
      <w:r>
        <w:rPr>
          <w:rFonts w:hint="eastAsia" w:ascii="宋体" w:hAnsi="宋体" w:eastAsia="宋体" w:cs="宋体"/>
          <w:sz w:val="24"/>
          <w:szCs w:val="24"/>
          <w:lang w:val="en-US" w:eastAsia="zh-CN"/>
        </w:rPr>
        <w:t xml:space="preserve"> 遂宁市职业技术学校获得全国职业院校教师教学能力大赛一等奖</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_Toc6387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_Toc8529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图33 </w:t>
      </w:r>
      <w:r>
        <w:rPr>
          <w:rFonts w:hint="eastAsia" w:ascii="宋体" w:hAnsi="宋体" w:eastAsia="宋体" w:cs="宋体"/>
          <w:sz w:val="24"/>
          <w:szCs w:val="24"/>
          <w:lang w:val="en-US" w:eastAsia="zh-CN"/>
        </w:rPr>
        <w:t xml:space="preserve"> 学校建设智慧教育云平台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_Toc8529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0" w:leftChars="0" w:firstLine="0" w:firstLineChars="0"/>
        <w:textAlignment w:val="auto"/>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_Toc23131 </w:instrText>
      </w:r>
      <w:r>
        <w:rPr>
          <w:rFonts w:hint="eastAsia" w:ascii="宋体" w:hAnsi="宋体" w:eastAsia="宋体" w:cs="宋体"/>
          <w:sz w:val="24"/>
          <w:szCs w:val="24"/>
        </w:rPr>
        <w:fldChar w:fldCharType="separate"/>
      </w:r>
      <w:r>
        <w:rPr>
          <w:rFonts w:hint="eastAsia" w:ascii="宋体" w:hAnsi="宋体" w:eastAsia="宋体" w:cs="宋体"/>
          <w:sz w:val="24"/>
          <w:szCs w:val="24"/>
        </w:rPr>
        <w:t xml:space="preserve">图34 </w:t>
      </w:r>
      <w:r>
        <w:rPr>
          <w:rFonts w:hint="eastAsia" w:ascii="宋体" w:hAnsi="宋体" w:eastAsia="宋体" w:cs="宋体"/>
          <w:sz w:val="24"/>
          <w:szCs w:val="24"/>
          <w:lang w:val="en-US" w:eastAsia="zh-CN"/>
        </w:rPr>
        <w:t xml:space="preserve"> 教研活动系列图片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_Toc23131 \h </w:instrText>
      </w:r>
      <w:r>
        <w:rPr>
          <w:rFonts w:hint="eastAsia" w:ascii="宋体" w:hAnsi="宋体" w:eastAsia="宋体" w:cs="宋体"/>
          <w:sz w:val="24"/>
          <w:szCs w:val="24"/>
        </w:rPr>
        <w:fldChar w:fldCharType="separate"/>
      </w:r>
      <w:r>
        <w:rPr>
          <w:rFonts w:hint="eastAsia" w:ascii="宋体" w:hAnsi="宋体" w:eastAsia="宋体" w:cs="宋体"/>
          <w:sz w:val="24"/>
          <w:szCs w:val="24"/>
        </w:rPr>
        <w:t>58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40"/>
        <w:keepNext w:val="0"/>
        <w:keepLines w:val="0"/>
        <w:pageBreakBefore w:val="0"/>
        <w:widowControl w:val="0"/>
        <w:kinsoku/>
        <w:wordWrap/>
        <w:overflowPunct/>
        <w:topLinePunct w:val="0"/>
        <w:autoSpaceDE/>
        <w:autoSpaceDN/>
        <w:bidi w:val="0"/>
        <w:adjustRightInd/>
        <w:spacing w:line="520" w:lineRule="exact"/>
        <w:ind w:left="360" w:leftChars="0" w:hanging="360" w:hangingChars="200"/>
        <w:jc w:val="left"/>
        <w:textAlignment w:val="auto"/>
        <w:rPr>
          <w:rFonts w:hint="eastAsia" w:ascii="宋体" w:hAnsi="宋体" w:eastAsia="宋体" w:cs="宋体"/>
          <w:sz w:val="24"/>
          <w:szCs w:val="24"/>
        </w:rPr>
        <w:sectPr>
          <w:headerReference r:id="rId6" w:type="default"/>
          <w:footerReference r:id="rId7" w:type="default"/>
          <w:footnotePr>
            <w:numFmt w:val="decimalEnclosedCircleChinese"/>
          </w:footnote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szCs w:val="24"/>
        </w:rPr>
        <w:fldChar w:fldCharType="end"/>
      </w:r>
    </w:p>
    <w:p>
      <w:pPr>
        <w:keepNext w:val="0"/>
        <w:keepLines w:val="0"/>
        <w:pageBreakBefore w:val="0"/>
        <w:widowControl/>
        <w:kinsoku/>
        <w:wordWrap/>
        <w:overflowPunct/>
        <w:topLinePunct w:val="0"/>
        <w:autoSpaceDE/>
        <w:autoSpaceDN/>
        <w:bidi w:val="0"/>
        <w:adjustRightInd/>
        <w:snapToGrid/>
        <w:spacing w:after="219" w:afterLines="70" w:line="520" w:lineRule="exact"/>
        <w:jc w:val="center"/>
        <w:textAlignment w:val="auto"/>
        <w:outlineLvl w:val="0"/>
        <w:rPr>
          <w:rFonts w:hint="eastAsia" w:ascii="宋体" w:hAnsi="宋体" w:eastAsia="宋体" w:cs="宋体"/>
          <w:b/>
          <w:bCs/>
          <w:color w:val="CE6B2A"/>
          <w:sz w:val="36"/>
          <w:szCs w:val="36"/>
          <w:highlight w:val="none"/>
        </w:rPr>
      </w:pPr>
      <w:bookmarkStart w:id="71" w:name="_Toc31535"/>
      <w:bookmarkStart w:id="72" w:name="_Toc15858"/>
      <w:bookmarkStart w:id="73" w:name="_Toc13936"/>
      <w:bookmarkStart w:id="74" w:name="_Toc26678"/>
      <w:r>
        <w:rPr>
          <w:rFonts w:hint="eastAsia" w:ascii="宋体" w:hAnsi="宋体" w:eastAsia="宋体" w:cs="宋体"/>
          <w:b/>
          <w:bCs/>
          <w:color w:val="CE6B2A"/>
          <w:sz w:val="36"/>
          <w:szCs w:val="36"/>
          <w:highlight w:val="none"/>
        </w:rPr>
        <w:t>案</w:t>
      </w:r>
      <w:r>
        <w:rPr>
          <w:rFonts w:hint="eastAsia" w:ascii="宋体" w:hAnsi="宋体" w:eastAsia="宋体" w:cs="宋体"/>
          <w:b/>
          <w:bCs/>
          <w:color w:val="CE6B2A"/>
          <w:sz w:val="36"/>
          <w:szCs w:val="36"/>
          <w:highlight w:val="none"/>
          <w:lang w:val="en-US" w:eastAsia="zh-CN"/>
        </w:rPr>
        <w:t xml:space="preserve"> </w:t>
      </w:r>
      <w:r>
        <w:rPr>
          <w:rFonts w:hint="eastAsia" w:ascii="宋体" w:hAnsi="宋体" w:eastAsia="宋体" w:cs="宋体"/>
          <w:b/>
          <w:bCs/>
          <w:color w:val="CE6B2A"/>
          <w:sz w:val="36"/>
          <w:szCs w:val="36"/>
          <w:highlight w:val="none"/>
        </w:rPr>
        <w:t>例</w:t>
      </w:r>
      <w:r>
        <w:rPr>
          <w:rFonts w:hint="eastAsia" w:ascii="宋体" w:hAnsi="宋体" w:eastAsia="宋体" w:cs="宋体"/>
          <w:b/>
          <w:bCs/>
          <w:color w:val="CE6B2A"/>
          <w:sz w:val="36"/>
          <w:szCs w:val="36"/>
          <w:highlight w:val="none"/>
          <w:lang w:val="en-US" w:eastAsia="zh-CN"/>
        </w:rPr>
        <w:t xml:space="preserve"> </w:t>
      </w:r>
      <w:r>
        <w:rPr>
          <w:rFonts w:hint="eastAsia" w:ascii="宋体" w:hAnsi="宋体" w:eastAsia="宋体" w:cs="宋体"/>
          <w:b/>
          <w:bCs/>
          <w:color w:val="CE6B2A"/>
          <w:sz w:val="36"/>
          <w:szCs w:val="36"/>
          <w:highlight w:val="none"/>
        </w:rPr>
        <w:t>目</w:t>
      </w:r>
      <w:r>
        <w:rPr>
          <w:rFonts w:hint="eastAsia" w:ascii="宋体" w:hAnsi="宋体" w:eastAsia="宋体" w:cs="宋体"/>
          <w:b/>
          <w:bCs/>
          <w:color w:val="CE6B2A"/>
          <w:sz w:val="36"/>
          <w:szCs w:val="36"/>
          <w:highlight w:val="none"/>
          <w:lang w:val="en-US" w:eastAsia="zh-CN"/>
        </w:rPr>
        <w:t xml:space="preserve"> </w:t>
      </w:r>
      <w:r>
        <w:rPr>
          <w:rFonts w:hint="eastAsia" w:ascii="宋体" w:hAnsi="宋体" w:eastAsia="宋体" w:cs="宋体"/>
          <w:b/>
          <w:bCs/>
          <w:color w:val="CE6B2A"/>
          <w:sz w:val="36"/>
          <w:szCs w:val="36"/>
          <w:highlight w:val="none"/>
        </w:rPr>
        <w:t>录</w:t>
      </w:r>
      <w:bookmarkEnd w:id="57"/>
      <w:bookmarkEnd w:id="58"/>
      <w:bookmarkEnd w:id="59"/>
      <w:bookmarkEnd w:id="60"/>
      <w:bookmarkEnd w:id="71"/>
      <w:bookmarkEnd w:id="72"/>
      <w:bookmarkEnd w:id="73"/>
      <w:bookmarkEnd w:id="74"/>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1" w:leftChars="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TOC \h \c "案例"</w:instrText>
      </w:r>
      <w:r>
        <w:rPr>
          <w:rFonts w:hint="eastAsia" w:ascii="宋体" w:hAnsi="宋体" w:eastAsia="宋体" w:cs="宋体"/>
          <w:b/>
          <w:bCs/>
          <w:color w:val="auto"/>
          <w:sz w:val="24"/>
          <w:szCs w:val="24"/>
        </w:rPr>
        <w:fldChar w:fldCharType="separate"/>
      </w: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_Toc10933 </w:instrText>
      </w:r>
      <w:r>
        <w:rPr>
          <w:rFonts w:hint="eastAsia" w:ascii="宋体" w:hAnsi="宋体" w:eastAsia="宋体" w:cs="宋体"/>
          <w:bCs/>
          <w:color w:val="auto"/>
          <w:sz w:val="24"/>
          <w:szCs w:val="24"/>
        </w:rPr>
        <w:fldChar w:fldCharType="separate"/>
      </w:r>
      <w:r>
        <w:rPr>
          <w:rFonts w:hint="eastAsia" w:ascii="宋体" w:hAnsi="宋体" w:eastAsia="宋体" w:cs="宋体"/>
          <w:bCs/>
          <w:color w:val="auto"/>
          <w:sz w:val="24"/>
          <w:szCs w:val="24"/>
          <w:lang w:eastAsia="zh-CN"/>
        </w:rPr>
        <w:t>【案例</w:t>
      </w:r>
      <w:r>
        <w:rPr>
          <w:rFonts w:hint="eastAsia" w:ascii="宋体" w:hAnsi="宋体" w:eastAsia="宋体" w:cs="宋体"/>
          <w:color w:val="auto"/>
          <w:sz w:val="24"/>
          <w:szCs w:val="24"/>
        </w:rPr>
        <w:t>1</w:t>
      </w:r>
      <w:r>
        <w:rPr>
          <w:rFonts w:hint="eastAsia" w:ascii="宋体" w:hAnsi="宋体" w:eastAsia="宋体" w:cs="宋体"/>
          <w:bCs/>
          <w:color w:val="auto"/>
          <w:sz w:val="24"/>
          <w:szCs w:val="24"/>
          <w:lang w:val="en-US" w:eastAsia="zh-CN"/>
        </w:rPr>
        <w:t>】</w:t>
      </w:r>
      <w:r>
        <w:rPr>
          <w:rFonts w:hint="eastAsia" w:ascii="宋体" w:hAnsi="宋体" w:eastAsia="宋体" w:cs="宋体"/>
          <w:bCs/>
          <w:color w:val="auto"/>
          <w:sz w:val="24"/>
          <w:szCs w:val="24"/>
          <w:lang w:eastAsia="zh-CN"/>
        </w:rPr>
        <w:t>建设学习型支部，助力五星名校建设</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_Toc10933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10</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_Toc22894 </w:instrText>
      </w:r>
      <w:r>
        <w:rPr>
          <w:rFonts w:hint="eastAsia" w:ascii="宋体" w:hAnsi="宋体" w:eastAsia="宋体" w:cs="宋体"/>
          <w:bCs/>
          <w:color w:val="auto"/>
          <w:sz w:val="24"/>
          <w:szCs w:val="24"/>
        </w:rPr>
        <w:fldChar w:fldCharType="separate"/>
      </w:r>
      <w:r>
        <w:rPr>
          <w:rFonts w:hint="eastAsia" w:ascii="宋体" w:hAnsi="宋体" w:eastAsia="宋体" w:cs="宋体"/>
          <w:bCs/>
          <w:color w:val="auto"/>
          <w:sz w:val="24"/>
          <w:szCs w:val="24"/>
          <w:lang w:eastAsia="zh-CN"/>
        </w:rPr>
        <w:t>【案例</w:t>
      </w:r>
      <w:r>
        <w:rPr>
          <w:rFonts w:hint="eastAsia" w:ascii="宋体" w:hAnsi="宋体" w:eastAsia="宋体" w:cs="宋体"/>
          <w:color w:val="auto"/>
          <w:sz w:val="24"/>
          <w:szCs w:val="24"/>
        </w:rPr>
        <w:t>2</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构建“一二三四”行动范式  完善中职学校心育服务体系</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_Toc22894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12</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_Toc8832 </w:instrText>
      </w:r>
      <w:r>
        <w:rPr>
          <w:rFonts w:hint="eastAsia" w:ascii="宋体" w:hAnsi="宋体" w:eastAsia="宋体" w:cs="宋体"/>
          <w:bCs/>
          <w:color w:val="auto"/>
          <w:sz w:val="24"/>
          <w:szCs w:val="24"/>
        </w:rPr>
        <w:fldChar w:fldCharType="separate"/>
      </w:r>
      <w:r>
        <w:rPr>
          <w:rFonts w:hint="eastAsia" w:ascii="宋体" w:hAnsi="宋体" w:eastAsia="宋体" w:cs="宋体"/>
          <w:bCs/>
          <w:color w:val="auto"/>
          <w:sz w:val="24"/>
          <w:szCs w:val="24"/>
          <w:lang w:eastAsia="zh-CN"/>
        </w:rPr>
        <w:t>【案例</w:t>
      </w:r>
      <w:r>
        <w:rPr>
          <w:rFonts w:hint="eastAsia" w:ascii="宋体" w:hAnsi="宋体" w:eastAsia="宋体" w:cs="宋体"/>
          <w:color w:val="auto"/>
          <w:sz w:val="24"/>
          <w:szCs w:val="24"/>
        </w:rPr>
        <w:t>3</w:t>
      </w:r>
      <w:r>
        <w:rPr>
          <w:rFonts w:hint="eastAsia" w:ascii="宋体" w:hAnsi="宋体" w:eastAsia="宋体" w:cs="宋体"/>
          <w:bCs/>
          <w:color w:val="auto"/>
          <w:sz w:val="24"/>
          <w:szCs w:val="24"/>
          <w:lang w:val="en-US" w:eastAsia="zh-CN"/>
        </w:rPr>
        <w:t>】优秀毕业生文京府：奋斗之路，回馈社会</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_Toc8832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19</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_Toc11194 </w:instrText>
      </w:r>
      <w:r>
        <w:rPr>
          <w:rFonts w:hint="eastAsia" w:ascii="宋体" w:hAnsi="宋体" w:eastAsia="宋体" w:cs="宋体"/>
          <w:bCs/>
          <w:color w:val="auto"/>
          <w:sz w:val="24"/>
          <w:szCs w:val="24"/>
        </w:rPr>
        <w:fldChar w:fldCharType="separate"/>
      </w:r>
      <w:r>
        <w:rPr>
          <w:rFonts w:hint="eastAsia" w:ascii="宋体" w:hAnsi="宋体" w:eastAsia="宋体" w:cs="宋体"/>
          <w:bCs/>
          <w:color w:val="auto"/>
          <w:sz w:val="24"/>
          <w:szCs w:val="24"/>
          <w:lang w:eastAsia="zh-CN"/>
        </w:rPr>
        <w:t>【案例</w:t>
      </w:r>
      <w:r>
        <w:rPr>
          <w:rFonts w:hint="eastAsia" w:ascii="宋体" w:hAnsi="宋体" w:eastAsia="宋体" w:cs="宋体"/>
          <w:color w:val="auto"/>
          <w:sz w:val="24"/>
          <w:szCs w:val="24"/>
        </w:rPr>
        <w:t>4</w:t>
      </w:r>
      <w:r>
        <w:rPr>
          <w:rFonts w:hint="eastAsia" w:ascii="宋体" w:hAnsi="宋体" w:eastAsia="宋体" w:cs="宋体"/>
          <w:bCs/>
          <w:color w:val="auto"/>
          <w:sz w:val="24"/>
          <w:szCs w:val="24"/>
          <w:lang w:val="en-US" w:eastAsia="zh-CN"/>
        </w:rPr>
        <w:t>】四方协同共建共享，助力大英乡村振兴</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_Toc11194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23</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_Toc21930 </w:instrText>
      </w:r>
      <w:r>
        <w:rPr>
          <w:rFonts w:hint="eastAsia" w:ascii="宋体" w:hAnsi="宋体" w:eastAsia="宋体" w:cs="宋体"/>
          <w:bCs/>
          <w:color w:val="auto"/>
          <w:sz w:val="24"/>
          <w:szCs w:val="24"/>
        </w:rPr>
        <w:fldChar w:fldCharType="separate"/>
      </w:r>
      <w:r>
        <w:rPr>
          <w:rFonts w:hint="eastAsia" w:ascii="宋体" w:hAnsi="宋体" w:eastAsia="宋体" w:cs="宋体"/>
          <w:bCs/>
          <w:color w:val="auto"/>
          <w:sz w:val="24"/>
          <w:szCs w:val="24"/>
          <w:lang w:eastAsia="zh-CN"/>
        </w:rPr>
        <w:t>【案例</w:t>
      </w:r>
      <w:r>
        <w:rPr>
          <w:rFonts w:hint="eastAsia" w:ascii="宋体" w:hAnsi="宋体" w:eastAsia="宋体" w:cs="宋体"/>
          <w:color w:val="auto"/>
          <w:sz w:val="24"/>
          <w:szCs w:val="24"/>
        </w:rPr>
        <w:t>5</w:t>
      </w:r>
      <w:r>
        <w:rPr>
          <w:rFonts w:hint="eastAsia" w:ascii="宋体" w:hAnsi="宋体" w:eastAsia="宋体" w:cs="宋体"/>
          <w:bCs/>
          <w:color w:val="auto"/>
          <w:sz w:val="24"/>
          <w:szCs w:val="24"/>
          <w:lang w:val="en-US" w:eastAsia="zh-CN"/>
        </w:rPr>
        <w:t>】传承红色基因，爱国励志成才</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_Toc21930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31</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_Toc5038 </w:instrText>
      </w:r>
      <w:r>
        <w:rPr>
          <w:rFonts w:hint="eastAsia" w:ascii="宋体" w:hAnsi="宋体" w:eastAsia="宋体" w:cs="宋体"/>
          <w:bCs/>
          <w:color w:val="auto"/>
          <w:sz w:val="24"/>
          <w:szCs w:val="24"/>
        </w:rPr>
        <w:fldChar w:fldCharType="separate"/>
      </w:r>
      <w:r>
        <w:rPr>
          <w:rFonts w:hint="eastAsia" w:ascii="宋体" w:hAnsi="宋体" w:eastAsia="宋体" w:cs="宋体"/>
          <w:bCs/>
          <w:color w:val="auto"/>
          <w:sz w:val="24"/>
          <w:szCs w:val="24"/>
          <w:lang w:eastAsia="zh-CN"/>
        </w:rPr>
        <w:t>【案例</w:t>
      </w:r>
      <w:r>
        <w:rPr>
          <w:rFonts w:hint="eastAsia" w:ascii="宋体" w:hAnsi="宋体" w:eastAsia="宋体" w:cs="宋体"/>
          <w:color w:val="auto"/>
          <w:sz w:val="24"/>
          <w:szCs w:val="24"/>
        </w:rPr>
        <w:t>6</w:t>
      </w:r>
      <w:r>
        <w:rPr>
          <w:rFonts w:hint="eastAsia" w:ascii="宋体" w:hAnsi="宋体" w:eastAsia="宋体" w:cs="宋体"/>
          <w:bCs/>
          <w:color w:val="auto"/>
          <w:sz w:val="24"/>
          <w:szCs w:val="24"/>
          <w:lang w:val="en-US" w:eastAsia="zh-CN"/>
        </w:rPr>
        <w:t>】产教融合，学生实习就好业</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_Toc5038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38</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480" w:leftChars="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_Toc5533 </w:instrText>
      </w:r>
      <w:r>
        <w:rPr>
          <w:rFonts w:hint="eastAsia" w:ascii="宋体" w:hAnsi="宋体" w:eastAsia="宋体" w:cs="宋体"/>
          <w:bCs/>
          <w:color w:val="auto"/>
          <w:sz w:val="24"/>
          <w:szCs w:val="24"/>
        </w:rPr>
        <w:fldChar w:fldCharType="separate"/>
      </w:r>
      <w:r>
        <w:rPr>
          <w:rFonts w:hint="eastAsia" w:ascii="宋体" w:hAnsi="宋体" w:eastAsia="宋体" w:cs="宋体"/>
          <w:bCs/>
          <w:color w:val="auto"/>
          <w:sz w:val="24"/>
          <w:szCs w:val="24"/>
          <w:lang w:eastAsia="zh-CN"/>
        </w:rPr>
        <w:t>【案例</w:t>
      </w:r>
      <w:r>
        <w:rPr>
          <w:rFonts w:hint="eastAsia" w:ascii="宋体" w:hAnsi="宋体" w:eastAsia="宋体" w:cs="宋体"/>
          <w:color w:val="auto"/>
          <w:sz w:val="24"/>
          <w:szCs w:val="24"/>
        </w:rPr>
        <w:t>7</w:t>
      </w:r>
      <w:r>
        <w:rPr>
          <w:rFonts w:hint="eastAsia" w:ascii="宋体" w:hAnsi="宋体" w:eastAsia="宋体" w:cs="宋体"/>
          <w:bCs/>
          <w:color w:val="auto"/>
          <w:sz w:val="24"/>
          <w:szCs w:val="24"/>
          <w:lang w:val="en-US" w:eastAsia="zh-CN"/>
        </w:rPr>
        <w:t>】智慧教育云平台在数字化学教平台背景下的教学实践与评价创新</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_Toc5533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54</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2"/>
        <w:keepNext w:val="0"/>
        <w:keepLines w:val="0"/>
        <w:pageBreakBefore w:val="0"/>
        <w:widowControl w:val="0"/>
        <w:kinsoku/>
        <w:wordWrap/>
        <w:overflowPunct/>
        <w:topLinePunct w:val="0"/>
        <w:autoSpaceDE/>
        <w:autoSpaceDN/>
        <w:bidi w:val="0"/>
        <w:adjustRightInd/>
        <w:snapToGrid/>
        <w:spacing w:after="0" w:line="520" w:lineRule="exact"/>
        <w:ind w:left="0" w:leftChars="0"/>
        <w:textAlignment w:val="auto"/>
        <w:rPr>
          <w:rFonts w:hint="eastAsia" w:ascii="宋体" w:hAnsi="宋体" w:eastAsia="宋体" w:cs="宋体"/>
          <w:b/>
          <w:bCs/>
          <w:color w:val="auto"/>
          <w:sz w:val="24"/>
          <w:szCs w:val="24"/>
        </w:rPr>
      </w:pPr>
      <w:r>
        <w:rPr>
          <w:rFonts w:hint="eastAsia" w:ascii="宋体" w:hAnsi="宋体" w:eastAsia="宋体" w:cs="宋体"/>
          <w:bCs/>
          <w:color w:val="auto"/>
          <w:sz w:val="24"/>
          <w:szCs w:val="24"/>
        </w:rPr>
        <w:fldChar w:fldCharType="end"/>
      </w:r>
    </w:p>
    <w:p>
      <w:pPr>
        <w:rPr>
          <w:rFonts w:ascii="Times New Roman" w:hAnsi="Times New Roman" w:eastAsia="黑体" w:cs="黑体"/>
          <w:b/>
          <w:bCs/>
          <w:color w:val="auto"/>
          <w:sz w:val="32"/>
          <w:szCs w:val="32"/>
        </w:rPr>
      </w:pPr>
    </w:p>
    <w:p>
      <w:pPr>
        <w:pStyle w:val="2"/>
        <w:rPr>
          <w:rFonts w:ascii="Times New Roman" w:hAnsi="Times New Roman" w:eastAsia="黑体" w:cs="黑体"/>
          <w:b/>
          <w:bCs/>
          <w:sz w:val="32"/>
          <w:szCs w:val="32"/>
        </w:rPr>
      </w:pPr>
    </w:p>
    <w:p>
      <w:pPr>
        <w:rPr>
          <w:rFonts w:ascii="Times New Roman" w:hAnsi="Times New Roman" w:eastAsia="黑体" w:cs="黑体"/>
          <w:b/>
          <w:bCs/>
          <w:sz w:val="32"/>
          <w:szCs w:val="32"/>
        </w:rPr>
      </w:pPr>
    </w:p>
    <w:p>
      <w:pPr>
        <w:pStyle w:val="2"/>
        <w:rPr>
          <w:rFonts w:ascii="Times New Roman" w:hAnsi="Times New Roman" w:eastAsia="黑体" w:cs="黑体"/>
          <w:b/>
          <w:bCs/>
          <w:sz w:val="32"/>
          <w:szCs w:val="32"/>
        </w:rPr>
      </w:pPr>
    </w:p>
    <w:p>
      <w:pPr>
        <w:rPr>
          <w:rFonts w:ascii="Times New Roman" w:hAnsi="Times New Roman" w:eastAsia="黑体" w:cs="黑体"/>
          <w:b/>
          <w:bCs/>
          <w:sz w:val="32"/>
          <w:szCs w:val="32"/>
        </w:rPr>
      </w:pPr>
    </w:p>
    <w:p>
      <w:pPr>
        <w:pStyle w:val="2"/>
        <w:rPr>
          <w:rFonts w:ascii="Times New Roman" w:hAnsi="Times New Roman" w:eastAsia="黑体" w:cs="黑体"/>
          <w:b/>
          <w:bCs/>
          <w:sz w:val="32"/>
          <w:szCs w:val="32"/>
        </w:rPr>
      </w:pPr>
    </w:p>
    <w:p>
      <w:pPr>
        <w:rPr>
          <w:rFonts w:ascii="Times New Roman" w:hAnsi="Times New Roman" w:eastAsia="黑体" w:cs="黑体"/>
          <w:b/>
          <w:bCs/>
          <w:sz w:val="32"/>
          <w:szCs w:val="32"/>
        </w:rPr>
      </w:pPr>
    </w:p>
    <w:p>
      <w:pPr>
        <w:pStyle w:val="2"/>
        <w:rPr>
          <w:rFonts w:ascii="Times New Roman" w:hAnsi="Times New Roman" w:eastAsia="黑体" w:cs="黑体"/>
          <w:b/>
          <w:bCs/>
          <w:sz w:val="32"/>
          <w:szCs w:val="32"/>
        </w:rPr>
      </w:pPr>
    </w:p>
    <w:p>
      <w:pPr>
        <w:rPr>
          <w:rFonts w:ascii="Times New Roman" w:hAnsi="Times New Roman" w:eastAsia="黑体" w:cs="黑体"/>
          <w:b/>
          <w:bCs/>
          <w:sz w:val="32"/>
          <w:szCs w:val="32"/>
        </w:rPr>
      </w:pPr>
    </w:p>
    <w:p>
      <w:pPr>
        <w:pStyle w:val="2"/>
        <w:rPr>
          <w:rFonts w:ascii="Times New Roman" w:hAnsi="Times New Roman" w:eastAsia="黑体" w:cs="黑体"/>
          <w:b/>
          <w:bCs/>
          <w:sz w:val="32"/>
          <w:szCs w:val="32"/>
        </w:rPr>
      </w:pPr>
    </w:p>
    <w:p>
      <w:pPr>
        <w:rPr>
          <w:rFonts w:ascii="Times New Roman" w:hAnsi="Times New Roman" w:eastAsia="黑体" w:cs="黑体"/>
          <w:b/>
          <w:bCs/>
          <w:sz w:val="32"/>
          <w:szCs w:val="32"/>
        </w:rPr>
      </w:pPr>
    </w:p>
    <w:p>
      <w:pPr>
        <w:pStyle w:val="2"/>
        <w:rPr>
          <w:rFonts w:ascii="Times New Roman" w:hAnsi="Times New Roman" w:eastAsia="黑体" w:cs="黑体"/>
          <w:b/>
          <w:bCs/>
          <w:sz w:val="32"/>
          <w:szCs w:val="32"/>
        </w:rPr>
      </w:pPr>
    </w:p>
    <w:p>
      <w:pPr>
        <w:rPr>
          <w:rFonts w:ascii="Times New Roman" w:hAnsi="Times New Roman" w:eastAsia="黑体" w:cs="黑体"/>
          <w:b/>
          <w:bCs/>
          <w:sz w:val="32"/>
          <w:szCs w:val="32"/>
        </w:rPr>
      </w:pPr>
    </w:p>
    <w:p>
      <w:pPr>
        <w:adjustRightInd w:val="0"/>
        <w:spacing w:line="560" w:lineRule="exact"/>
        <w:outlineLvl w:val="0"/>
        <w:rPr>
          <w:rFonts w:ascii="Times New Roman" w:hAnsi="Times New Roman" w:eastAsia="黑体" w:cs="Times New Roman"/>
          <w:b/>
          <w:bCs/>
          <w:sz w:val="32"/>
          <w:szCs w:val="32"/>
        </w:rPr>
        <w:sectPr>
          <w:headerReference r:id="rId8" w:type="default"/>
          <w:footerReference r:id="rId9" w:type="default"/>
          <w:footnotePr>
            <w:numFmt w:val="decimalEnclosedCircleChinese"/>
          </w:footnotePr>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adjustRightInd w:val="0"/>
        <w:spacing w:line="560" w:lineRule="exact"/>
        <w:ind w:firstLine="642" w:firstLineChars="200"/>
        <w:outlineLvl w:val="0"/>
        <w:rPr>
          <w:rFonts w:ascii="Times New Roman" w:hAnsi="Times New Roman" w:eastAsia="黑体" w:cs="黑体"/>
          <w:color w:val="CE6B2A"/>
          <w:sz w:val="32"/>
          <w:szCs w:val="32"/>
          <w:highlight w:val="none"/>
        </w:rPr>
      </w:pPr>
      <w:bookmarkStart w:id="75" w:name="_Toc21664"/>
      <w:r>
        <w:rPr>
          <w:rFonts w:ascii="Times New Roman" w:hAnsi="Times New Roman" w:eastAsia="黑体" w:cs="Times New Roman"/>
          <w:b/>
          <w:bCs/>
          <w:color w:val="CE6B2A"/>
          <w:sz w:val="32"/>
          <w:szCs w:val="32"/>
          <w:highlight w:val="none"/>
        </w:rPr>
        <w:t>1</w:t>
      </w:r>
      <w:r>
        <w:rPr>
          <w:rFonts w:hint="eastAsia" w:ascii="Calibri" w:hAnsi="Calibri" w:eastAsia="黑体" w:cs="Calibri"/>
          <w:b/>
          <w:bCs/>
          <w:color w:val="CE6B2A"/>
          <w:sz w:val="32"/>
          <w:szCs w:val="32"/>
          <w:highlight w:val="none"/>
        </w:rPr>
        <w:t xml:space="preserve"> </w:t>
      </w:r>
      <w:r>
        <w:rPr>
          <w:rFonts w:hint="eastAsia" w:ascii="Times New Roman" w:hAnsi="Times New Roman" w:eastAsia="黑体" w:cs="黑体"/>
          <w:b/>
          <w:bCs/>
          <w:color w:val="CE6B2A"/>
          <w:sz w:val="32"/>
          <w:szCs w:val="32"/>
          <w:highlight w:val="none"/>
        </w:rPr>
        <w:t>基本情况</w:t>
      </w:r>
      <w:bookmarkEnd w:id="61"/>
      <w:bookmarkEnd w:id="62"/>
      <w:bookmarkEnd w:id="63"/>
      <w:bookmarkEnd w:id="64"/>
      <w:bookmarkEnd w:id="65"/>
      <w:bookmarkEnd w:id="66"/>
      <w:bookmarkEnd w:id="67"/>
      <w:bookmarkEnd w:id="75"/>
    </w:p>
    <w:p>
      <w:pPr>
        <w:spacing w:line="560" w:lineRule="exact"/>
        <w:ind w:firstLine="602" w:firstLineChars="200"/>
        <w:outlineLvl w:val="1"/>
        <w:rPr>
          <w:rFonts w:ascii="Times New Roman" w:hAnsi="Times New Roman" w:eastAsia="楷体" w:cs="楷体"/>
          <w:b/>
          <w:bCs/>
          <w:color w:val="auto"/>
          <w:sz w:val="30"/>
          <w:szCs w:val="30"/>
          <w:highlight w:val="none"/>
        </w:rPr>
      </w:pPr>
      <w:bookmarkStart w:id="76" w:name="_Toc21500"/>
      <w:bookmarkStart w:id="77" w:name="_Toc19748"/>
      <w:bookmarkStart w:id="78" w:name="_Toc91576122"/>
      <w:bookmarkStart w:id="79" w:name="_Toc16288"/>
      <w:bookmarkStart w:id="80" w:name="_Toc61254028"/>
      <w:bookmarkStart w:id="81" w:name="_Toc25540"/>
      <w:bookmarkStart w:id="82" w:name="_Toc9661"/>
      <w:bookmarkStart w:id="83" w:name="_Toc9576"/>
      <w:r>
        <w:rPr>
          <w:rFonts w:ascii="Times New Roman" w:hAnsi="Times New Roman" w:eastAsia="楷体" w:cs="Times New Roman"/>
          <w:b/>
          <w:bCs/>
          <w:color w:val="auto"/>
          <w:sz w:val="30"/>
          <w:szCs w:val="30"/>
          <w:highlight w:val="none"/>
        </w:rPr>
        <w:t>1</w:t>
      </w:r>
      <w:r>
        <w:rPr>
          <w:rFonts w:hint="eastAsia" w:ascii="Times New Roman" w:hAnsi="Times New Roman" w:eastAsia="楷体" w:cs="楷体"/>
          <w:b/>
          <w:bCs/>
          <w:color w:val="auto"/>
          <w:sz w:val="30"/>
          <w:szCs w:val="30"/>
          <w:highlight w:val="none"/>
        </w:rPr>
        <w:t>.</w:t>
      </w:r>
      <w:r>
        <w:rPr>
          <w:rFonts w:ascii="Times New Roman" w:hAnsi="Times New Roman" w:eastAsia="楷体" w:cs="Times New Roman"/>
          <w:b/>
          <w:bCs/>
          <w:color w:val="auto"/>
          <w:sz w:val="30"/>
          <w:szCs w:val="30"/>
          <w:highlight w:val="none"/>
        </w:rPr>
        <w:t>1</w:t>
      </w:r>
      <w:r>
        <w:rPr>
          <w:rFonts w:hint="eastAsia" w:ascii="Times New Roman" w:hAnsi="Times New Roman" w:eastAsia="楷体" w:cs="楷体"/>
          <w:b/>
          <w:bCs/>
          <w:color w:val="auto"/>
          <w:sz w:val="30"/>
          <w:szCs w:val="30"/>
          <w:highlight w:val="none"/>
        </w:rPr>
        <w:t xml:space="preserve"> 规模和结构</w:t>
      </w:r>
      <w:bookmarkEnd w:id="76"/>
      <w:bookmarkEnd w:id="77"/>
      <w:bookmarkEnd w:id="78"/>
      <w:bookmarkEnd w:id="79"/>
      <w:bookmarkEnd w:id="80"/>
      <w:bookmarkEnd w:id="81"/>
      <w:bookmarkEnd w:id="82"/>
      <w:bookmarkEnd w:id="83"/>
    </w:p>
    <w:p>
      <w:pPr>
        <w:spacing w:line="560" w:lineRule="exact"/>
        <w:ind w:firstLine="562" w:firstLineChars="200"/>
        <w:outlineLvl w:val="2"/>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1</w:t>
      </w:r>
      <w:r>
        <w:rPr>
          <w:rFonts w:hint="eastAsia" w:ascii="Times New Roman" w:hAnsi="Times New Roman" w:eastAsia="宋体" w:cs="Times New Roman"/>
          <w:b/>
          <w:bCs/>
          <w:color w:val="auto"/>
          <w:sz w:val="28"/>
          <w:szCs w:val="28"/>
          <w:highlight w:val="none"/>
        </w:rPr>
        <w:t>.</w:t>
      </w:r>
      <w:r>
        <w:rPr>
          <w:rFonts w:ascii="Times New Roman" w:hAnsi="Times New Roman" w:eastAsia="宋体" w:cs="Times New Roman"/>
          <w:b/>
          <w:bCs/>
          <w:color w:val="auto"/>
          <w:sz w:val="28"/>
          <w:szCs w:val="28"/>
          <w:highlight w:val="none"/>
        </w:rPr>
        <w:t>1</w:t>
      </w:r>
      <w:r>
        <w:rPr>
          <w:rFonts w:hint="eastAsia" w:ascii="Times New Roman" w:hAnsi="Times New Roman" w:eastAsia="宋体" w:cs="Times New Roman"/>
          <w:b/>
          <w:bCs/>
          <w:color w:val="auto"/>
          <w:sz w:val="28"/>
          <w:szCs w:val="28"/>
          <w:highlight w:val="none"/>
        </w:rPr>
        <w:t>.</w:t>
      </w:r>
      <w:r>
        <w:rPr>
          <w:rFonts w:ascii="Times New Roman" w:hAnsi="Times New Roman" w:eastAsia="宋体" w:cs="Times New Roman"/>
          <w:b/>
          <w:bCs/>
          <w:color w:val="auto"/>
          <w:sz w:val="28"/>
          <w:szCs w:val="28"/>
          <w:highlight w:val="none"/>
        </w:rPr>
        <w:t>1</w:t>
      </w:r>
      <w:r>
        <w:rPr>
          <w:rFonts w:hint="eastAsia" w:ascii="Times New Roman" w:hAnsi="Times New Roman" w:eastAsia="宋体" w:cs="Times New Roman"/>
          <w:b/>
          <w:bCs/>
          <w:color w:val="auto"/>
          <w:sz w:val="28"/>
          <w:szCs w:val="28"/>
          <w:highlight w:val="none"/>
        </w:rPr>
        <w:t xml:space="preserve"> 学校规模</w:t>
      </w:r>
    </w:p>
    <w:p>
      <w:pPr>
        <w:spacing w:line="560" w:lineRule="exact"/>
        <w:ind w:firstLine="480" w:firstLineChars="200"/>
        <w:rPr>
          <w:rFonts w:hint="eastAsia" w:ascii="Times New Roman" w:hAnsi="Times New Roman" w:eastAsia="宋体" w:cs="仿宋"/>
          <w:color w:val="auto"/>
          <w:sz w:val="24"/>
          <w:szCs w:val="24"/>
          <w:highlight w:val="none"/>
        </w:rPr>
      </w:pPr>
      <w:r>
        <w:rPr>
          <w:rFonts w:hint="eastAsia" w:ascii="Times New Roman" w:hAnsi="Times New Roman" w:eastAsia="宋体" w:cs="仿宋"/>
          <w:color w:val="auto"/>
          <w:sz w:val="24"/>
          <w:szCs w:val="24"/>
          <w:highlight w:val="none"/>
        </w:rPr>
        <w:t>根据202</w:t>
      </w:r>
      <w:r>
        <w:rPr>
          <w:rFonts w:hint="eastAsia" w:ascii="Times New Roman" w:hAnsi="Times New Roman" w:eastAsia="宋体" w:cs="仿宋"/>
          <w:color w:val="auto"/>
          <w:sz w:val="24"/>
          <w:szCs w:val="24"/>
          <w:highlight w:val="none"/>
          <w:lang w:val="en-US" w:eastAsia="zh-CN"/>
        </w:rPr>
        <w:t>4</w:t>
      </w:r>
      <w:r>
        <w:rPr>
          <w:rFonts w:hint="eastAsia" w:ascii="Times New Roman" w:hAnsi="Times New Roman" w:eastAsia="宋体" w:cs="仿宋"/>
          <w:color w:val="auto"/>
          <w:sz w:val="24"/>
          <w:szCs w:val="24"/>
          <w:highlight w:val="none"/>
        </w:rPr>
        <w:t>年四川省教育厅公布的中职学校招生资格</w:t>
      </w:r>
      <w:r>
        <w:rPr>
          <w:rFonts w:hint="eastAsia" w:ascii="Times New Roman" w:hAnsi="Times New Roman" w:eastAsia="宋体" w:cs="仿宋"/>
          <w:color w:val="auto"/>
          <w:sz w:val="24"/>
          <w:szCs w:val="24"/>
          <w:highlight w:val="none"/>
          <w:lang w:eastAsia="zh-CN"/>
        </w:rPr>
        <w:t>名单</w:t>
      </w:r>
      <w:r>
        <w:rPr>
          <w:rFonts w:hint="eastAsia" w:ascii="Times New Roman" w:hAnsi="Times New Roman" w:eastAsia="宋体" w:cs="仿宋"/>
          <w:color w:val="auto"/>
          <w:sz w:val="24"/>
          <w:szCs w:val="24"/>
          <w:highlight w:val="none"/>
        </w:rPr>
        <w:t>，遂宁市现有</w:t>
      </w:r>
      <w:r>
        <w:rPr>
          <w:rFonts w:hint="eastAsia" w:ascii="Times New Roman" w:hAnsi="Times New Roman" w:eastAsia="宋体" w:cs="仿宋"/>
          <w:color w:val="auto"/>
          <w:sz w:val="24"/>
          <w:szCs w:val="24"/>
          <w:highlight w:val="none"/>
          <w:lang w:eastAsia="zh-CN"/>
        </w:rPr>
        <w:t>教育部门管理的</w:t>
      </w:r>
      <w:r>
        <w:rPr>
          <w:rFonts w:hint="eastAsia" w:ascii="Times New Roman" w:hAnsi="Times New Roman" w:eastAsia="宋体" w:cs="仿宋"/>
          <w:color w:val="auto"/>
          <w:sz w:val="24"/>
          <w:szCs w:val="24"/>
          <w:highlight w:val="none"/>
        </w:rPr>
        <w:t>中等职业学校</w:t>
      </w:r>
      <w:r>
        <w:rPr>
          <w:rFonts w:hint="eastAsia" w:ascii="Times New Roman" w:hAnsi="Times New Roman" w:eastAsia="宋体" w:cs="仿宋"/>
          <w:color w:val="auto"/>
          <w:sz w:val="24"/>
          <w:szCs w:val="24"/>
          <w:highlight w:val="none"/>
          <w:lang w:val="en-US" w:eastAsia="zh-CN"/>
        </w:rPr>
        <w:t>9</w:t>
      </w:r>
      <w:r>
        <w:rPr>
          <w:rFonts w:hint="eastAsia" w:ascii="Times New Roman" w:hAnsi="Times New Roman" w:eastAsia="宋体" w:cs="仿宋"/>
          <w:color w:val="auto"/>
          <w:sz w:val="24"/>
          <w:szCs w:val="24"/>
          <w:highlight w:val="none"/>
        </w:rPr>
        <w:t>所</w:t>
      </w:r>
      <w:r>
        <w:rPr>
          <w:rFonts w:hint="eastAsia" w:ascii="Times New Roman" w:hAnsi="Times New Roman" w:eastAsia="宋体" w:cs="仿宋"/>
          <w:color w:val="auto"/>
          <w:sz w:val="24"/>
          <w:szCs w:val="24"/>
          <w:highlight w:val="none"/>
          <w:lang w:eastAsia="zh-CN"/>
        </w:rPr>
        <w:t>，</w:t>
      </w:r>
      <w:r>
        <w:rPr>
          <w:rFonts w:hint="eastAsia" w:ascii="Times New Roman" w:hAnsi="Times New Roman" w:eastAsia="宋体" w:cs="仿宋"/>
          <w:color w:val="auto"/>
          <w:sz w:val="24"/>
          <w:szCs w:val="24"/>
          <w:highlight w:val="none"/>
        </w:rPr>
        <w:t>其中：公办学校有6所，占学校总数的6</w:t>
      </w:r>
      <w:r>
        <w:rPr>
          <w:rFonts w:hint="eastAsia" w:ascii="Times New Roman" w:hAnsi="Times New Roman" w:eastAsia="宋体" w:cs="仿宋"/>
          <w:color w:val="auto"/>
          <w:sz w:val="24"/>
          <w:szCs w:val="24"/>
          <w:highlight w:val="none"/>
          <w:lang w:val="en-US" w:eastAsia="zh-CN"/>
        </w:rPr>
        <w:t>6.67</w:t>
      </w:r>
      <w:r>
        <w:rPr>
          <w:rFonts w:hint="eastAsia" w:ascii="Times New Roman" w:hAnsi="Times New Roman" w:eastAsia="宋体" w:cs="仿宋"/>
          <w:color w:val="auto"/>
          <w:sz w:val="24"/>
          <w:szCs w:val="24"/>
          <w:highlight w:val="none"/>
        </w:rPr>
        <w:t>%；民办中职学校</w:t>
      </w:r>
      <w:r>
        <w:rPr>
          <w:rFonts w:hint="eastAsia" w:ascii="Times New Roman" w:hAnsi="Times New Roman" w:eastAsia="宋体" w:cs="仿宋"/>
          <w:color w:val="auto"/>
          <w:sz w:val="24"/>
          <w:szCs w:val="24"/>
          <w:highlight w:val="none"/>
          <w:lang w:val="en-US" w:eastAsia="zh-CN"/>
        </w:rPr>
        <w:t>3</w:t>
      </w:r>
      <w:r>
        <w:rPr>
          <w:rFonts w:hint="eastAsia" w:ascii="Times New Roman" w:hAnsi="Times New Roman" w:eastAsia="宋体" w:cs="仿宋"/>
          <w:color w:val="auto"/>
          <w:sz w:val="24"/>
          <w:szCs w:val="24"/>
          <w:highlight w:val="none"/>
        </w:rPr>
        <w:t>所，占学校总数的</w:t>
      </w:r>
      <w:r>
        <w:rPr>
          <w:rFonts w:hint="eastAsia" w:ascii="Times New Roman" w:hAnsi="Times New Roman" w:eastAsia="宋体" w:cs="仿宋"/>
          <w:color w:val="auto"/>
          <w:sz w:val="24"/>
          <w:szCs w:val="24"/>
          <w:highlight w:val="none"/>
          <w:lang w:val="en-US" w:eastAsia="zh-CN"/>
        </w:rPr>
        <w:t>33.33</w:t>
      </w:r>
      <w:r>
        <w:rPr>
          <w:rFonts w:hint="eastAsia" w:ascii="Times New Roman" w:hAnsi="Times New Roman" w:eastAsia="宋体" w:cs="仿宋"/>
          <w:color w:val="auto"/>
          <w:sz w:val="24"/>
          <w:szCs w:val="24"/>
          <w:highlight w:val="none"/>
        </w:rPr>
        <w:t>%。区域内现有国家中等职业教育改革发展示范学校2所，国家级重点中等职业学校3所，四川省重点中等职业学校</w:t>
      </w:r>
      <w:r>
        <w:rPr>
          <w:rFonts w:hint="eastAsia" w:ascii="Times New Roman" w:hAnsi="Times New Roman" w:eastAsia="宋体" w:cs="仿宋"/>
          <w:color w:val="auto"/>
          <w:sz w:val="24"/>
          <w:szCs w:val="24"/>
          <w:highlight w:val="none"/>
          <w:lang w:val="en-US" w:eastAsia="zh-CN"/>
        </w:rPr>
        <w:t>1</w:t>
      </w:r>
      <w:r>
        <w:rPr>
          <w:rFonts w:hint="eastAsia" w:ascii="Times New Roman" w:hAnsi="Times New Roman" w:eastAsia="宋体" w:cs="仿宋"/>
          <w:color w:val="auto"/>
          <w:sz w:val="24"/>
          <w:szCs w:val="24"/>
          <w:highlight w:val="none"/>
        </w:rPr>
        <w:t>所，四川省示范中等职业学校建设单位2所，“三名工程”建设单位5所。遂宁市202</w:t>
      </w:r>
      <w:r>
        <w:rPr>
          <w:rFonts w:hint="eastAsia" w:ascii="Times New Roman" w:hAnsi="Times New Roman" w:eastAsia="宋体" w:cs="仿宋"/>
          <w:color w:val="auto"/>
          <w:sz w:val="24"/>
          <w:szCs w:val="24"/>
          <w:highlight w:val="none"/>
          <w:lang w:val="en-US" w:eastAsia="zh-CN"/>
        </w:rPr>
        <w:t>3</w:t>
      </w:r>
      <w:r>
        <w:rPr>
          <w:rFonts w:hint="eastAsia" w:ascii="Times New Roman" w:hAnsi="Times New Roman" w:eastAsia="宋体" w:cs="仿宋"/>
          <w:color w:val="auto"/>
          <w:sz w:val="24"/>
          <w:szCs w:val="24"/>
          <w:highlight w:val="none"/>
        </w:rPr>
        <w:t>-202</w:t>
      </w:r>
      <w:r>
        <w:rPr>
          <w:rFonts w:hint="eastAsia" w:ascii="Times New Roman" w:hAnsi="Times New Roman" w:eastAsia="宋体" w:cs="仿宋"/>
          <w:color w:val="auto"/>
          <w:sz w:val="24"/>
          <w:szCs w:val="24"/>
          <w:highlight w:val="none"/>
          <w:lang w:val="en-US" w:eastAsia="zh-CN"/>
        </w:rPr>
        <w:t>4</w:t>
      </w:r>
      <w:r>
        <w:rPr>
          <w:rFonts w:hint="eastAsia" w:ascii="Times New Roman" w:hAnsi="Times New Roman" w:eastAsia="宋体" w:cs="仿宋"/>
          <w:color w:val="auto"/>
          <w:sz w:val="24"/>
          <w:szCs w:val="24"/>
          <w:highlight w:val="none"/>
        </w:rPr>
        <w:t>学年中等职业学校统计情况见表1</w:t>
      </w:r>
      <w:r>
        <w:rPr>
          <w:rFonts w:hint="eastAsia" w:ascii="Times New Roman" w:hAnsi="Times New Roman" w:eastAsia="宋体" w:cs="仿宋"/>
          <w:color w:val="auto"/>
          <w:sz w:val="24"/>
          <w:szCs w:val="24"/>
          <w:highlight w:val="none"/>
          <w:lang w:eastAsia="zh-CN"/>
        </w:rPr>
        <w:t>，</w:t>
      </w:r>
      <w:r>
        <w:rPr>
          <w:rFonts w:hint="eastAsia" w:ascii="Times New Roman" w:hAnsi="Times New Roman" w:eastAsia="宋体" w:cs="仿宋"/>
          <w:color w:val="auto"/>
          <w:sz w:val="24"/>
          <w:szCs w:val="24"/>
          <w:highlight w:val="none"/>
        </w:rPr>
        <w:t>公、民办及国家示范校、国家重点、省重点情况变动情况见表2。</w:t>
      </w:r>
      <w:bookmarkStart w:id="84" w:name="_Toc23620"/>
      <w:r>
        <w:rPr>
          <w:rFonts w:hint="eastAsia" w:ascii="Times New Roman" w:hAnsi="Times New Roman" w:eastAsia="宋体" w:cs="仿宋"/>
          <w:color w:val="auto"/>
          <w:sz w:val="24"/>
          <w:szCs w:val="24"/>
          <w:highlight w:val="none"/>
        </w:rPr>
        <w:t>（说明：此报告数据不包含技工学校）</w:t>
      </w:r>
    </w:p>
    <w:p>
      <w:pPr>
        <w:pStyle w:val="8"/>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eastAsia" w:ascii="Times New Roman" w:hAnsi="Times New Roman" w:eastAsia="宋体" w:cs="宋体"/>
          <w:b/>
          <w:bCs/>
          <w:color w:val="auto"/>
          <w:szCs w:val="21"/>
        </w:rPr>
      </w:pPr>
      <w:bookmarkStart w:id="85" w:name="_Toc20940"/>
      <w:r>
        <w:rPr>
          <w:rFonts w:hint="eastAsia" w:ascii="Times New Roman" w:hAnsi="Times New Roman" w:eastAsia="宋体" w:cs="宋体"/>
          <w:b/>
          <w:bCs/>
          <w:color w:val="auto"/>
          <w:sz w:val="21"/>
          <w:szCs w:val="21"/>
        </w:rPr>
        <w:t>表</w:t>
      </w:r>
      <w:r>
        <w:rPr>
          <w:rFonts w:hint="eastAsia" w:ascii="Times New Roman" w:hAnsi="Times New Roman" w:eastAsia="宋体" w:cs="宋体"/>
          <w:b/>
          <w:bCs/>
          <w:color w:val="auto"/>
          <w:sz w:val="21"/>
          <w:szCs w:val="21"/>
        </w:rPr>
        <w:fldChar w:fldCharType="begin"/>
      </w:r>
      <w:r>
        <w:rPr>
          <w:rFonts w:hint="eastAsia" w:ascii="Times New Roman" w:hAnsi="Times New Roman" w:eastAsia="宋体" w:cs="宋体"/>
          <w:b/>
          <w:bCs/>
          <w:color w:val="auto"/>
          <w:sz w:val="21"/>
          <w:szCs w:val="21"/>
        </w:rPr>
        <w:instrText xml:space="preserve"> SEQ 表 \* ARABIC </w:instrText>
      </w:r>
      <w:r>
        <w:rPr>
          <w:rFonts w:hint="eastAsia" w:ascii="Times New Roman" w:hAnsi="Times New Roman" w:eastAsia="宋体" w:cs="宋体"/>
          <w:b/>
          <w:bCs/>
          <w:color w:val="auto"/>
          <w:sz w:val="21"/>
          <w:szCs w:val="21"/>
        </w:rPr>
        <w:fldChar w:fldCharType="separate"/>
      </w:r>
      <w:r>
        <w:rPr>
          <w:rFonts w:hint="eastAsia" w:ascii="Times New Roman" w:hAnsi="Times New Roman" w:eastAsia="宋体" w:cs="宋体"/>
          <w:b/>
          <w:bCs/>
          <w:color w:val="auto"/>
          <w:sz w:val="21"/>
          <w:szCs w:val="21"/>
        </w:rPr>
        <w:t>1</w:t>
      </w:r>
      <w:r>
        <w:rPr>
          <w:rFonts w:hint="eastAsia" w:ascii="Times New Roman" w:hAnsi="Times New Roman" w:eastAsia="宋体" w:cs="宋体"/>
          <w:b/>
          <w:bCs/>
          <w:color w:val="auto"/>
          <w:sz w:val="21"/>
          <w:szCs w:val="21"/>
        </w:rPr>
        <w:fldChar w:fldCharType="end"/>
      </w:r>
      <w:bookmarkStart w:id="86" w:name="_Toc22642"/>
      <w:r>
        <w:rPr>
          <w:rFonts w:hint="eastAsia" w:ascii="Times New Roman" w:hAnsi="Times New Roman" w:eastAsia="宋体" w:cs="宋体"/>
          <w:b/>
          <w:bCs/>
          <w:color w:val="auto"/>
          <w:sz w:val="21"/>
          <w:szCs w:val="21"/>
          <w:lang w:val="en-US" w:eastAsia="zh-CN"/>
        </w:rPr>
        <w:t xml:space="preserve">  2023-2024学年</w:t>
      </w:r>
      <w:r>
        <w:rPr>
          <w:rFonts w:hint="eastAsia" w:ascii="Times New Roman" w:hAnsi="Times New Roman" w:eastAsia="宋体" w:cs="宋体"/>
          <w:b/>
          <w:bCs/>
          <w:color w:val="auto"/>
          <w:sz w:val="21"/>
          <w:szCs w:val="21"/>
        </w:rPr>
        <w:t>遂宁市教育部门管理的中等职业学校统计</w:t>
      </w:r>
      <w:bookmarkEnd w:id="84"/>
      <w:bookmarkEnd w:id="85"/>
      <w:bookmarkEnd w:id="86"/>
    </w:p>
    <w:tbl>
      <w:tblPr>
        <w:tblStyle w:val="87"/>
        <w:tblW w:w="4859" w:type="pct"/>
        <w:jc w:val="center"/>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Layout w:type="autofit"/>
        <w:tblCellMar>
          <w:top w:w="0" w:type="dxa"/>
          <w:left w:w="108" w:type="dxa"/>
          <w:bottom w:w="0" w:type="dxa"/>
          <w:right w:w="108" w:type="dxa"/>
        </w:tblCellMar>
      </w:tblPr>
      <w:tblGrid>
        <w:gridCol w:w="1811"/>
        <w:gridCol w:w="941"/>
        <w:gridCol w:w="1581"/>
        <w:gridCol w:w="3949"/>
      </w:tblGrid>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1093" w:type="pct"/>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bCs/>
                <w:color w:val="000000"/>
                <w:sz w:val="18"/>
                <w:szCs w:val="18"/>
              </w:rPr>
            </w:pPr>
            <w:r>
              <w:rPr>
                <w:rFonts w:hint="eastAsia" w:ascii="Times New Roman" w:hAnsi="Times New Roman" w:eastAsia="宋体" w:cs="宋体"/>
                <w:b/>
                <w:bCs/>
                <w:color w:val="000000"/>
                <w:sz w:val="18"/>
                <w:szCs w:val="18"/>
              </w:rPr>
              <w:t>学校名称</w:t>
            </w:r>
          </w:p>
        </w:tc>
        <w:tc>
          <w:tcPr>
            <w:tcW w:w="568" w:type="pct"/>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bCs/>
                <w:color w:val="000000"/>
                <w:sz w:val="18"/>
                <w:szCs w:val="18"/>
              </w:rPr>
            </w:pPr>
            <w:r>
              <w:rPr>
                <w:rFonts w:hint="eastAsia" w:ascii="Times New Roman" w:hAnsi="Times New Roman" w:eastAsia="宋体" w:cs="宋体"/>
                <w:b/>
                <w:bCs/>
                <w:color w:val="000000"/>
                <w:sz w:val="18"/>
                <w:szCs w:val="18"/>
              </w:rPr>
              <w:t>性质</w:t>
            </w:r>
          </w:p>
        </w:tc>
        <w:tc>
          <w:tcPr>
            <w:tcW w:w="954" w:type="pct"/>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bCs/>
                <w:color w:val="000000"/>
                <w:sz w:val="18"/>
                <w:szCs w:val="18"/>
              </w:rPr>
            </w:pPr>
            <w:r>
              <w:rPr>
                <w:rFonts w:hint="eastAsia" w:ascii="Times New Roman" w:hAnsi="Times New Roman" w:eastAsia="宋体" w:cs="宋体"/>
                <w:b/>
                <w:bCs/>
                <w:color w:val="000000"/>
                <w:sz w:val="18"/>
                <w:szCs w:val="18"/>
              </w:rPr>
              <w:t>主管部门</w:t>
            </w:r>
          </w:p>
        </w:tc>
        <w:tc>
          <w:tcPr>
            <w:tcW w:w="2383" w:type="pct"/>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bCs/>
                <w:color w:val="000000"/>
                <w:sz w:val="18"/>
                <w:szCs w:val="18"/>
              </w:rPr>
            </w:pPr>
            <w:r>
              <w:rPr>
                <w:rFonts w:hint="eastAsia" w:ascii="Times New Roman" w:hAnsi="Times New Roman" w:eastAsia="宋体" w:cs="宋体"/>
                <w:b/>
                <w:bCs/>
                <w:color w:val="000000"/>
                <w:sz w:val="18"/>
                <w:szCs w:val="18"/>
              </w:rPr>
              <w:t>备    注</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1093"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四川省射洪市职业中专学校</w:t>
            </w:r>
          </w:p>
        </w:tc>
        <w:tc>
          <w:tcPr>
            <w:tcW w:w="568"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公办</w:t>
            </w:r>
          </w:p>
        </w:tc>
        <w:tc>
          <w:tcPr>
            <w:tcW w:w="954"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射洪市教育和</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体育局</w:t>
            </w:r>
          </w:p>
        </w:tc>
        <w:tc>
          <w:tcPr>
            <w:tcW w:w="2383"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国家中等职业教育改革发展示范学校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国家级重点中等职业学校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国家职业院校数字校园建设实验校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全国科教兴农先进学校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全国中小学德育先进集体</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全国职业教育先进单位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lang w:eastAsia="zh-CN"/>
              </w:rPr>
            </w:pPr>
            <w:r>
              <w:rPr>
                <w:rFonts w:hint="eastAsia" w:ascii="Times New Roman" w:hAnsi="Times New Roman" w:eastAsia="宋体" w:cs="宋体"/>
                <w:b w:val="0"/>
                <w:color w:val="000000"/>
                <w:sz w:val="18"/>
                <w:szCs w:val="18"/>
              </w:rPr>
              <w:t>全国教育系统先进集</w:t>
            </w:r>
            <w:r>
              <w:rPr>
                <w:rFonts w:hint="eastAsia" w:ascii="Times New Roman" w:hAnsi="Times New Roman" w:eastAsia="宋体" w:cs="宋体"/>
                <w:b w:val="0"/>
                <w:color w:val="000000"/>
                <w:sz w:val="18"/>
                <w:szCs w:val="18"/>
                <w:lang w:eastAsia="zh-CN"/>
              </w:rPr>
              <w:t>体</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lang w:eastAsia="zh-CN"/>
              </w:rPr>
            </w:pPr>
            <w:r>
              <w:rPr>
                <w:rFonts w:hint="eastAsia" w:ascii="Times New Roman" w:hAnsi="Times New Roman" w:eastAsia="宋体" w:cs="宋体"/>
                <w:b w:val="0"/>
                <w:color w:val="000000"/>
                <w:sz w:val="18"/>
                <w:szCs w:val="18"/>
              </w:rPr>
              <w:t>教育部“1+X”证书试点单位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四川省第二批现代学徒制试点学校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四川省示范专业建设学校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lang w:eastAsia="zh-CN"/>
              </w:rPr>
              <w:t>四川省</w:t>
            </w:r>
            <w:r>
              <w:rPr>
                <w:rFonts w:hint="eastAsia" w:ascii="Times New Roman" w:hAnsi="Times New Roman" w:eastAsia="宋体" w:cs="宋体"/>
                <w:b w:val="0"/>
                <w:color w:val="000000"/>
                <w:sz w:val="18"/>
                <w:szCs w:val="18"/>
              </w:rPr>
              <w:t>“三名工程”五星名校立项建设单位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四川省劳务开发先进培训基地</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四川省职业教育改革创新先进单位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四川省精神文明单位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四川省民族团结进步模范集体</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1093"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遂宁市职业技术</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学校</w:t>
            </w:r>
          </w:p>
        </w:tc>
        <w:tc>
          <w:tcPr>
            <w:tcW w:w="568"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公办</w:t>
            </w:r>
          </w:p>
        </w:tc>
        <w:tc>
          <w:tcPr>
            <w:tcW w:w="954"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遂宁市教育局</w:t>
            </w:r>
          </w:p>
        </w:tc>
        <w:tc>
          <w:tcPr>
            <w:tcW w:w="2383"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全国教育系统先进单位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全国部门绿化400佳先进单位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全国健康学校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全国中职校园文化建设50强</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教育部“1+X”证书试点单位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四川省重点中等职业学校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四川省第二批现代学徒制试点学校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四川省示范中等职业学校建设单位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四川省“三名工程”四星名校立项建设单位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四川省职业技术教育先进单位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四川省学生内务管理示范学校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四川省民族团结进步模范单位</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1093"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bCs/>
                <w:color w:val="000000"/>
                <w:kern w:val="2"/>
                <w:sz w:val="18"/>
                <w:szCs w:val="18"/>
                <w:lang w:val="en-US" w:eastAsia="zh-CN" w:bidi="ar-SA"/>
              </w:rPr>
            </w:pPr>
            <w:r>
              <w:rPr>
                <w:rFonts w:hint="eastAsia" w:ascii="Times New Roman" w:hAnsi="Times New Roman" w:eastAsia="宋体" w:cs="宋体"/>
                <w:b w:val="0"/>
                <w:bCs w:val="0"/>
                <w:color w:val="000000"/>
                <w:sz w:val="18"/>
                <w:szCs w:val="18"/>
              </w:rPr>
              <w:t>四川省遂宁市安居职业高级中学校</w:t>
            </w:r>
          </w:p>
        </w:tc>
        <w:tc>
          <w:tcPr>
            <w:tcW w:w="568"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公办</w:t>
            </w:r>
          </w:p>
        </w:tc>
        <w:tc>
          <w:tcPr>
            <w:tcW w:w="954"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安居区教育</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和体育局</w:t>
            </w:r>
          </w:p>
        </w:tc>
        <w:tc>
          <w:tcPr>
            <w:tcW w:w="2383"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720" w:firstLineChars="400"/>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国家级重点中等职业学校</w:t>
            </w:r>
          </w:p>
          <w:p>
            <w:pPr>
              <w:keepNext w:val="0"/>
              <w:keepLines w:val="0"/>
              <w:pageBreakBefore w:val="0"/>
              <w:widowControl w:val="0"/>
              <w:kinsoku/>
              <w:wordWrap/>
              <w:overflowPunct/>
              <w:topLinePunct w:val="0"/>
              <w:autoSpaceDE/>
              <w:autoSpaceDN/>
              <w:bidi w:val="0"/>
              <w:adjustRightInd/>
              <w:snapToGrid/>
              <w:spacing w:line="300" w:lineRule="exact"/>
              <w:ind w:firstLine="720" w:firstLineChars="400"/>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全国科教兴农先进学校</w:t>
            </w:r>
          </w:p>
          <w:p>
            <w:pPr>
              <w:keepNext w:val="0"/>
              <w:keepLines w:val="0"/>
              <w:pageBreakBefore w:val="0"/>
              <w:widowControl w:val="0"/>
              <w:kinsoku/>
              <w:wordWrap/>
              <w:overflowPunct/>
              <w:topLinePunct w:val="0"/>
              <w:autoSpaceDE/>
              <w:autoSpaceDN/>
              <w:bidi w:val="0"/>
              <w:adjustRightInd/>
              <w:snapToGrid/>
              <w:spacing w:line="300" w:lineRule="exact"/>
              <w:ind w:firstLine="720" w:firstLineChars="400"/>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全国中小学德育先进集体</w:t>
            </w:r>
          </w:p>
          <w:p>
            <w:pPr>
              <w:keepNext w:val="0"/>
              <w:keepLines w:val="0"/>
              <w:pageBreakBefore w:val="0"/>
              <w:widowControl w:val="0"/>
              <w:kinsoku/>
              <w:wordWrap/>
              <w:overflowPunct/>
              <w:topLinePunct w:val="0"/>
              <w:autoSpaceDE/>
              <w:autoSpaceDN/>
              <w:bidi w:val="0"/>
              <w:adjustRightInd/>
              <w:snapToGrid/>
              <w:spacing w:line="300" w:lineRule="exact"/>
              <w:ind w:firstLine="720" w:firstLineChars="400"/>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全国职业教育先进单位</w:t>
            </w:r>
          </w:p>
          <w:p>
            <w:pPr>
              <w:keepNext w:val="0"/>
              <w:keepLines w:val="0"/>
              <w:pageBreakBefore w:val="0"/>
              <w:widowControl w:val="0"/>
              <w:kinsoku/>
              <w:wordWrap/>
              <w:overflowPunct/>
              <w:topLinePunct w:val="0"/>
              <w:autoSpaceDE/>
              <w:autoSpaceDN/>
              <w:bidi w:val="0"/>
              <w:adjustRightInd/>
              <w:snapToGrid/>
              <w:spacing w:line="300" w:lineRule="exact"/>
              <w:ind w:firstLine="720" w:firstLineChars="400"/>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全国教育系统先进集体</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四川省第三批现代学徒制试点学校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四川省示范中等职业学校建设单位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教育部“1+X”证书试点院校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lang w:eastAsia="zh-CN"/>
              </w:rPr>
              <w:t>四川省“</w:t>
            </w:r>
            <w:r>
              <w:rPr>
                <w:rFonts w:hint="eastAsia" w:ascii="Times New Roman" w:hAnsi="Times New Roman" w:eastAsia="宋体" w:cs="宋体"/>
                <w:b w:val="0"/>
                <w:color w:val="000000"/>
                <w:sz w:val="18"/>
                <w:szCs w:val="18"/>
              </w:rPr>
              <w:t>三名工程”四星名校立项建设单位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四川省劳务开发先进培训基地</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四川省职业教育改革创新先进单位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四川省精神文明单位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四川省民族团结进步模范集体</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1093"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bCs/>
                <w:color w:val="000000"/>
                <w:sz w:val="18"/>
                <w:szCs w:val="18"/>
                <w:highlight w:val="none"/>
              </w:rPr>
            </w:pPr>
            <w:r>
              <w:rPr>
                <w:rFonts w:hint="eastAsia" w:ascii="Times New Roman" w:hAnsi="Times New Roman" w:eastAsia="宋体" w:cs="宋体"/>
                <w:b w:val="0"/>
                <w:bCs w:val="0"/>
                <w:color w:val="000000"/>
                <w:sz w:val="18"/>
                <w:szCs w:val="18"/>
                <w:highlight w:val="none"/>
              </w:rPr>
              <w:t>遂宁市船山职业</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bCs/>
                <w:color w:val="000000"/>
                <w:kern w:val="2"/>
                <w:sz w:val="18"/>
                <w:szCs w:val="18"/>
                <w:highlight w:val="none"/>
                <w:lang w:val="en-US" w:eastAsia="zh-CN" w:bidi="ar-SA"/>
              </w:rPr>
            </w:pPr>
            <w:r>
              <w:rPr>
                <w:rFonts w:hint="eastAsia" w:ascii="Times New Roman" w:hAnsi="Times New Roman" w:eastAsia="宋体" w:cs="宋体"/>
                <w:b w:val="0"/>
                <w:bCs w:val="0"/>
                <w:color w:val="000000"/>
                <w:sz w:val="18"/>
                <w:szCs w:val="18"/>
                <w:highlight w:val="none"/>
              </w:rPr>
              <w:t>技术学校</w:t>
            </w:r>
          </w:p>
        </w:tc>
        <w:tc>
          <w:tcPr>
            <w:tcW w:w="568"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kern w:val="2"/>
                <w:sz w:val="18"/>
                <w:szCs w:val="18"/>
                <w:highlight w:val="none"/>
                <w:lang w:val="en-US" w:eastAsia="zh-CN" w:bidi="ar-SA"/>
              </w:rPr>
            </w:pPr>
            <w:r>
              <w:rPr>
                <w:rFonts w:hint="eastAsia" w:ascii="Times New Roman" w:hAnsi="Times New Roman" w:eastAsia="宋体" w:cs="宋体"/>
                <w:b w:val="0"/>
                <w:color w:val="000000"/>
                <w:sz w:val="18"/>
                <w:szCs w:val="18"/>
                <w:highlight w:val="none"/>
              </w:rPr>
              <w:t>公办</w:t>
            </w:r>
          </w:p>
        </w:tc>
        <w:tc>
          <w:tcPr>
            <w:tcW w:w="954"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highlight w:val="none"/>
              </w:rPr>
            </w:pPr>
            <w:r>
              <w:rPr>
                <w:rFonts w:hint="eastAsia" w:ascii="Times New Roman" w:hAnsi="Times New Roman" w:eastAsia="宋体" w:cs="宋体"/>
                <w:b w:val="0"/>
                <w:color w:val="000000"/>
                <w:sz w:val="18"/>
                <w:szCs w:val="18"/>
                <w:highlight w:val="none"/>
              </w:rPr>
              <w:t>船山区教育和</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kern w:val="2"/>
                <w:sz w:val="18"/>
                <w:szCs w:val="18"/>
                <w:highlight w:val="none"/>
                <w:lang w:val="en-US" w:eastAsia="zh-CN" w:bidi="ar-SA"/>
              </w:rPr>
            </w:pPr>
            <w:r>
              <w:rPr>
                <w:rFonts w:hint="eastAsia" w:ascii="Times New Roman" w:hAnsi="Times New Roman" w:eastAsia="宋体" w:cs="宋体"/>
                <w:b w:val="0"/>
                <w:color w:val="000000"/>
                <w:sz w:val="18"/>
                <w:szCs w:val="18"/>
                <w:highlight w:val="none"/>
              </w:rPr>
              <w:t>体育局</w:t>
            </w:r>
          </w:p>
        </w:tc>
        <w:tc>
          <w:tcPr>
            <w:tcW w:w="2383"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highlight w:val="none"/>
              </w:rPr>
            </w:pPr>
            <w:r>
              <w:rPr>
                <w:rFonts w:hint="eastAsia" w:ascii="Times New Roman" w:hAnsi="Times New Roman" w:eastAsia="宋体" w:cs="宋体"/>
                <w:b w:val="0"/>
                <w:color w:val="000000"/>
                <w:sz w:val="18"/>
                <w:szCs w:val="18"/>
                <w:highlight w:val="none"/>
              </w:rPr>
              <w:t>全国职业教育管理创新学校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highlight w:val="none"/>
              </w:rPr>
            </w:pPr>
            <w:r>
              <w:rPr>
                <w:rFonts w:hint="eastAsia" w:ascii="Times New Roman" w:hAnsi="Times New Roman" w:eastAsia="宋体" w:cs="宋体"/>
                <w:b w:val="0"/>
                <w:color w:val="000000"/>
                <w:sz w:val="18"/>
                <w:szCs w:val="18"/>
                <w:highlight w:val="none"/>
              </w:rPr>
              <w:t>全国职工教育培训示范点</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highlight w:val="none"/>
              </w:rPr>
            </w:pPr>
            <w:r>
              <w:rPr>
                <w:rFonts w:hint="eastAsia" w:ascii="Times New Roman" w:hAnsi="Times New Roman" w:eastAsia="宋体" w:cs="宋体"/>
                <w:b w:val="0"/>
                <w:color w:val="000000"/>
                <w:sz w:val="18"/>
                <w:szCs w:val="18"/>
                <w:highlight w:val="none"/>
              </w:rPr>
              <w:t>教育部中央电化教育馆先进科研实验校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highlight w:val="none"/>
              </w:rPr>
            </w:pPr>
            <w:r>
              <w:rPr>
                <w:rFonts w:hint="eastAsia" w:ascii="Times New Roman" w:hAnsi="Times New Roman" w:eastAsia="宋体" w:cs="宋体"/>
                <w:b w:val="0"/>
                <w:color w:val="000000"/>
                <w:sz w:val="18"/>
                <w:szCs w:val="18"/>
                <w:highlight w:val="none"/>
              </w:rPr>
              <w:t>教育部“1+X”证书试点院校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highlight w:val="none"/>
              </w:rPr>
            </w:pPr>
            <w:r>
              <w:rPr>
                <w:rFonts w:hint="eastAsia" w:ascii="Times New Roman" w:hAnsi="Times New Roman" w:eastAsia="宋体" w:cs="宋体"/>
                <w:b w:val="0"/>
                <w:color w:val="000000"/>
                <w:sz w:val="18"/>
                <w:szCs w:val="18"/>
                <w:highlight w:val="none"/>
              </w:rPr>
              <w:t>四川省优秀人才培养基地</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highlight w:val="none"/>
              </w:rPr>
            </w:pPr>
            <w:r>
              <w:rPr>
                <w:rFonts w:hint="eastAsia" w:ascii="Times New Roman" w:hAnsi="Times New Roman" w:eastAsia="宋体" w:cs="宋体"/>
                <w:b w:val="0"/>
                <w:color w:val="000000"/>
                <w:sz w:val="18"/>
                <w:szCs w:val="18"/>
                <w:highlight w:val="none"/>
              </w:rPr>
              <w:t>四川省绿色学校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highlight w:val="none"/>
              </w:rPr>
            </w:pPr>
            <w:r>
              <w:rPr>
                <w:rFonts w:hint="eastAsia" w:ascii="Times New Roman" w:hAnsi="Times New Roman" w:eastAsia="宋体" w:cs="宋体"/>
                <w:b w:val="0"/>
                <w:color w:val="000000"/>
                <w:sz w:val="18"/>
                <w:szCs w:val="18"/>
                <w:highlight w:val="none"/>
              </w:rPr>
              <w:t>四川省示范专业建设学校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highlight w:val="none"/>
              </w:rPr>
            </w:pPr>
            <w:r>
              <w:rPr>
                <w:rFonts w:hint="eastAsia" w:ascii="Times New Roman" w:hAnsi="Times New Roman" w:eastAsia="宋体" w:cs="宋体"/>
                <w:b w:val="0"/>
                <w:color w:val="000000"/>
                <w:sz w:val="18"/>
                <w:szCs w:val="18"/>
                <w:highlight w:val="none"/>
              </w:rPr>
              <w:t>四川省“三名工程”三星名校立项建设单位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highlight w:val="none"/>
              </w:rPr>
            </w:pPr>
            <w:r>
              <w:rPr>
                <w:rFonts w:hint="eastAsia" w:ascii="Times New Roman" w:hAnsi="Times New Roman" w:eastAsia="宋体" w:cs="宋体"/>
                <w:b w:val="0"/>
                <w:color w:val="000000"/>
                <w:sz w:val="18"/>
                <w:szCs w:val="18"/>
                <w:highlight w:val="none"/>
              </w:rPr>
              <w:t>遂宁市德育工作先进</w:t>
            </w:r>
            <w:r>
              <w:rPr>
                <w:rFonts w:hint="eastAsia" w:ascii="Times New Roman" w:hAnsi="Times New Roman" w:eastAsia="宋体" w:cs="宋体"/>
                <w:b w:val="0"/>
                <w:color w:val="000000"/>
                <w:sz w:val="18"/>
                <w:szCs w:val="18"/>
                <w:highlight w:val="none"/>
                <w:lang w:eastAsia="zh-CN"/>
              </w:rPr>
              <w:t>集体</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kern w:val="2"/>
                <w:sz w:val="18"/>
                <w:szCs w:val="18"/>
                <w:highlight w:val="none"/>
                <w:lang w:val="en-US" w:eastAsia="zh-CN" w:bidi="ar-SA"/>
              </w:rPr>
            </w:pPr>
            <w:r>
              <w:rPr>
                <w:rFonts w:hint="eastAsia" w:ascii="Times New Roman" w:hAnsi="Times New Roman" w:eastAsia="宋体" w:cs="宋体"/>
                <w:b w:val="0"/>
                <w:color w:val="000000"/>
                <w:sz w:val="18"/>
                <w:szCs w:val="18"/>
                <w:highlight w:val="none"/>
              </w:rPr>
              <w:t>遂宁市现代学徒制试点学校</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1093"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bCs/>
                <w:color w:val="000000"/>
                <w:kern w:val="2"/>
                <w:sz w:val="18"/>
                <w:szCs w:val="18"/>
                <w:highlight w:val="none"/>
                <w:lang w:val="en-US" w:eastAsia="zh-CN" w:bidi="ar-SA"/>
              </w:rPr>
            </w:pPr>
            <w:r>
              <w:rPr>
                <w:rFonts w:hint="eastAsia" w:ascii="Times New Roman" w:hAnsi="Times New Roman" w:eastAsia="宋体" w:cs="宋体"/>
                <w:b w:val="0"/>
                <w:bCs w:val="0"/>
                <w:color w:val="000000"/>
                <w:sz w:val="18"/>
                <w:szCs w:val="18"/>
                <w:highlight w:val="none"/>
              </w:rPr>
              <w:t>四川省大英县中等职业技术学校</w:t>
            </w:r>
          </w:p>
        </w:tc>
        <w:tc>
          <w:tcPr>
            <w:tcW w:w="568"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kern w:val="2"/>
                <w:sz w:val="18"/>
                <w:szCs w:val="18"/>
                <w:highlight w:val="none"/>
                <w:lang w:val="en-US" w:eastAsia="zh-CN" w:bidi="ar-SA"/>
              </w:rPr>
            </w:pPr>
            <w:r>
              <w:rPr>
                <w:rFonts w:hint="eastAsia" w:ascii="Times New Roman" w:hAnsi="Times New Roman" w:eastAsia="宋体" w:cs="宋体"/>
                <w:b w:val="0"/>
                <w:color w:val="000000"/>
                <w:sz w:val="18"/>
                <w:szCs w:val="18"/>
                <w:highlight w:val="none"/>
              </w:rPr>
              <w:t>公办</w:t>
            </w:r>
          </w:p>
        </w:tc>
        <w:tc>
          <w:tcPr>
            <w:tcW w:w="954"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highlight w:val="none"/>
              </w:rPr>
            </w:pPr>
            <w:r>
              <w:rPr>
                <w:rFonts w:hint="eastAsia" w:ascii="Times New Roman" w:hAnsi="Times New Roman" w:eastAsia="宋体" w:cs="宋体"/>
                <w:b w:val="0"/>
                <w:color w:val="000000"/>
                <w:sz w:val="18"/>
                <w:szCs w:val="18"/>
                <w:highlight w:val="none"/>
              </w:rPr>
              <w:t>大英县教育和</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kern w:val="2"/>
                <w:sz w:val="18"/>
                <w:szCs w:val="18"/>
                <w:highlight w:val="none"/>
                <w:lang w:val="en-US" w:eastAsia="zh-CN" w:bidi="ar-SA"/>
              </w:rPr>
            </w:pPr>
            <w:r>
              <w:rPr>
                <w:rFonts w:hint="eastAsia" w:ascii="Times New Roman" w:hAnsi="Times New Roman" w:eastAsia="宋体" w:cs="宋体"/>
                <w:b w:val="0"/>
                <w:color w:val="000000"/>
                <w:sz w:val="18"/>
                <w:szCs w:val="18"/>
                <w:highlight w:val="none"/>
              </w:rPr>
              <w:t>体育局</w:t>
            </w:r>
          </w:p>
        </w:tc>
        <w:tc>
          <w:tcPr>
            <w:tcW w:w="2383"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highlight w:val="none"/>
              </w:rPr>
            </w:pPr>
            <w:r>
              <w:rPr>
                <w:rFonts w:hint="eastAsia" w:ascii="Times New Roman" w:hAnsi="Times New Roman" w:eastAsia="宋体" w:cs="宋体"/>
                <w:b w:val="0"/>
                <w:color w:val="000000"/>
                <w:sz w:val="18"/>
                <w:szCs w:val="18"/>
                <w:highlight w:val="none"/>
              </w:rPr>
              <w:t>国家中等职业教育改革发展示范学校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highlight w:val="none"/>
              </w:rPr>
            </w:pPr>
            <w:r>
              <w:rPr>
                <w:rFonts w:hint="eastAsia" w:ascii="Times New Roman" w:hAnsi="Times New Roman" w:eastAsia="宋体" w:cs="宋体"/>
                <w:b w:val="0"/>
                <w:color w:val="000000"/>
                <w:sz w:val="18"/>
                <w:szCs w:val="18"/>
                <w:highlight w:val="none"/>
              </w:rPr>
              <w:t>国家级重点中等职业学校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highlight w:val="none"/>
              </w:rPr>
            </w:pPr>
            <w:r>
              <w:rPr>
                <w:rFonts w:hint="eastAsia" w:ascii="Times New Roman" w:hAnsi="Times New Roman" w:eastAsia="宋体" w:cs="宋体"/>
                <w:b w:val="0"/>
                <w:color w:val="000000"/>
                <w:sz w:val="18"/>
                <w:szCs w:val="18"/>
                <w:highlight w:val="none"/>
              </w:rPr>
              <w:t>全国青少年科学调查体验推广示范学校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highlight w:val="none"/>
              </w:rPr>
            </w:pPr>
            <w:r>
              <w:rPr>
                <w:rFonts w:hint="eastAsia" w:ascii="Times New Roman" w:hAnsi="Times New Roman" w:eastAsia="宋体" w:cs="宋体"/>
                <w:b w:val="0"/>
                <w:color w:val="000000"/>
                <w:sz w:val="18"/>
                <w:szCs w:val="18"/>
                <w:highlight w:val="none"/>
              </w:rPr>
              <w:t>教育部“1+X”证书试点院校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highlight w:val="none"/>
              </w:rPr>
            </w:pPr>
            <w:r>
              <w:rPr>
                <w:rFonts w:hint="eastAsia" w:ascii="Times New Roman" w:hAnsi="Times New Roman" w:eastAsia="宋体" w:cs="宋体"/>
                <w:b w:val="0"/>
                <w:color w:val="000000"/>
                <w:sz w:val="18"/>
                <w:szCs w:val="18"/>
                <w:highlight w:val="none"/>
              </w:rPr>
              <w:t>四川省示范专业建设学校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highlight w:val="none"/>
              </w:rPr>
            </w:pPr>
            <w:r>
              <w:rPr>
                <w:rFonts w:hint="eastAsia" w:ascii="Times New Roman" w:hAnsi="Times New Roman" w:eastAsia="宋体" w:cs="宋体"/>
                <w:b w:val="0"/>
                <w:color w:val="000000"/>
                <w:sz w:val="18"/>
                <w:szCs w:val="18"/>
                <w:highlight w:val="none"/>
              </w:rPr>
              <w:t>四川省第一批现代学徒制试点学校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highlight w:val="none"/>
              </w:rPr>
            </w:pPr>
            <w:r>
              <w:rPr>
                <w:rFonts w:hint="eastAsia" w:ascii="Times New Roman" w:hAnsi="Times New Roman" w:eastAsia="宋体" w:cs="宋体"/>
                <w:b w:val="0"/>
                <w:color w:val="000000"/>
                <w:sz w:val="18"/>
                <w:szCs w:val="18"/>
                <w:highlight w:val="none"/>
              </w:rPr>
              <w:t>“三名工程”三星名校立项建设单位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highlight w:val="none"/>
              </w:rPr>
            </w:pPr>
            <w:r>
              <w:rPr>
                <w:rFonts w:hint="eastAsia" w:ascii="Times New Roman" w:hAnsi="Times New Roman" w:eastAsia="宋体" w:cs="宋体"/>
                <w:b w:val="0"/>
                <w:color w:val="000000"/>
                <w:sz w:val="18"/>
                <w:szCs w:val="18"/>
              </w:rPr>
              <w:t>四川省学生内务管理示范学校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highlight w:val="none"/>
                <w:lang w:val="en-US" w:eastAsia="zh-CN"/>
              </w:rPr>
            </w:pPr>
            <w:r>
              <w:rPr>
                <w:rFonts w:hint="eastAsia" w:ascii="Times New Roman" w:hAnsi="Times New Roman" w:eastAsia="宋体" w:cs="宋体"/>
                <w:b w:val="0"/>
                <w:color w:val="000000"/>
                <w:sz w:val="18"/>
                <w:szCs w:val="18"/>
                <w:highlight w:val="none"/>
                <w:lang w:val="en-US" w:eastAsia="zh-CN"/>
              </w:rPr>
              <w:t>四川省教师教育实践基地</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1093"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四川省蓬溪县中等职业技术学校</w:t>
            </w:r>
          </w:p>
        </w:tc>
        <w:tc>
          <w:tcPr>
            <w:tcW w:w="568"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公办</w:t>
            </w:r>
          </w:p>
        </w:tc>
        <w:tc>
          <w:tcPr>
            <w:tcW w:w="954"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蓬溪县教育和</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体育局</w:t>
            </w:r>
          </w:p>
        </w:tc>
        <w:tc>
          <w:tcPr>
            <w:tcW w:w="2383"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教育部第三批“幼儿照护”1+X证书考核站</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四川茶业产教融合共同体理事单位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四川现代畜牧业产教融合共同体理事单位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川渝毗邻地区职教师资教育联盟副理事单位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遂宁市现代学徒制试点学校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lang w:eastAsia="zh-CN"/>
              </w:rPr>
              <w:t>遂宁市</w:t>
            </w:r>
            <w:r>
              <w:rPr>
                <w:rFonts w:hint="eastAsia" w:ascii="Times New Roman" w:hAnsi="Times New Roman" w:eastAsia="宋体" w:cs="宋体"/>
                <w:b w:val="0"/>
                <w:color w:val="000000"/>
                <w:sz w:val="18"/>
                <w:szCs w:val="18"/>
              </w:rPr>
              <w:t>教育工作先进集体</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遂宁市校园诚信文化教育试点学校</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1093"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射洪旅游中等职业技术学校</w:t>
            </w:r>
          </w:p>
        </w:tc>
        <w:tc>
          <w:tcPr>
            <w:tcW w:w="568"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民办</w:t>
            </w:r>
          </w:p>
        </w:tc>
        <w:tc>
          <w:tcPr>
            <w:tcW w:w="954"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射洪市教育和</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体育局</w:t>
            </w:r>
          </w:p>
        </w:tc>
        <w:tc>
          <w:tcPr>
            <w:tcW w:w="2383"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遂宁市现代学徒制试点学校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CG联盟动漫人才培养基地</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轨道车驾驶实训基地</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遂宁市农民工培训基地</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中国航空运输协会岗位技能证书培训考试基地</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1093"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遂宁鸿图电子电路技术职业学校</w:t>
            </w:r>
          </w:p>
        </w:tc>
        <w:tc>
          <w:tcPr>
            <w:tcW w:w="568"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民办</w:t>
            </w:r>
          </w:p>
        </w:tc>
        <w:tc>
          <w:tcPr>
            <w:tcW w:w="954"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遂宁经济技术开发区社会事业局</w:t>
            </w:r>
          </w:p>
        </w:tc>
        <w:tc>
          <w:tcPr>
            <w:tcW w:w="2383"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企业办学单位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遂宁市现代学徒制试点学校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产教融合示范基地建设学校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四川省职业能力建设协会会员单位</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遂宁市印制电路板质量提升培训基地</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遂宁市农民工培训基地</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1093"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大英县蓝议科技</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职业技术学校</w:t>
            </w:r>
          </w:p>
        </w:tc>
        <w:tc>
          <w:tcPr>
            <w:tcW w:w="568"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民办</w:t>
            </w:r>
          </w:p>
        </w:tc>
        <w:tc>
          <w:tcPr>
            <w:tcW w:w="954"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大英县教育和</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体育局</w:t>
            </w:r>
          </w:p>
        </w:tc>
        <w:tc>
          <w:tcPr>
            <w:tcW w:w="2383"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遂宁市现代学徒制试点学校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浙江嘉兴淳祥电子有限公司人才培养基地</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广东惠州TCL移动通信有限公司人才培养学校</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成都东站戎威服务有限公司人才培养基地</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大英县中小学生劳动教育实践基地</w:t>
            </w:r>
          </w:p>
        </w:tc>
      </w:tr>
    </w:tbl>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ascii="Times New Roman" w:hAnsi="Times New Roman" w:eastAsia="宋体" w:cs="宋体"/>
          <w:b/>
          <w:bCs/>
          <w:color w:val="FF0000"/>
          <w:szCs w:val="21"/>
        </w:rPr>
      </w:pPr>
      <w:bookmarkStart w:id="87" w:name="_Toc18929"/>
      <w:bookmarkEnd w:id="87"/>
      <w:bookmarkStart w:id="88" w:name="_Toc3144"/>
      <w:bookmarkEnd w:id="88"/>
    </w:p>
    <w:p>
      <w:pPr>
        <w:pStyle w:val="8"/>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eastAsia" w:ascii="Times New Roman" w:hAnsi="Times New Roman" w:eastAsia="宋体" w:cs="宋体"/>
          <w:b/>
          <w:bCs/>
          <w:color w:val="auto"/>
          <w:sz w:val="21"/>
          <w:szCs w:val="21"/>
        </w:rPr>
      </w:pPr>
      <w:bookmarkStart w:id="89" w:name="_Toc8704"/>
      <w:bookmarkStart w:id="90" w:name="_Toc23362"/>
      <w:r>
        <w:rPr>
          <w:rFonts w:hint="eastAsia" w:ascii="Times New Roman" w:hAnsi="Times New Roman" w:eastAsia="宋体" w:cs="宋体"/>
          <w:b/>
          <w:bCs/>
          <w:color w:val="auto"/>
          <w:sz w:val="21"/>
          <w:szCs w:val="21"/>
        </w:rPr>
        <w:t>表</w:t>
      </w:r>
      <w:r>
        <w:rPr>
          <w:rFonts w:hint="eastAsia" w:ascii="Times New Roman" w:hAnsi="Times New Roman" w:eastAsia="宋体" w:cs="宋体"/>
          <w:b/>
          <w:bCs/>
          <w:color w:val="auto"/>
          <w:sz w:val="21"/>
          <w:szCs w:val="21"/>
        </w:rPr>
        <w:fldChar w:fldCharType="begin"/>
      </w:r>
      <w:r>
        <w:rPr>
          <w:rFonts w:hint="eastAsia" w:ascii="Times New Roman" w:hAnsi="Times New Roman" w:eastAsia="宋体" w:cs="宋体"/>
          <w:b/>
          <w:bCs/>
          <w:color w:val="auto"/>
          <w:sz w:val="21"/>
          <w:szCs w:val="21"/>
        </w:rPr>
        <w:instrText xml:space="preserve"> SEQ 表 \* ARABIC </w:instrText>
      </w:r>
      <w:r>
        <w:rPr>
          <w:rFonts w:hint="eastAsia" w:ascii="Times New Roman" w:hAnsi="Times New Roman" w:eastAsia="宋体" w:cs="宋体"/>
          <w:b/>
          <w:bCs/>
          <w:color w:val="auto"/>
          <w:sz w:val="21"/>
          <w:szCs w:val="21"/>
        </w:rPr>
        <w:fldChar w:fldCharType="separate"/>
      </w:r>
      <w:r>
        <w:rPr>
          <w:rFonts w:hint="eastAsia" w:ascii="Times New Roman" w:hAnsi="Times New Roman" w:eastAsia="宋体" w:cs="宋体"/>
          <w:b/>
          <w:bCs/>
          <w:color w:val="auto"/>
          <w:sz w:val="21"/>
          <w:szCs w:val="21"/>
        </w:rPr>
        <w:t>2</w:t>
      </w:r>
      <w:r>
        <w:rPr>
          <w:rFonts w:hint="eastAsia" w:ascii="Times New Roman" w:hAnsi="Times New Roman" w:eastAsia="宋体" w:cs="宋体"/>
          <w:b/>
          <w:bCs/>
          <w:color w:val="auto"/>
          <w:sz w:val="21"/>
          <w:szCs w:val="21"/>
        </w:rPr>
        <w:fldChar w:fldCharType="end"/>
      </w:r>
      <w:bookmarkStart w:id="91" w:name="_Toc29944"/>
      <w:r>
        <w:rPr>
          <w:rFonts w:hint="eastAsia" w:ascii="Times New Roman" w:hAnsi="Times New Roman" w:eastAsia="宋体" w:cs="宋体"/>
          <w:b/>
          <w:bCs/>
          <w:color w:val="auto"/>
          <w:sz w:val="21"/>
          <w:szCs w:val="21"/>
          <w:lang w:val="en-US" w:eastAsia="zh-CN"/>
        </w:rPr>
        <w:t xml:space="preserve">  </w:t>
      </w:r>
      <w:r>
        <w:rPr>
          <w:rFonts w:hint="eastAsia" w:ascii="Times New Roman" w:hAnsi="Times New Roman" w:eastAsia="宋体" w:cs="宋体"/>
          <w:b/>
          <w:bCs/>
          <w:color w:val="auto"/>
          <w:sz w:val="21"/>
          <w:szCs w:val="21"/>
        </w:rPr>
        <w:t xml:space="preserve">近两学年遂宁市中等职业学校变化统计表 </w:t>
      </w:r>
      <w:bookmarkEnd w:id="89"/>
      <w:bookmarkEnd w:id="90"/>
      <w:bookmarkEnd w:id="91"/>
    </w:p>
    <w:tbl>
      <w:tblPr>
        <w:tblStyle w:val="80"/>
        <w:tblW w:w="4860" w:type="pct"/>
        <w:jc w:val="center"/>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Layout w:type="autofit"/>
        <w:tblCellMar>
          <w:top w:w="0" w:type="dxa"/>
          <w:left w:w="108" w:type="dxa"/>
          <w:bottom w:w="0" w:type="dxa"/>
          <w:right w:w="108" w:type="dxa"/>
        </w:tblCellMar>
      </w:tblPr>
      <w:tblGrid>
        <w:gridCol w:w="3474"/>
        <w:gridCol w:w="1239"/>
        <w:gridCol w:w="1140"/>
        <w:gridCol w:w="1219"/>
        <w:gridCol w:w="1211"/>
      </w:tblGrid>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499" w:hRule="atLeast"/>
          <w:jc w:val="center"/>
        </w:trPr>
        <w:tc>
          <w:tcPr>
            <w:tcW w:w="3484" w:type="dxa"/>
            <w:vMerge w:val="restart"/>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jc w:val="center"/>
              <w:rPr>
                <w:rFonts w:hint="eastAsia" w:ascii="Times New Roman" w:hAnsi="Times New Roman" w:eastAsia="宋体" w:cs="宋体"/>
                <w:b/>
                <w:bCs/>
                <w:color w:val="000000"/>
                <w:sz w:val="18"/>
                <w:szCs w:val="18"/>
              </w:rPr>
            </w:pPr>
          </w:p>
        </w:tc>
        <w:tc>
          <w:tcPr>
            <w:tcW w:w="2382" w:type="dxa"/>
            <w:gridSpan w:val="2"/>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jc w:val="center"/>
              <w:rPr>
                <w:rFonts w:hint="eastAsia" w:ascii="Times New Roman" w:hAnsi="Times New Roman" w:eastAsia="宋体" w:cs="宋体"/>
                <w:b/>
                <w:bCs/>
                <w:color w:val="000000"/>
                <w:sz w:val="18"/>
                <w:szCs w:val="18"/>
              </w:rPr>
            </w:pPr>
            <w:r>
              <w:rPr>
                <w:rFonts w:hint="eastAsia" w:ascii="Times New Roman" w:hAnsi="Times New Roman" w:eastAsia="宋体" w:cs="宋体"/>
                <w:b/>
                <w:bCs/>
                <w:color w:val="000000"/>
                <w:sz w:val="18"/>
                <w:szCs w:val="18"/>
              </w:rPr>
              <w:t>202</w:t>
            </w:r>
            <w:r>
              <w:rPr>
                <w:rFonts w:hint="eastAsia" w:ascii="Times New Roman" w:hAnsi="Times New Roman" w:eastAsia="宋体" w:cs="宋体"/>
                <w:b/>
                <w:bCs/>
                <w:color w:val="000000"/>
                <w:sz w:val="18"/>
                <w:szCs w:val="18"/>
                <w:lang w:val="en-US" w:eastAsia="zh-CN"/>
              </w:rPr>
              <w:t>2</w:t>
            </w:r>
            <w:r>
              <w:rPr>
                <w:rFonts w:hint="eastAsia" w:ascii="Times New Roman" w:hAnsi="Times New Roman" w:eastAsia="宋体" w:cs="宋体"/>
                <w:b/>
                <w:bCs/>
                <w:color w:val="000000"/>
                <w:sz w:val="18"/>
                <w:szCs w:val="18"/>
              </w:rPr>
              <w:t>-202</w:t>
            </w:r>
            <w:r>
              <w:rPr>
                <w:rFonts w:hint="eastAsia" w:ascii="Times New Roman" w:hAnsi="Times New Roman" w:eastAsia="宋体" w:cs="宋体"/>
                <w:b/>
                <w:bCs/>
                <w:color w:val="000000"/>
                <w:sz w:val="18"/>
                <w:szCs w:val="18"/>
                <w:lang w:val="en-US" w:eastAsia="zh-CN"/>
              </w:rPr>
              <w:t>3</w:t>
            </w:r>
            <w:r>
              <w:rPr>
                <w:rFonts w:hint="eastAsia" w:ascii="Times New Roman" w:hAnsi="Times New Roman" w:eastAsia="宋体" w:cs="宋体"/>
                <w:b/>
                <w:bCs/>
                <w:color w:val="000000"/>
                <w:sz w:val="18"/>
                <w:szCs w:val="18"/>
              </w:rPr>
              <w:t>学年</w:t>
            </w:r>
          </w:p>
        </w:tc>
        <w:tc>
          <w:tcPr>
            <w:tcW w:w="2433" w:type="dxa"/>
            <w:gridSpan w:val="2"/>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jc w:val="center"/>
              <w:rPr>
                <w:rFonts w:hint="eastAsia" w:ascii="Times New Roman" w:hAnsi="Times New Roman" w:eastAsia="宋体" w:cs="宋体"/>
                <w:b/>
                <w:bCs/>
                <w:color w:val="000000"/>
                <w:sz w:val="18"/>
                <w:szCs w:val="18"/>
              </w:rPr>
            </w:pPr>
            <w:r>
              <w:rPr>
                <w:rFonts w:hint="eastAsia" w:ascii="Times New Roman" w:hAnsi="Times New Roman" w:eastAsia="宋体" w:cs="宋体"/>
                <w:b/>
                <w:bCs/>
                <w:color w:val="000000"/>
                <w:sz w:val="18"/>
                <w:szCs w:val="18"/>
              </w:rPr>
              <w:t>202</w:t>
            </w:r>
            <w:r>
              <w:rPr>
                <w:rFonts w:hint="eastAsia" w:ascii="Times New Roman" w:hAnsi="Times New Roman" w:eastAsia="宋体" w:cs="宋体"/>
                <w:b/>
                <w:bCs/>
                <w:color w:val="000000"/>
                <w:sz w:val="18"/>
                <w:szCs w:val="18"/>
                <w:lang w:val="en-US" w:eastAsia="zh-CN"/>
              </w:rPr>
              <w:t>3</w:t>
            </w:r>
            <w:r>
              <w:rPr>
                <w:rFonts w:hint="eastAsia" w:ascii="Times New Roman" w:hAnsi="Times New Roman" w:eastAsia="宋体" w:cs="宋体"/>
                <w:b/>
                <w:bCs/>
                <w:color w:val="000000"/>
                <w:sz w:val="18"/>
                <w:szCs w:val="18"/>
              </w:rPr>
              <w:t>-202</w:t>
            </w:r>
            <w:r>
              <w:rPr>
                <w:rFonts w:hint="eastAsia" w:ascii="Times New Roman" w:hAnsi="Times New Roman" w:eastAsia="宋体" w:cs="宋体"/>
                <w:b/>
                <w:bCs/>
                <w:color w:val="000000"/>
                <w:sz w:val="18"/>
                <w:szCs w:val="18"/>
                <w:lang w:val="en-US" w:eastAsia="zh-CN"/>
              </w:rPr>
              <w:t>4</w:t>
            </w:r>
            <w:r>
              <w:rPr>
                <w:rFonts w:hint="eastAsia" w:ascii="Times New Roman" w:hAnsi="Times New Roman" w:eastAsia="宋体" w:cs="宋体"/>
                <w:b/>
                <w:bCs/>
                <w:color w:val="000000"/>
                <w:sz w:val="18"/>
                <w:szCs w:val="18"/>
              </w:rPr>
              <w:t>学年</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499" w:hRule="atLeast"/>
          <w:jc w:val="center"/>
        </w:trPr>
        <w:tc>
          <w:tcPr>
            <w:tcW w:w="3484"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jc w:val="center"/>
              <w:rPr>
                <w:rFonts w:hint="eastAsia" w:ascii="Times New Roman" w:hAnsi="Times New Roman" w:eastAsia="宋体" w:cs="宋体"/>
                <w:b w:val="0"/>
                <w:bCs/>
                <w:color w:val="000000"/>
                <w:sz w:val="18"/>
                <w:szCs w:val="18"/>
              </w:rPr>
            </w:pPr>
          </w:p>
        </w:tc>
        <w:tc>
          <w:tcPr>
            <w:tcW w:w="1241"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jc w:val="center"/>
              <w:rPr>
                <w:rFonts w:hint="eastAsia" w:ascii="Times New Roman" w:hAnsi="Times New Roman" w:eastAsia="宋体" w:cs="宋体"/>
                <w:b/>
                <w:bCs/>
                <w:color w:val="000000"/>
                <w:sz w:val="18"/>
                <w:szCs w:val="18"/>
              </w:rPr>
            </w:pPr>
            <w:r>
              <w:rPr>
                <w:rFonts w:hint="eastAsia" w:ascii="Times New Roman" w:hAnsi="Times New Roman" w:eastAsia="宋体" w:cs="宋体"/>
                <w:b/>
                <w:bCs/>
                <w:color w:val="000000"/>
                <w:sz w:val="18"/>
                <w:szCs w:val="18"/>
              </w:rPr>
              <w:t>数量（所）</w:t>
            </w:r>
          </w:p>
        </w:tc>
        <w:tc>
          <w:tcPr>
            <w:tcW w:w="1141"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jc w:val="center"/>
              <w:rPr>
                <w:rFonts w:hint="eastAsia" w:ascii="Times New Roman" w:hAnsi="Times New Roman" w:eastAsia="宋体" w:cs="宋体"/>
                <w:b/>
                <w:bCs/>
                <w:color w:val="000000"/>
                <w:sz w:val="18"/>
                <w:szCs w:val="18"/>
              </w:rPr>
            </w:pPr>
            <w:r>
              <w:rPr>
                <w:rFonts w:hint="eastAsia" w:ascii="Times New Roman" w:hAnsi="Times New Roman" w:eastAsia="宋体" w:cs="宋体"/>
                <w:b/>
                <w:bCs/>
                <w:color w:val="000000"/>
                <w:sz w:val="18"/>
                <w:szCs w:val="18"/>
              </w:rPr>
              <w:t>占比（%）</w:t>
            </w:r>
          </w:p>
        </w:tc>
        <w:tc>
          <w:tcPr>
            <w:tcW w:w="1221"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jc w:val="center"/>
              <w:rPr>
                <w:rFonts w:hint="eastAsia" w:ascii="Times New Roman" w:hAnsi="Times New Roman" w:eastAsia="宋体" w:cs="宋体"/>
                <w:b/>
                <w:bCs/>
                <w:color w:val="000000"/>
                <w:sz w:val="18"/>
                <w:szCs w:val="18"/>
              </w:rPr>
            </w:pPr>
            <w:r>
              <w:rPr>
                <w:rFonts w:hint="eastAsia" w:ascii="Times New Roman" w:hAnsi="Times New Roman" w:eastAsia="宋体" w:cs="宋体"/>
                <w:b/>
                <w:bCs/>
                <w:color w:val="000000"/>
                <w:sz w:val="18"/>
                <w:szCs w:val="18"/>
              </w:rPr>
              <w:t>数量（所）</w:t>
            </w:r>
          </w:p>
        </w:tc>
        <w:tc>
          <w:tcPr>
            <w:tcW w:w="1212"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jc w:val="center"/>
              <w:rPr>
                <w:rFonts w:hint="eastAsia" w:ascii="Times New Roman" w:hAnsi="Times New Roman" w:eastAsia="宋体" w:cs="宋体"/>
                <w:b/>
                <w:bCs/>
                <w:color w:val="000000"/>
                <w:sz w:val="18"/>
                <w:szCs w:val="18"/>
              </w:rPr>
            </w:pPr>
            <w:r>
              <w:rPr>
                <w:rFonts w:hint="eastAsia" w:ascii="Times New Roman" w:hAnsi="Times New Roman" w:eastAsia="宋体" w:cs="宋体"/>
                <w:b/>
                <w:bCs/>
                <w:color w:val="000000"/>
                <w:sz w:val="18"/>
                <w:szCs w:val="18"/>
              </w:rPr>
              <w:t>占比（%）</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499" w:hRule="atLeast"/>
          <w:jc w:val="center"/>
        </w:trPr>
        <w:tc>
          <w:tcPr>
            <w:tcW w:w="348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jc w:val="center"/>
              <w:rPr>
                <w:rFonts w:hint="eastAsia"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学校总数</w:t>
            </w:r>
          </w:p>
        </w:tc>
        <w:tc>
          <w:tcPr>
            <w:tcW w:w="1241"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lang w:val="en-US" w:eastAsia="zh-CN"/>
              </w:rPr>
              <w:t>10</w:t>
            </w:r>
          </w:p>
        </w:tc>
        <w:tc>
          <w:tcPr>
            <w:tcW w:w="1141"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w:t>
            </w:r>
          </w:p>
        </w:tc>
        <w:tc>
          <w:tcPr>
            <w:tcW w:w="1221"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lang w:val="en-US" w:eastAsia="zh-CN"/>
              </w:rPr>
              <w:t>9</w:t>
            </w:r>
          </w:p>
        </w:tc>
        <w:tc>
          <w:tcPr>
            <w:tcW w:w="1212"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499" w:hRule="atLeast"/>
          <w:jc w:val="center"/>
        </w:trPr>
        <w:tc>
          <w:tcPr>
            <w:tcW w:w="3484"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jc w:val="center"/>
              <w:rPr>
                <w:rFonts w:hint="eastAsia"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公办学校数</w:t>
            </w:r>
          </w:p>
        </w:tc>
        <w:tc>
          <w:tcPr>
            <w:tcW w:w="1241"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6</w:t>
            </w:r>
          </w:p>
        </w:tc>
        <w:tc>
          <w:tcPr>
            <w:tcW w:w="1141"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60</w:t>
            </w:r>
          </w:p>
        </w:tc>
        <w:tc>
          <w:tcPr>
            <w:tcW w:w="1221"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6</w:t>
            </w:r>
          </w:p>
        </w:tc>
        <w:tc>
          <w:tcPr>
            <w:tcW w:w="1212"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6</w:t>
            </w:r>
            <w:r>
              <w:rPr>
                <w:rFonts w:hint="eastAsia" w:ascii="Times New Roman" w:hAnsi="Times New Roman" w:eastAsia="宋体" w:cs="宋体"/>
                <w:b w:val="0"/>
                <w:color w:val="000000"/>
                <w:sz w:val="18"/>
                <w:szCs w:val="18"/>
                <w:lang w:val="en-US" w:eastAsia="zh-CN"/>
              </w:rPr>
              <w:t>6.67</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499" w:hRule="atLeast"/>
          <w:jc w:val="center"/>
        </w:trPr>
        <w:tc>
          <w:tcPr>
            <w:tcW w:w="348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jc w:val="center"/>
              <w:rPr>
                <w:rFonts w:hint="eastAsia"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民办学校数</w:t>
            </w:r>
          </w:p>
        </w:tc>
        <w:tc>
          <w:tcPr>
            <w:tcW w:w="1241"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4</w:t>
            </w:r>
          </w:p>
        </w:tc>
        <w:tc>
          <w:tcPr>
            <w:tcW w:w="1141"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40</w:t>
            </w:r>
          </w:p>
        </w:tc>
        <w:tc>
          <w:tcPr>
            <w:tcW w:w="1221"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lang w:val="en-US" w:eastAsia="zh-CN"/>
              </w:rPr>
              <w:t>3</w:t>
            </w:r>
          </w:p>
        </w:tc>
        <w:tc>
          <w:tcPr>
            <w:tcW w:w="1212"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lang w:val="en-US" w:eastAsia="zh-CN"/>
              </w:rPr>
              <w:t>33.33</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499" w:hRule="atLeast"/>
          <w:jc w:val="center"/>
        </w:trPr>
        <w:tc>
          <w:tcPr>
            <w:tcW w:w="3484"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jc w:val="center"/>
              <w:rPr>
                <w:rFonts w:hint="eastAsia"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国家级中职教育改革发展示范校数</w:t>
            </w:r>
          </w:p>
        </w:tc>
        <w:tc>
          <w:tcPr>
            <w:tcW w:w="1241"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2</w:t>
            </w:r>
          </w:p>
        </w:tc>
        <w:tc>
          <w:tcPr>
            <w:tcW w:w="1141"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20</w:t>
            </w:r>
          </w:p>
        </w:tc>
        <w:tc>
          <w:tcPr>
            <w:tcW w:w="1221"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2</w:t>
            </w:r>
          </w:p>
        </w:tc>
        <w:tc>
          <w:tcPr>
            <w:tcW w:w="1212"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2</w:t>
            </w:r>
            <w:r>
              <w:rPr>
                <w:rFonts w:hint="eastAsia" w:ascii="Times New Roman" w:hAnsi="Times New Roman" w:eastAsia="宋体" w:cs="宋体"/>
                <w:b w:val="0"/>
                <w:color w:val="000000"/>
                <w:sz w:val="18"/>
                <w:szCs w:val="18"/>
                <w:lang w:val="en-US" w:eastAsia="zh-CN"/>
              </w:rPr>
              <w:t>2.22</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499" w:hRule="atLeast"/>
          <w:jc w:val="center"/>
        </w:trPr>
        <w:tc>
          <w:tcPr>
            <w:tcW w:w="348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jc w:val="center"/>
              <w:rPr>
                <w:rFonts w:hint="eastAsia"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国家级重点中等职业学校数</w:t>
            </w:r>
          </w:p>
        </w:tc>
        <w:tc>
          <w:tcPr>
            <w:tcW w:w="1241"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3</w:t>
            </w:r>
          </w:p>
        </w:tc>
        <w:tc>
          <w:tcPr>
            <w:tcW w:w="1141"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30</w:t>
            </w:r>
          </w:p>
        </w:tc>
        <w:tc>
          <w:tcPr>
            <w:tcW w:w="1221"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3</w:t>
            </w:r>
          </w:p>
        </w:tc>
        <w:tc>
          <w:tcPr>
            <w:tcW w:w="1212"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3</w:t>
            </w:r>
            <w:r>
              <w:rPr>
                <w:rFonts w:hint="eastAsia" w:ascii="Times New Roman" w:hAnsi="Times New Roman" w:eastAsia="宋体" w:cs="宋体"/>
                <w:b w:val="0"/>
                <w:color w:val="000000"/>
                <w:sz w:val="18"/>
                <w:szCs w:val="18"/>
                <w:lang w:val="en-US" w:eastAsia="zh-CN"/>
              </w:rPr>
              <w:t>3.33</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499" w:hRule="atLeast"/>
          <w:jc w:val="center"/>
        </w:trPr>
        <w:tc>
          <w:tcPr>
            <w:tcW w:w="3484"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jc w:val="center"/>
              <w:rPr>
                <w:rFonts w:hint="eastAsia"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四川省重点中等职业学校数</w:t>
            </w:r>
          </w:p>
        </w:tc>
        <w:tc>
          <w:tcPr>
            <w:tcW w:w="1241"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2</w:t>
            </w:r>
          </w:p>
        </w:tc>
        <w:tc>
          <w:tcPr>
            <w:tcW w:w="1141"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20</w:t>
            </w:r>
          </w:p>
        </w:tc>
        <w:tc>
          <w:tcPr>
            <w:tcW w:w="1221"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2</w:t>
            </w:r>
          </w:p>
        </w:tc>
        <w:tc>
          <w:tcPr>
            <w:tcW w:w="1212"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lang w:val="en-US" w:eastAsia="zh-CN"/>
              </w:rPr>
              <w:t>22.22</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499" w:hRule="atLeast"/>
          <w:jc w:val="center"/>
        </w:trPr>
        <w:tc>
          <w:tcPr>
            <w:tcW w:w="348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jc w:val="center"/>
              <w:rPr>
                <w:rFonts w:hint="eastAsia"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四川省示范中等职业学校建设单位数</w:t>
            </w:r>
          </w:p>
        </w:tc>
        <w:tc>
          <w:tcPr>
            <w:tcW w:w="1241"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2</w:t>
            </w:r>
          </w:p>
        </w:tc>
        <w:tc>
          <w:tcPr>
            <w:tcW w:w="1141"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20</w:t>
            </w:r>
          </w:p>
        </w:tc>
        <w:tc>
          <w:tcPr>
            <w:tcW w:w="1221"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2</w:t>
            </w:r>
          </w:p>
        </w:tc>
        <w:tc>
          <w:tcPr>
            <w:tcW w:w="1212"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lang w:val="en-US" w:eastAsia="zh-CN"/>
              </w:rPr>
              <w:t>22.22</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499" w:hRule="atLeast"/>
          <w:jc w:val="center"/>
        </w:trPr>
        <w:tc>
          <w:tcPr>
            <w:tcW w:w="3484"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jc w:val="center"/>
              <w:rPr>
                <w:rFonts w:hint="eastAsia"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“三名工程”立项建设单位数</w:t>
            </w:r>
          </w:p>
        </w:tc>
        <w:tc>
          <w:tcPr>
            <w:tcW w:w="1241"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5</w:t>
            </w:r>
          </w:p>
        </w:tc>
        <w:tc>
          <w:tcPr>
            <w:tcW w:w="1141"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50</w:t>
            </w:r>
          </w:p>
        </w:tc>
        <w:tc>
          <w:tcPr>
            <w:tcW w:w="1221"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rPr>
              <w:t>5</w:t>
            </w:r>
          </w:p>
        </w:tc>
        <w:tc>
          <w:tcPr>
            <w:tcW w:w="1212"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jc w:val="center"/>
              <w:rPr>
                <w:rFonts w:hint="eastAsia" w:ascii="Times New Roman" w:hAnsi="Times New Roman" w:eastAsia="宋体" w:cs="宋体"/>
                <w:b w:val="0"/>
                <w:color w:val="000000"/>
                <w:kern w:val="2"/>
                <w:sz w:val="18"/>
                <w:szCs w:val="18"/>
                <w:lang w:val="en-US" w:eastAsia="zh-CN" w:bidi="ar-SA"/>
              </w:rPr>
            </w:pPr>
            <w:r>
              <w:rPr>
                <w:rFonts w:hint="eastAsia" w:ascii="Times New Roman" w:hAnsi="Times New Roman" w:eastAsia="宋体" w:cs="宋体"/>
                <w:b w:val="0"/>
                <w:color w:val="000000"/>
                <w:sz w:val="18"/>
                <w:szCs w:val="18"/>
                <w:lang w:val="en-US" w:eastAsia="zh-CN"/>
              </w:rPr>
              <w:t>55.56</w:t>
            </w:r>
          </w:p>
        </w:tc>
      </w:tr>
    </w:tbl>
    <w:p>
      <w:pPr>
        <w:pStyle w:val="2"/>
        <w:rPr>
          <w:rFonts w:ascii="Times New Roman" w:hAnsi="Times New Roman" w:eastAsia="宋体" w:cs="宋体"/>
          <w:b/>
          <w:bCs/>
          <w:color w:val="FF0000"/>
          <w:sz w:val="18"/>
          <w:szCs w:val="18"/>
        </w:rPr>
      </w:pPr>
    </w:p>
    <w:p>
      <w:pPr>
        <w:spacing w:line="560" w:lineRule="exact"/>
        <w:ind w:firstLine="562" w:firstLineChars="200"/>
        <w:outlineLvl w:val="2"/>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1</w:t>
      </w:r>
      <w:r>
        <w:rPr>
          <w:rFonts w:hint="eastAsia" w:ascii="Times New Roman" w:hAnsi="Times New Roman" w:eastAsia="宋体" w:cs="Times New Roman"/>
          <w:b/>
          <w:bCs/>
          <w:color w:val="auto"/>
          <w:sz w:val="28"/>
          <w:szCs w:val="28"/>
          <w:highlight w:val="none"/>
        </w:rPr>
        <w:t>.</w:t>
      </w:r>
      <w:r>
        <w:rPr>
          <w:rFonts w:ascii="Times New Roman" w:hAnsi="Times New Roman" w:eastAsia="宋体" w:cs="Times New Roman"/>
          <w:b/>
          <w:bCs/>
          <w:color w:val="auto"/>
          <w:sz w:val="28"/>
          <w:szCs w:val="28"/>
          <w:highlight w:val="none"/>
        </w:rPr>
        <w:t>1</w:t>
      </w:r>
      <w:r>
        <w:rPr>
          <w:rFonts w:hint="eastAsia" w:ascii="Times New Roman" w:hAnsi="Times New Roman" w:eastAsia="宋体" w:cs="Times New Roman"/>
          <w:b/>
          <w:bCs/>
          <w:color w:val="auto"/>
          <w:sz w:val="28"/>
          <w:szCs w:val="28"/>
          <w:highlight w:val="none"/>
        </w:rPr>
        <w:t>.</w:t>
      </w:r>
      <w:r>
        <w:rPr>
          <w:rFonts w:ascii="Times New Roman" w:hAnsi="Times New Roman" w:eastAsia="宋体" w:cs="Times New Roman"/>
          <w:b/>
          <w:bCs/>
          <w:color w:val="auto"/>
          <w:sz w:val="28"/>
          <w:szCs w:val="28"/>
          <w:highlight w:val="none"/>
        </w:rPr>
        <w:t>2</w:t>
      </w:r>
      <w:r>
        <w:rPr>
          <w:rFonts w:hint="eastAsia" w:ascii="Times New Roman" w:hAnsi="Times New Roman" w:eastAsia="宋体" w:cs="Times New Roman"/>
          <w:b/>
          <w:bCs/>
          <w:color w:val="auto"/>
          <w:sz w:val="28"/>
          <w:szCs w:val="28"/>
          <w:highlight w:val="none"/>
        </w:rPr>
        <w:t xml:space="preserve"> 学生规模</w:t>
      </w:r>
    </w:p>
    <w:p>
      <w:pPr>
        <w:spacing w:line="560" w:lineRule="exact"/>
        <w:ind w:firstLine="480" w:firstLineChars="200"/>
        <w:rPr>
          <w:rFonts w:hint="eastAsia" w:ascii="Times New Roman" w:hAnsi="Times New Roman" w:eastAsia="宋体" w:cs="仿宋"/>
          <w:color w:val="auto"/>
          <w:sz w:val="24"/>
          <w:szCs w:val="24"/>
          <w:highlight w:val="none"/>
        </w:rPr>
      </w:pPr>
      <w:bookmarkStart w:id="92" w:name="_Toc13251"/>
      <w:bookmarkStart w:id="93" w:name="_Toc11300"/>
      <w:bookmarkStart w:id="94" w:name="_Toc9155"/>
      <w:bookmarkStart w:id="95" w:name="_Toc426"/>
      <w:bookmarkStart w:id="96" w:name="_Toc91576123"/>
      <w:bookmarkStart w:id="97" w:name="_Toc25739"/>
      <w:r>
        <w:rPr>
          <w:rFonts w:hint="eastAsia" w:ascii="Times New Roman" w:hAnsi="Times New Roman" w:eastAsia="宋体" w:cs="仿宋"/>
          <w:color w:val="auto"/>
          <w:sz w:val="24"/>
          <w:szCs w:val="24"/>
          <w:highlight w:val="none"/>
        </w:rPr>
        <w:t>2023-2024学年，全市中等职业学校完成招生8404人，毕业生7004人，共有全日制在校生21828人，与2022-2023学年基本持平。</w:t>
      </w:r>
    </w:p>
    <w:p>
      <w:pPr>
        <w:spacing w:line="560" w:lineRule="exact"/>
        <w:ind w:firstLine="602" w:firstLineChars="200"/>
        <w:outlineLvl w:val="1"/>
        <w:rPr>
          <w:rFonts w:ascii="Times New Roman" w:hAnsi="Times New Roman" w:eastAsia="楷体" w:cs="Times New Roman"/>
          <w:b/>
          <w:bCs/>
          <w:color w:val="auto"/>
          <w:sz w:val="30"/>
          <w:szCs w:val="30"/>
          <w:highlight w:val="none"/>
        </w:rPr>
      </w:pPr>
      <w:bookmarkStart w:id="98" w:name="_Toc18506"/>
      <w:bookmarkStart w:id="99" w:name="_Toc91576124"/>
      <w:bookmarkStart w:id="100" w:name="_Toc16085"/>
      <w:bookmarkStart w:id="101" w:name="_Toc26979"/>
      <w:bookmarkStart w:id="102" w:name="_Toc12091"/>
      <w:bookmarkStart w:id="103" w:name="_Toc25099"/>
      <w:bookmarkStart w:id="104" w:name="_Toc2549"/>
      <w:r>
        <w:rPr>
          <w:rFonts w:ascii="Times New Roman" w:hAnsi="Times New Roman" w:eastAsia="楷体" w:cs="Times New Roman"/>
          <w:b/>
          <w:bCs/>
          <w:color w:val="auto"/>
          <w:sz w:val="30"/>
          <w:szCs w:val="30"/>
          <w:highlight w:val="none"/>
        </w:rPr>
        <w:t>1</w:t>
      </w:r>
      <w:r>
        <w:rPr>
          <w:rFonts w:hint="eastAsia" w:ascii="Times New Roman" w:hAnsi="Times New Roman" w:eastAsia="楷体" w:cs="Times New Roman"/>
          <w:b/>
          <w:bCs/>
          <w:color w:val="auto"/>
          <w:sz w:val="30"/>
          <w:szCs w:val="30"/>
          <w:highlight w:val="none"/>
        </w:rPr>
        <w:t>.</w:t>
      </w:r>
      <w:r>
        <w:rPr>
          <w:rFonts w:hint="eastAsia" w:ascii="Times New Roman" w:hAnsi="Times New Roman" w:eastAsia="楷体" w:cs="Times New Roman"/>
          <w:b/>
          <w:bCs/>
          <w:color w:val="auto"/>
          <w:sz w:val="30"/>
          <w:szCs w:val="30"/>
          <w:highlight w:val="none"/>
          <w:lang w:val="en-US" w:eastAsia="zh-CN"/>
        </w:rPr>
        <w:t>2</w:t>
      </w:r>
      <w:r>
        <w:rPr>
          <w:rFonts w:hint="eastAsia" w:ascii="Times New Roman" w:hAnsi="Times New Roman" w:eastAsia="楷体" w:cs="Times New Roman"/>
          <w:b/>
          <w:bCs/>
          <w:color w:val="auto"/>
          <w:sz w:val="30"/>
          <w:szCs w:val="30"/>
          <w:highlight w:val="none"/>
        </w:rPr>
        <w:t xml:space="preserve"> </w:t>
      </w:r>
      <w:bookmarkEnd w:id="98"/>
      <w:r>
        <w:rPr>
          <w:rFonts w:hint="eastAsia" w:ascii="Times New Roman" w:hAnsi="Times New Roman" w:eastAsia="楷体" w:cs="Times New Roman"/>
          <w:b/>
          <w:bCs/>
          <w:color w:val="auto"/>
          <w:sz w:val="30"/>
          <w:szCs w:val="30"/>
          <w:highlight w:val="none"/>
        </w:rPr>
        <w:t>教师队伍</w:t>
      </w:r>
      <w:bookmarkEnd w:id="99"/>
      <w:bookmarkEnd w:id="100"/>
      <w:bookmarkEnd w:id="101"/>
      <w:bookmarkEnd w:id="102"/>
      <w:bookmarkEnd w:id="103"/>
      <w:bookmarkEnd w:id="104"/>
    </w:p>
    <w:p>
      <w:pPr>
        <w:spacing w:line="560" w:lineRule="exact"/>
        <w:ind w:firstLine="562" w:firstLineChars="200"/>
        <w:outlineLvl w:val="2"/>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1</w:t>
      </w:r>
      <w:r>
        <w:rPr>
          <w:rFonts w:hint="eastAsia"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2</w:t>
      </w:r>
      <w:r>
        <w:rPr>
          <w:rFonts w:hint="eastAsia" w:ascii="Times New Roman" w:hAnsi="Times New Roman" w:eastAsia="宋体" w:cs="Times New Roman"/>
          <w:b/>
          <w:bCs/>
          <w:color w:val="auto"/>
          <w:sz w:val="28"/>
          <w:szCs w:val="28"/>
          <w:highlight w:val="none"/>
        </w:rPr>
        <w:t>.</w:t>
      </w:r>
      <w:r>
        <w:rPr>
          <w:rFonts w:ascii="Times New Roman" w:hAnsi="Times New Roman" w:eastAsia="宋体" w:cs="Times New Roman"/>
          <w:b/>
          <w:bCs/>
          <w:color w:val="auto"/>
          <w:sz w:val="28"/>
          <w:szCs w:val="28"/>
          <w:highlight w:val="none"/>
        </w:rPr>
        <w:t>1</w:t>
      </w:r>
      <w:r>
        <w:rPr>
          <w:rFonts w:hint="eastAsia" w:ascii="Times New Roman" w:hAnsi="Times New Roman" w:eastAsia="宋体" w:cs="Times New Roman"/>
          <w:b/>
          <w:bCs/>
          <w:color w:val="auto"/>
          <w:sz w:val="28"/>
          <w:szCs w:val="28"/>
          <w:highlight w:val="none"/>
        </w:rPr>
        <w:t xml:space="preserve"> 教师队伍总体情况</w:t>
      </w:r>
    </w:p>
    <w:p>
      <w:pPr>
        <w:spacing w:line="560" w:lineRule="exact"/>
        <w:ind w:firstLine="480" w:firstLineChars="200"/>
        <w:rPr>
          <w:rFonts w:hint="eastAsia" w:ascii="Times New Roman" w:hAnsi="Times New Roman" w:eastAsia="宋体" w:cs="仿宋"/>
          <w:color w:val="auto"/>
          <w:sz w:val="24"/>
          <w:szCs w:val="24"/>
          <w:highlight w:val="none"/>
          <w:lang w:eastAsia="zh-CN"/>
        </w:rPr>
      </w:pPr>
      <w:r>
        <w:rPr>
          <w:rFonts w:hint="eastAsia" w:ascii="Times New Roman" w:hAnsi="Times New Roman" w:eastAsia="宋体" w:cs="仿宋"/>
          <w:color w:val="auto"/>
          <w:sz w:val="24"/>
          <w:szCs w:val="24"/>
          <w:highlight w:val="none"/>
        </w:rPr>
        <w:t>202</w:t>
      </w:r>
      <w:r>
        <w:rPr>
          <w:rFonts w:hint="eastAsia" w:ascii="Times New Roman" w:hAnsi="Times New Roman" w:eastAsia="宋体" w:cs="仿宋"/>
          <w:color w:val="auto"/>
          <w:sz w:val="24"/>
          <w:szCs w:val="24"/>
          <w:highlight w:val="none"/>
          <w:lang w:val="en-US" w:eastAsia="zh-CN"/>
        </w:rPr>
        <w:t>4</w:t>
      </w:r>
      <w:r>
        <w:rPr>
          <w:rFonts w:hint="eastAsia" w:ascii="Times New Roman" w:hAnsi="Times New Roman" w:eastAsia="宋体" w:cs="仿宋"/>
          <w:color w:val="auto"/>
          <w:sz w:val="24"/>
          <w:szCs w:val="24"/>
          <w:highlight w:val="none"/>
        </w:rPr>
        <w:t>年，遂宁市中等职业学校教师队伍总体结构持续优化，教职工总数为</w:t>
      </w:r>
      <w:r>
        <w:rPr>
          <w:rFonts w:hint="eastAsia" w:ascii="Times New Roman" w:hAnsi="Times New Roman" w:eastAsia="宋体" w:cs="仿宋"/>
          <w:color w:val="auto"/>
          <w:sz w:val="24"/>
          <w:szCs w:val="24"/>
          <w:highlight w:val="none"/>
          <w:lang w:val="en-US" w:eastAsia="zh-CN"/>
        </w:rPr>
        <w:t>1560</w:t>
      </w:r>
      <w:r>
        <w:rPr>
          <w:rFonts w:hint="eastAsia" w:ascii="Times New Roman" w:hAnsi="Times New Roman" w:eastAsia="宋体" w:cs="仿宋"/>
          <w:color w:val="auto"/>
          <w:sz w:val="24"/>
          <w:szCs w:val="24"/>
          <w:highlight w:val="none"/>
        </w:rPr>
        <w:t>人，额定编制数</w:t>
      </w:r>
      <w:r>
        <w:rPr>
          <w:rFonts w:hint="eastAsia" w:ascii="Times New Roman" w:hAnsi="Times New Roman" w:eastAsia="宋体" w:cs="仿宋"/>
          <w:color w:val="auto"/>
          <w:sz w:val="24"/>
          <w:szCs w:val="24"/>
          <w:highlight w:val="none"/>
          <w:lang w:val="en-US" w:eastAsia="zh-CN"/>
        </w:rPr>
        <w:t>1480</w:t>
      </w:r>
      <w:r>
        <w:rPr>
          <w:rFonts w:hint="eastAsia" w:ascii="Times New Roman" w:hAnsi="Times New Roman" w:eastAsia="宋体" w:cs="仿宋"/>
          <w:color w:val="auto"/>
          <w:sz w:val="24"/>
          <w:szCs w:val="24"/>
          <w:highlight w:val="none"/>
        </w:rPr>
        <w:t>人。思想政治课专任教师</w:t>
      </w:r>
      <w:r>
        <w:rPr>
          <w:rFonts w:hint="eastAsia" w:ascii="Times New Roman" w:hAnsi="Times New Roman" w:eastAsia="宋体" w:cs="仿宋"/>
          <w:color w:val="auto"/>
          <w:sz w:val="24"/>
          <w:szCs w:val="24"/>
          <w:highlight w:val="none"/>
          <w:lang w:val="en-US" w:eastAsia="zh-CN"/>
        </w:rPr>
        <w:t>86人</w:t>
      </w:r>
      <w:r>
        <w:rPr>
          <w:rFonts w:hint="eastAsia" w:ascii="Times New Roman" w:hAnsi="Times New Roman" w:eastAsia="宋体" w:cs="仿宋"/>
          <w:color w:val="auto"/>
          <w:sz w:val="24"/>
          <w:szCs w:val="24"/>
          <w:highlight w:val="none"/>
        </w:rPr>
        <w:t>、</w:t>
      </w:r>
      <w:r>
        <w:rPr>
          <w:rFonts w:hint="eastAsia" w:ascii="Times New Roman" w:hAnsi="Times New Roman" w:eastAsia="宋体" w:cs="仿宋"/>
          <w:color w:val="auto"/>
          <w:sz w:val="24"/>
          <w:szCs w:val="24"/>
          <w:highlight w:val="none"/>
          <w:lang w:val="en-US" w:eastAsia="zh-CN"/>
        </w:rPr>
        <w:t>班主任452人</w:t>
      </w:r>
      <w:r>
        <w:rPr>
          <w:rFonts w:hint="eastAsia" w:ascii="Times New Roman" w:hAnsi="Times New Roman" w:eastAsia="宋体" w:cs="仿宋"/>
          <w:color w:val="auto"/>
          <w:sz w:val="24"/>
          <w:szCs w:val="24"/>
          <w:highlight w:val="none"/>
        </w:rPr>
        <w:t>，体育课专任教师</w:t>
      </w:r>
      <w:r>
        <w:rPr>
          <w:rFonts w:hint="eastAsia" w:ascii="Times New Roman" w:hAnsi="Times New Roman" w:eastAsia="宋体" w:cs="仿宋"/>
          <w:color w:val="auto"/>
          <w:sz w:val="24"/>
          <w:szCs w:val="24"/>
          <w:highlight w:val="none"/>
          <w:lang w:val="en-US" w:eastAsia="zh-CN"/>
        </w:rPr>
        <w:t>96人</w:t>
      </w:r>
      <w:r>
        <w:rPr>
          <w:rFonts w:hint="eastAsia" w:ascii="Times New Roman" w:hAnsi="Times New Roman" w:eastAsia="宋体" w:cs="仿宋"/>
          <w:color w:val="auto"/>
          <w:sz w:val="24"/>
          <w:szCs w:val="24"/>
          <w:highlight w:val="none"/>
        </w:rPr>
        <w:t>，美育课专任教师</w:t>
      </w:r>
      <w:r>
        <w:rPr>
          <w:rFonts w:hint="eastAsia" w:ascii="Times New Roman" w:hAnsi="Times New Roman" w:eastAsia="宋体" w:cs="仿宋"/>
          <w:color w:val="auto"/>
          <w:sz w:val="24"/>
          <w:szCs w:val="24"/>
          <w:highlight w:val="none"/>
          <w:lang w:val="en-US" w:eastAsia="zh-CN"/>
        </w:rPr>
        <w:t>64人</w:t>
      </w:r>
      <w:r>
        <w:rPr>
          <w:rFonts w:hint="eastAsia" w:ascii="Times New Roman" w:hAnsi="Times New Roman" w:eastAsia="宋体" w:cs="仿宋"/>
          <w:color w:val="auto"/>
          <w:sz w:val="24"/>
          <w:szCs w:val="24"/>
          <w:highlight w:val="none"/>
        </w:rPr>
        <w:t>，与202</w:t>
      </w:r>
      <w:r>
        <w:rPr>
          <w:rFonts w:hint="eastAsia" w:ascii="Times New Roman" w:hAnsi="Times New Roman" w:eastAsia="宋体" w:cs="仿宋"/>
          <w:color w:val="auto"/>
          <w:sz w:val="24"/>
          <w:szCs w:val="24"/>
          <w:highlight w:val="none"/>
          <w:lang w:val="en-US" w:eastAsia="zh-CN"/>
        </w:rPr>
        <w:t>3</w:t>
      </w:r>
      <w:r>
        <w:rPr>
          <w:rFonts w:hint="eastAsia" w:ascii="Times New Roman" w:hAnsi="Times New Roman" w:eastAsia="宋体" w:cs="仿宋"/>
          <w:color w:val="auto"/>
          <w:sz w:val="24"/>
          <w:szCs w:val="24"/>
          <w:highlight w:val="none"/>
        </w:rPr>
        <w:t>年相比人数变化见表</w:t>
      </w:r>
      <w:r>
        <w:rPr>
          <w:rFonts w:hint="eastAsia" w:ascii="Times New Roman" w:hAnsi="Times New Roman" w:eastAsia="宋体" w:cs="仿宋"/>
          <w:color w:val="auto"/>
          <w:sz w:val="24"/>
          <w:szCs w:val="24"/>
          <w:highlight w:val="none"/>
          <w:lang w:val="en-US" w:eastAsia="zh-CN"/>
        </w:rPr>
        <w:t>3</w:t>
      </w:r>
      <w:r>
        <w:rPr>
          <w:rFonts w:hint="eastAsia" w:ascii="Times New Roman" w:hAnsi="Times New Roman" w:eastAsia="宋体" w:cs="仿宋"/>
          <w:color w:val="auto"/>
          <w:sz w:val="24"/>
          <w:szCs w:val="24"/>
          <w:highlight w:val="none"/>
          <w:lang w:eastAsia="zh-CN"/>
        </w:rPr>
        <w:t>。</w:t>
      </w:r>
    </w:p>
    <w:p>
      <w:pPr>
        <w:pStyle w:val="8"/>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eastAsia" w:ascii="Times New Roman" w:hAnsi="Times New Roman" w:eastAsia="宋体" w:cs="宋体"/>
          <w:b/>
          <w:bCs/>
          <w:color w:val="auto"/>
          <w:sz w:val="21"/>
          <w:szCs w:val="21"/>
        </w:rPr>
      </w:pPr>
      <w:bookmarkStart w:id="105" w:name="_Toc14825"/>
      <w:bookmarkStart w:id="106" w:name="_Toc8101"/>
      <w:r>
        <w:rPr>
          <w:rFonts w:hint="eastAsia" w:ascii="Times New Roman" w:hAnsi="Times New Roman" w:eastAsia="宋体" w:cs="宋体"/>
          <w:b/>
          <w:bCs/>
          <w:color w:val="auto"/>
          <w:sz w:val="21"/>
          <w:szCs w:val="21"/>
        </w:rPr>
        <w:t>表</w:t>
      </w:r>
      <w:r>
        <w:rPr>
          <w:rFonts w:hint="eastAsia" w:ascii="Times New Roman" w:hAnsi="Times New Roman" w:eastAsia="宋体" w:cs="宋体"/>
          <w:b/>
          <w:bCs/>
          <w:color w:val="auto"/>
          <w:sz w:val="21"/>
          <w:szCs w:val="21"/>
        </w:rPr>
        <w:fldChar w:fldCharType="begin"/>
      </w:r>
      <w:r>
        <w:rPr>
          <w:rFonts w:hint="eastAsia" w:ascii="Times New Roman" w:hAnsi="Times New Roman" w:eastAsia="宋体" w:cs="宋体"/>
          <w:b/>
          <w:bCs/>
          <w:color w:val="auto"/>
          <w:sz w:val="21"/>
          <w:szCs w:val="21"/>
        </w:rPr>
        <w:instrText xml:space="preserve"> SEQ 表 \* ARABIC </w:instrText>
      </w:r>
      <w:r>
        <w:rPr>
          <w:rFonts w:hint="eastAsia" w:ascii="Times New Roman" w:hAnsi="Times New Roman" w:eastAsia="宋体" w:cs="宋体"/>
          <w:b/>
          <w:bCs/>
          <w:color w:val="auto"/>
          <w:sz w:val="21"/>
          <w:szCs w:val="21"/>
        </w:rPr>
        <w:fldChar w:fldCharType="separate"/>
      </w:r>
      <w:r>
        <w:rPr>
          <w:rFonts w:hint="eastAsia" w:ascii="Times New Roman" w:hAnsi="Times New Roman" w:eastAsia="宋体" w:cs="宋体"/>
          <w:b/>
          <w:bCs/>
          <w:color w:val="auto"/>
          <w:sz w:val="21"/>
          <w:szCs w:val="21"/>
        </w:rPr>
        <w:t>3</w:t>
      </w:r>
      <w:r>
        <w:rPr>
          <w:rFonts w:hint="eastAsia" w:ascii="Times New Roman" w:hAnsi="Times New Roman" w:eastAsia="宋体" w:cs="宋体"/>
          <w:b/>
          <w:bCs/>
          <w:color w:val="auto"/>
          <w:sz w:val="21"/>
          <w:szCs w:val="21"/>
        </w:rPr>
        <w:fldChar w:fldCharType="end"/>
      </w:r>
      <w:bookmarkStart w:id="107" w:name="_Toc12060"/>
      <w:r>
        <w:rPr>
          <w:rFonts w:hint="eastAsia" w:ascii="Times New Roman" w:hAnsi="Times New Roman" w:eastAsia="宋体" w:cs="宋体"/>
          <w:b/>
          <w:bCs/>
          <w:color w:val="auto"/>
          <w:sz w:val="21"/>
          <w:szCs w:val="21"/>
          <w:lang w:val="en-US" w:eastAsia="zh-CN"/>
        </w:rPr>
        <w:t xml:space="preserve">  </w:t>
      </w:r>
      <w:r>
        <w:rPr>
          <w:rFonts w:hint="eastAsia" w:ascii="Times New Roman" w:hAnsi="Times New Roman" w:eastAsia="宋体" w:cs="宋体"/>
          <w:b/>
          <w:bCs/>
          <w:color w:val="auto"/>
          <w:sz w:val="21"/>
          <w:szCs w:val="21"/>
        </w:rPr>
        <w:t>近两学年教师队伍人数变化统计表</w:t>
      </w:r>
      <w:bookmarkEnd w:id="105"/>
      <w:bookmarkEnd w:id="106"/>
      <w:bookmarkEnd w:id="107"/>
    </w:p>
    <w:tbl>
      <w:tblPr>
        <w:tblStyle w:val="31"/>
        <w:tblW w:w="8356" w:type="dxa"/>
        <w:jc w:val="center"/>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Layout w:type="fixed"/>
        <w:tblCellMar>
          <w:top w:w="0" w:type="dxa"/>
          <w:left w:w="108" w:type="dxa"/>
          <w:bottom w:w="0" w:type="dxa"/>
          <w:right w:w="108" w:type="dxa"/>
        </w:tblCellMar>
      </w:tblPr>
      <w:tblGrid>
        <w:gridCol w:w="1679"/>
        <w:gridCol w:w="1416"/>
        <w:gridCol w:w="1335"/>
        <w:gridCol w:w="1174"/>
        <w:gridCol w:w="1418"/>
        <w:gridCol w:w="1334"/>
      </w:tblGrid>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jc w:val="center"/>
        </w:trPr>
        <w:tc>
          <w:tcPr>
            <w:tcW w:w="1679"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学年</w:t>
            </w:r>
          </w:p>
        </w:tc>
        <w:tc>
          <w:tcPr>
            <w:tcW w:w="1416"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pStyle w:val="28"/>
              <w:keepNext w:val="0"/>
              <w:keepLines w:val="0"/>
              <w:pageBreakBefore w:val="0"/>
              <w:kinsoku/>
              <w:wordWrap/>
              <w:overflowPunct/>
              <w:topLinePunct w:val="0"/>
              <w:autoSpaceDE/>
              <w:autoSpaceDN/>
              <w:bidi w:val="0"/>
              <w:adjustRightInd/>
              <w:snapToGrid/>
              <w:spacing w:after="0"/>
              <w:ind w:firstLine="0" w:firstLineChars="0"/>
              <w:jc w:val="center"/>
              <w:textAlignment w:val="auto"/>
              <w:rPr>
                <w:rFonts w:hint="eastAsia" w:ascii="宋体" w:hAnsi="宋体" w:eastAsia="宋体" w:cs="宋体"/>
                <w:b/>
                <w:color w:val="000000"/>
                <w:sz w:val="18"/>
                <w:szCs w:val="18"/>
                <w:lang w:val="en-US" w:eastAsia="zh-CN"/>
              </w:rPr>
            </w:pPr>
            <w:r>
              <w:rPr>
                <w:rFonts w:hint="eastAsia" w:ascii="宋体" w:hAnsi="宋体" w:eastAsia="宋体" w:cs="宋体"/>
                <w:b/>
                <w:color w:val="000000"/>
                <w:sz w:val="18"/>
                <w:szCs w:val="18"/>
              </w:rPr>
              <w:t>教职工总数</w:t>
            </w:r>
            <w:r>
              <w:rPr>
                <w:rFonts w:hint="eastAsia" w:ascii="宋体" w:hAnsi="宋体" w:eastAsia="宋体" w:cs="宋体"/>
                <w:b/>
                <w:color w:val="000000"/>
                <w:sz w:val="18"/>
                <w:szCs w:val="18"/>
                <w:lang w:eastAsia="zh-CN"/>
              </w:rPr>
              <w:t>（</w:t>
            </w:r>
            <w:r>
              <w:rPr>
                <w:rFonts w:hint="eastAsia" w:ascii="宋体" w:hAnsi="宋体" w:eastAsia="宋体" w:cs="宋体"/>
                <w:b/>
                <w:color w:val="000000"/>
                <w:sz w:val="18"/>
                <w:szCs w:val="18"/>
                <w:lang w:val="en-US" w:eastAsia="zh-CN"/>
              </w:rPr>
              <w:t>人</w:t>
            </w:r>
            <w:r>
              <w:rPr>
                <w:rFonts w:hint="eastAsia" w:ascii="宋体" w:hAnsi="宋体" w:eastAsia="宋体" w:cs="宋体"/>
                <w:b/>
                <w:color w:val="000000"/>
                <w:sz w:val="18"/>
                <w:szCs w:val="18"/>
                <w:lang w:eastAsia="zh-CN"/>
              </w:rPr>
              <w:t>）</w:t>
            </w:r>
          </w:p>
        </w:tc>
        <w:tc>
          <w:tcPr>
            <w:tcW w:w="1335"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pStyle w:val="28"/>
              <w:keepNext w:val="0"/>
              <w:keepLines w:val="0"/>
              <w:pageBreakBefore w:val="0"/>
              <w:kinsoku/>
              <w:wordWrap/>
              <w:overflowPunct/>
              <w:topLinePunct w:val="0"/>
              <w:autoSpaceDE/>
              <w:autoSpaceDN/>
              <w:bidi w:val="0"/>
              <w:adjustRightInd/>
              <w:snapToGrid/>
              <w:spacing w:after="0"/>
              <w:ind w:firstLine="0" w:firstLineChars="0"/>
              <w:jc w:val="center"/>
              <w:textAlignment w:val="auto"/>
              <w:rPr>
                <w:rFonts w:hint="eastAsia" w:ascii="宋体" w:hAnsi="宋体" w:eastAsia="宋体" w:cs="宋体"/>
                <w:b/>
                <w:color w:val="000000"/>
                <w:sz w:val="18"/>
                <w:szCs w:val="18"/>
              </w:rPr>
            </w:pPr>
            <w:r>
              <w:rPr>
                <w:rFonts w:hint="eastAsia" w:ascii="宋体" w:hAnsi="宋体" w:eastAsia="宋体" w:cs="宋体"/>
                <w:b/>
                <w:color w:val="000000"/>
                <w:sz w:val="18"/>
                <w:szCs w:val="18"/>
              </w:rPr>
              <w:t>思想政治课专任教师数</w:t>
            </w:r>
            <w:r>
              <w:rPr>
                <w:rFonts w:hint="eastAsia" w:ascii="宋体" w:hAnsi="宋体" w:eastAsia="宋体" w:cs="宋体"/>
                <w:b/>
                <w:color w:val="000000"/>
                <w:sz w:val="18"/>
                <w:szCs w:val="18"/>
                <w:lang w:eastAsia="zh-CN"/>
              </w:rPr>
              <w:t>（</w:t>
            </w:r>
            <w:r>
              <w:rPr>
                <w:rFonts w:hint="eastAsia" w:ascii="宋体" w:hAnsi="宋体" w:eastAsia="宋体" w:cs="宋体"/>
                <w:b/>
                <w:color w:val="000000"/>
                <w:sz w:val="18"/>
                <w:szCs w:val="18"/>
                <w:lang w:val="en-US" w:eastAsia="zh-CN"/>
              </w:rPr>
              <w:t>人</w:t>
            </w:r>
            <w:r>
              <w:rPr>
                <w:rFonts w:hint="eastAsia" w:ascii="宋体" w:hAnsi="宋体" w:eastAsia="宋体" w:cs="宋体"/>
                <w:b/>
                <w:color w:val="000000"/>
                <w:sz w:val="18"/>
                <w:szCs w:val="18"/>
                <w:lang w:eastAsia="zh-CN"/>
              </w:rPr>
              <w:t>）</w:t>
            </w:r>
          </w:p>
        </w:tc>
        <w:tc>
          <w:tcPr>
            <w:tcW w:w="1174"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color w:val="000000"/>
                <w:sz w:val="18"/>
                <w:szCs w:val="18"/>
              </w:rPr>
            </w:pPr>
            <w:r>
              <w:rPr>
                <w:rFonts w:hint="eastAsia" w:ascii="宋体" w:hAnsi="宋体" w:eastAsia="宋体" w:cs="宋体"/>
                <w:b/>
                <w:color w:val="000000"/>
                <w:sz w:val="18"/>
                <w:szCs w:val="18"/>
                <w:lang w:val="en-US" w:eastAsia="zh-CN"/>
              </w:rPr>
              <w:t>班主任人</w:t>
            </w:r>
            <w:r>
              <w:rPr>
                <w:rFonts w:hint="eastAsia" w:ascii="宋体" w:hAnsi="宋体" w:eastAsia="宋体" w:cs="宋体"/>
                <w:b/>
                <w:color w:val="000000"/>
                <w:sz w:val="18"/>
                <w:szCs w:val="18"/>
              </w:rPr>
              <w:t>数</w:t>
            </w:r>
            <w:r>
              <w:rPr>
                <w:rFonts w:hint="eastAsia" w:ascii="宋体" w:hAnsi="宋体" w:eastAsia="宋体" w:cs="宋体"/>
                <w:b/>
                <w:color w:val="000000"/>
                <w:sz w:val="18"/>
                <w:szCs w:val="18"/>
                <w:lang w:eastAsia="zh-CN"/>
              </w:rPr>
              <w:t>（</w:t>
            </w:r>
            <w:r>
              <w:rPr>
                <w:rFonts w:hint="eastAsia" w:ascii="宋体" w:hAnsi="宋体" w:eastAsia="宋体" w:cs="宋体"/>
                <w:b/>
                <w:color w:val="000000"/>
                <w:sz w:val="18"/>
                <w:szCs w:val="18"/>
                <w:lang w:val="en-US" w:eastAsia="zh-CN"/>
              </w:rPr>
              <w:t>人</w:t>
            </w:r>
            <w:r>
              <w:rPr>
                <w:rFonts w:hint="eastAsia" w:ascii="宋体" w:hAnsi="宋体" w:eastAsia="宋体" w:cs="宋体"/>
                <w:b/>
                <w:color w:val="000000"/>
                <w:sz w:val="18"/>
                <w:szCs w:val="18"/>
                <w:lang w:eastAsia="zh-CN"/>
              </w:rPr>
              <w:t>）</w:t>
            </w:r>
          </w:p>
        </w:tc>
        <w:tc>
          <w:tcPr>
            <w:tcW w:w="1418"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color w:val="000000"/>
                <w:sz w:val="18"/>
                <w:szCs w:val="18"/>
              </w:rPr>
            </w:pPr>
            <w:r>
              <w:rPr>
                <w:rFonts w:hint="eastAsia" w:ascii="宋体" w:hAnsi="宋体" w:eastAsia="宋体" w:cs="宋体"/>
                <w:b/>
                <w:color w:val="000000"/>
                <w:sz w:val="18"/>
                <w:szCs w:val="18"/>
              </w:rPr>
              <w:t>体育课专任教师数</w:t>
            </w:r>
            <w:r>
              <w:rPr>
                <w:rFonts w:hint="eastAsia" w:ascii="宋体" w:hAnsi="宋体" w:eastAsia="宋体" w:cs="宋体"/>
                <w:b/>
                <w:color w:val="000000"/>
                <w:sz w:val="18"/>
                <w:szCs w:val="18"/>
                <w:lang w:eastAsia="zh-CN"/>
              </w:rPr>
              <w:t>（</w:t>
            </w:r>
            <w:r>
              <w:rPr>
                <w:rFonts w:hint="eastAsia" w:ascii="宋体" w:hAnsi="宋体" w:eastAsia="宋体" w:cs="宋体"/>
                <w:b/>
                <w:color w:val="000000"/>
                <w:sz w:val="18"/>
                <w:szCs w:val="18"/>
                <w:lang w:val="en-US" w:eastAsia="zh-CN"/>
              </w:rPr>
              <w:t>人</w:t>
            </w:r>
            <w:r>
              <w:rPr>
                <w:rFonts w:hint="eastAsia" w:ascii="宋体" w:hAnsi="宋体" w:eastAsia="宋体" w:cs="宋体"/>
                <w:b/>
                <w:color w:val="000000"/>
                <w:sz w:val="18"/>
                <w:szCs w:val="18"/>
                <w:lang w:eastAsia="zh-CN"/>
              </w:rPr>
              <w:t>）</w:t>
            </w:r>
          </w:p>
        </w:tc>
        <w:tc>
          <w:tcPr>
            <w:tcW w:w="1334"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color w:val="000000"/>
                <w:sz w:val="18"/>
                <w:szCs w:val="18"/>
              </w:rPr>
            </w:pPr>
            <w:r>
              <w:rPr>
                <w:rFonts w:hint="eastAsia" w:ascii="宋体" w:hAnsi="宋体" w:eastAsia="宋体" w:cs="宋体"/>
                <w:b/>
                <w:color w:val="000000"/>
                <w:sz w:val="18"/>
                <w:szCs w:val="18"/>
              </w:rPr>
              <w:t>美育课专任教师数</w:t>
            </w:r>
            <w:r>
              <w:rPr>
                <w:rFonts w:hint="eastAsia" w:ascii="宋体" w:hAnsi="宋体" w:eastAsia="宋体" w:cs="宋体"/>
                <w:b/>
                <w:color w:val="000000"/>
                <w:sz w:val="18"/>
                <w:szCs w:val="18"/>
                <w:lang w:eastAsia="zh-CN"/>
              </w:rPr>
              <w:t>（</w:t>
            </w:r>
            <w:r>
              <w:rPr>
                <w:rFonts w:hint="eastAsia" w:ascii="宋体" w:hAnsi="宋体" w:eastAsia="宋体" w:cs="宋体"/>
                <w:b/>
                <w:color w:val="000000"/>
                <w:sz w:val="18"/>
                <w:szCs w:val="18"/>
                <w:lang w:val="en-US" w:eastAsia="zh-CN"/>
              </w:rPr>
              <w:t>人</w:t>
            </w:r>
            <w:r>
              <w:rPr>
                <w:rFonts w:hint="eastAsia" w:ascii="宋体" w:hAnsi="宋体" w:eastAsia="宋体" w:cs="宋体"/>
                <w:b/>
                <w:color w:val="000000"/>
                <w:sz w:val="18"/>
                <w:szCs w:val="18"/>
                <w:lang w:eastAsia="zh-CN"/>
              </w:rPr>
              <w:t>）</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jc w:val="center"/>
        </w:trPr>
        <w:tc>
          <w:tcPr>
            <w:tcW w:w="1679"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val="0"/>
                <w:color w:val="000000"/>
                <w:kern w:val="0"/>
                <w:sz w:val="18"/>
                <w:szCs w:val="18"/>
                <w:lang w:val="en-US" w:eastAsia="zh-CN" w:bidi="ar"/>
              </w:rPr>
            </w:pPr>
            <w:r>
              <w:rPr>
                <w:rFonts w:hint="eastAsia" w:ascii="宋体" w:hAnsi="宋体" w:eastAsia="宋体" w:cs="宋体"/>
                <w:b w:val="0"/>
                <w:color w:val="000000"/>
                <w:kern w:val="0"/>
                <w:sz w:val="18"/>
                <w:szCs w:val="18"/>
                <w:lang w:bidi="ar"/>
              </w:rPr>
              <w:t>202</w:t>
            </w:r>
            <w:r>
              <w:rPr>
                <w:rFonts w:hint="eastAsia" w:ascii="宋体" w:hAnsi="宋体" w:eastAsia="宋体" w:cs="宋体"/>
                <w:b w:val="0"/>
                <w:color w:val="000000"/>
                <w:kern w:val="0"/>
                <w:sz w:val="18"/>
                <w:szCs w:val="18"/>
                <w:lang w:val="en-US" w:eastAsia="zh-CN" w:bidi="ar"/>
              </w:rPr>
              <w:t>2</w:t>
            </w:r>
            <w:r>
              <w:rPr>
                <w:rFonts w:hint="eastAsia" w:ascii="宋体" w:hAnsi="宋体" w:eastAsia="宋体" w:cs="宋体"/>
                <w:b w:val="0"/>
                <w:color w:val="000000"/>
                <w:kern w:val="0"/>
                <w:sz w:val="18"/>
                <w:szCs w:val="18"/>
                <w:lang w:bidi="ar"/>
              </w:rPr>
              <w:t>-202</w:t>
            </w:r>
            <w:r>
              <w:rPr>
                <w:rFonts w:hint="eastAsia" w:ascii="宋体" w:hAnsi="宋体" w:eastAsia="宋体" w:cs="宋体"/>
                <w:b w:val="0"/>
                <w:color w:val="000000"/>
                <w:kern w:val="0"/>
                <w:sz w:val="18"/>
                <w:szCs w:val="18"/>
                <w:lang w:val="en-US" w:eastAsia="zh-CN" w:bidi="ar"/>
              </w:rPr>
              <w:t>3</w:t>
            </w:r>
            <w:r>
              <w:rPr>
                <w:rFonts w:hint="eastAsia" w:ascii="宋体" w:hAnsi="宋体" w:eastAsia="宋体" w:cs="宋体"/>
                <w:b w:val="0"/>
                <w:color w:val="000000"/>
                <w:kern w:val="0"/>
                <w:sz w:val="18"/>
                <w:szCs w:val="18"/>
                <w:lang w:bidi="ar"/>
              </w:rPr>
              <w:t>学年</w:t>
            </w:r>
          </w:p>
        </w:tc>
        <w:tc>
          <w:tcPr>
            <w:tcW w:w="1416"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pStyle w:val="28"/>
              <w:keepNext w:val="0"/>
              <w:keepLines w:val="0"/>
              <w:pageBreakBefore w:val="0"/>
              <w:kinsoku/>
              <w:wordWrap/>
              <w:overflowPunct/>
              <w:topLinePunct w:val="0"/>
              <w:autoSpaceDE/>
              <w:autoSpaceDN/>
              <w:bidi w:val="0"/>
              <w:adjustRightInd/>
              <w:snapToGrid/>
              <w:spacing w:after="0"/>
              <w:ind w:firstLine="0" w:firstLineChars="0"/>
              <w:jc w:val="center"/>
              <w:textAlignment w:val="auto"/>
              <w:rPr>
                <w:rFonts w:hint="eastAsia" w:ascii="宋体" w:hAnsi="宋体" w:eastAsia="宋体" w:cs="宋体"/>
                <w:b w:val="0"/>
                <w:color w:val="000000"/>
                <w:kern w:val="2"/>
                <w:sz w:val="18"/>
                <w:szCs w:val="18"/>
                <w:lang w:val="en-US" w:eastAsia="zh-CN" w:bidi="ar-SA"/>
              </w:rPr>
            </w:pPr>
            <w:r>
              <w:rPr>
                <w:rFonts w:hint="eastAsia" w:ascii="宋体" w:hAnsi="宋体" w:eastAsia="宋体" w:cs="宋体"/>
                <w:b w:val="0"/>
                <w:color w:val="000000"/>
                <w:sz w:val="18"/>
                <w:szCs w:val="18"/>
                <w:lang w:val="en-US" w:eastAsia="zh-CN"/>
              </w:rPr>
              <w:t>1548</w:t>
            </w:r>
          </w:p>
        </w:tc>
        <w:tc>
          <w:tcPr>
            <w:tcW w:w="1335"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pStyle w:val="28"/>
              <w:keepNext w:val="0"/>
              <w:keepLines w:val="0"/>
              <w:pageBreakBefore w:val="0"/>
              <w:kinsoku/>
              <w:wordWrap/>
              <w:overflowPunct/>
              <w:topLinePunct w:val="0"/>
              <w:autoSpaceDE/>
              <w:autoSpaceDN/>
              <w:bidi w:val="0"/>
              <w:adjustRightInd/>
              <w:snapToGrid/>
              <w:spacing w:after="0"/>
              <w:ind w:firstLine="0" w:firstLineChars="0"/>
              <w:jc w:val="center"/>
              <w:textAlignment w:val="auto"/>
              <w:rPr>
                <w:rFonts w:hint="eastAsia" w:ascii="宋体" w:hAnsi="宋体" w:eastAsia="宋体" w:cs="宋体"/>
                <w:b w:val="0"/>
                <w:color w:val="000000"/>
                <w:kern w:val="2"/>
                <w:sz w:val="18"/>
                <w:szCs w:val="18"/>
                <w:lang w:val="en-US" w:eastAsia="zh-CN" w:bidi="ar-SA"/>
              </w:rPr>
            </w:pPr>
            <w:r>
              <w:rPr>
                <w:rFonts w:hint="eastAsia" w:ascii="宋体" w:hAnsi="宋体" w:eastAsia="宋体" w:cs="宋体"/>
                <w:b w:val="0"/>
                <w:color w:val="000000"/>
                <w:sz w:val="18"/>
                <w:szCs w:val="18"/>
                <w:lang w:val="en-US" w:eastAsia="zh-CN"/>
              </w:rPr>
              <w:t>82</w:t>
            </w:r>
          </w:p>
        </w:tc>
        <w:tc>
          <w:tcPr>
            <w:tcW w:w="1174"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pStyle w:val="28"/>
              <w:keepNext w:val="0"/>
              <w:keepLines w:val="0"/>
              <w:pageBreakBefore w:val="0"/>
              <w:kinsoku/>
              <w:wordWrap/>
              <w:overflowPunct/>
              <w:topLinePunct w:val="0"/>
              <w:autoSpaceDE/>
              <w:autoSpaceDN/>
              <w:bidi w:val="0"/>
              <w:adjustRightInd/>
              <w:snapToGrid/>
              <w:spacing w:after="0"/>
              <w:ind w:firstLine="0" w:firstLineChars="0"/>
              <w:jc w:val="center"/>
              <w:textAlignment w:val="auto"/>
              <w:rPr>
                <w:rFonts w:hint="eastAsia" w:ascii="宋体" w:hAnsi="宋体" w:eastAsia="宋体" w:cs="宋体"/>
                <w:b w:val="0"/>
                <w:color w:val="000000"/>
                <w:sz w:val="18"/>
                <w:szCs w:val="18"/>
                <w:lang w:val="en-US" w:eastAsia="zh-CN"/>
              </w:rPr>
            </w:pPr>
            <w:r>
              <w:rPr>
                <w:rFonts w:hint="eastAsia" w:ascii="宋体" w:hAnsi="宋体" w:eastAsia="宋体" w:cs="宋体"/>
                <w:b w:val="0"/>
                <w:color w:val="000000"/>
                <w:sz w:val="18"/>
                <w:szCs w:val="18"/>
                <w:lang w:val="en-US" w:eastAsia="zh-CN"/>
              </w:rPr>
              <w:t>433</w:t>
            </w:r>
          </w:p>
        </w:tc>
        <w:tc>
          <w:tcPr>
            <w:tcW w:w="1418"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pStyle w:val="28"/>
              <w:keepNext w:val="0"/>
              <w:keepLines w:val="0"/>
              <w:pageBreakBefore w:val="0"/>
              <w:kinsoku/>
              <w:wordWrap/>
              <w:overflowPunct/>
              <w:topLinePunct w:val="0"/>
              <w:autoSpaceDE/>
              <w:autoSpaceDN/>
              <w:bidi w:val="0"/>
              <w:adjustRightInd/>
              <w:snapToGrid/>
              <w:spacing w:after="0"/>
              <w:ind w:firstLine="0" w:firstLineChars="0"/>
              <w:jc w:val="center"/>
              <w:textAlignment w:val="auto"/>
              <w:rPr>
                <w:rFonts w:hint="eastAsia" w:ascii="宋体" w:hAnsi="宋体" w:eastAsia="宋体" w:cs="宋体"/>
                <w:b w:val="0"/>
                <w:color w:val="000000"/>
                <w:sz w:val="18"/>
                <w:szCs w:val="18"/>
                <w:lang w:val="en-US" w:eastAsia="zh-CN"/>
              </w:rPr>
            </w:pPr>
            <w:r>
              <w:rPr>
                <w:rFonts w:hint="eastAsia" w:ascii="宋体" w:hAnsi="宋体" w:eastAsia="宋体" w:cs="宋体"/>
                <w:b w:val="0"/>
                <w:color w:val="000000"/>
                <w:sz w:val="18"/>
                <w:szCs w:val="18"/>
                <w:lang w:val="en-US" w:eastAsia="zh-CN"/>
              </w:rPr>
              <w:t>95</w:t>
            </w:r>
          </w:p>
        </w:tc>
        <w:tc>
          <w:tcPr>
            <w:tcW w:w="1334"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pStyle w:val="28"/>
              <w:keepNext w:val="0"/>
              <w:keepLines w:val="0"/>
              <w:pageBreakBefore w:val="0"/>
              <w:kinsoku/>
              <w:wordWrap/>
              <w:overflowPunct/>
              <w:topLinePunct w:val="0"/>
              <w:autoSpaceDE/>
              <w:autoSpaceDN/>
              <w:bidi w:val="0"/>
              <w:adjustRightInd/>
              <w:snapToGrid/>
              <w:spacing w:after="0"/>
              <w:ind w:firstLine="0" w:firstLineChars="0"/>
              <w:jc w:val="center"/>
              <w:textAlignment w:val="auto"/>
              <w:rPr>
                <w:rFonts w:hint="eastAsia" w:ascii="宋体" w:hAnsi="宋体" w:eastAsia="宋体" w:cs="宋体"/>
                <w:b w:val="0"/>
                <w:color w:val="000000"/>
                <w:kern w:val="2"/>
                <w:sz w:val="18"/>
                <w:szCs w:val="18"/>
                <w:lang w:val="en-US" w:eastAsia="zh-CN" w:bidi="ar-SA"/>
              </w:rPr>
            </w:pPr>
            <w:r>
              <w:rPr>
                <w:rFonts w:hint="eastAsia" w:ascii="宋体" w:hAnsi="宋体" w:eastAsia="宋体" w:cs="宋体"/>
                <w:b w:val="0"/>
                <w:color w:val="000000"/>
                <w:sz w:val="18"/>
                <w:szCs w:val="18"/>
                <w:lang w:val="en-US" w:eastAsia="zh-CN"/>
              </w:rPr>
              <w:t>62</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jc w:val="center"/>
        </w:trPr>
        <w:tc>
          <w:tcPr>
            <w:tcW w:w="167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val="0"/>
                <w:color w:val="000000"/>
                <w:kern w:val="0"/>
                <w:sz w:val="18"/>
                <w:szCs w:val="18"/>
                <w:lang w:bidi="ar"/>
              </w:rPr>
            </w:pPr>
            <w:r>
              <w:rPr>
                <w:rFonts w:hint="eastAsia" w:ascii="宋体" w:hAnsi="宋体" w:eastAsia="宋体" w:cs="宋体"/>
                <w:b w:val="0"/>
                <w:color w:val="000000"/>
                <w:kern w:val="0"/>
                <w:sz w:val="18"/>
                <w:szCs w:val="18"/>
                <w:lang w:bidi="ar"/>
              </w:rPr>
              <w:t>202</w:t>
            </w:r>
            <w:r>
              <w:rPr>
                <w:rFonts w:hint="eastAsia" w:ascii="宋体" w:hAnsi="宋体" w:eastAsia="宋体" w:cs="宋体"/>
                <w:b w:val="0"/>
                <w:color w:val="000000"/>
                <w:kern w:val="0"/>
                <w:sz w:val="18"/>
                <w:szCs w:val="18"/>
                <w:lang w:val="en-US" w:eastAsia="zh-CN" w:bidi="ar"/>
              </w:rPr>
              <w:t>3</w:t>
            </w:r>
            <w:r>
              <w:rPr>
                <w:rFonts w:hint="eastAsia" w:ascii="宋体" w:hAnsi="宋体" w:eastAsia="宋体" w:cs="宋体"/>
                <w:b w:val="0"/>
                <w:color w:val="000000"/>
                <w:kern w:val="0"/>
                <w:sz w:val="18"/>
                <w:szCs w:val="18"/>
                <w:lang w:bidi="ar"/>
              </w:rPr>
              <w:t>-202</w:t>
            </w:r>
            <w:r>
              <w:rPr>
                <w:rFonts w:hint="eastAsia" w:ascii="宋体" w:hAnsi="宋体" w:eastAsia="宋体" w:cs="宋体"/>
                <w:b w:val="0"/>
                <w:color w:val="000000"/>
                <w:kern w:val="0"/>
                <w:sz w:val="18"/>
                <w:szCs w:val="18"/>
                <w:lang w:val="en-US" w:eastAsia="zh-CN" w:bidi="ar"/>
              </w:rPr>
              <w:t>4</w:t>
            </w:r>
            <w:r>
              <w:rPr>
                <w:rFonts w:hint="eastAsia" w:ascii="宋体" w:hAnsi="宋体" w:eastAsia="宋体" w:cs="宋体"/>
                <w:b w:val="0"/>
                <w:color w:val="000000"/>
                <w:kern w:val="0"/>
                <w:sz w:val="18"/>
                <w:szCs w:val="18"/>
                <w:lang w:bidi="ar"/>
              </w:rPr>
              <w:t>学年</w:t>
            </w:r>
          </w:p>
        </w:tc>
        <w:tc>
          <w:tcPr>
            <w:tcW w:w="1416"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pStyle w:val="28"/>
              <w:keepNext w:val="0"/>
              <w:keepLines w:val="0"/>
              <w:pageBreakBefore w:val="0"/>
              <w:kinsoku/>
              <w:wordWrap/>
              <w:overflowPunct/>
              <w:topLinePunct w:val="0"/>
              <w:autoSpaceDE/>
              <w:autoSpaceDN/>
              <w:bidi w:val="0"/>
              <w:adjustRightInd/>
              <w:snapToGrid/>
              <w:spacing w:after="0"/>
              <w:ind w:firstLine="0" w:firstLineChars="0"/>
              <w:jc w:val="center"/>
              <w:textAlignment w:val="auto"/>
              <w:rPr>
                <w:rFonts w:hint="eastAsia" w:ascii="宋体" w:hAnsi="宋体" w:eastAsia="宋体" w:cs="宋体"/>
                <w:b w:val="0"/>
                <w:color w:val="000000"/>
                <w:sz w:val="18"/>
                <w:szCs w:val="18"/>
                <w:lang w:val="en-US" w:eastAsia="zh-CN"/>
              </w:rPr>
            </w:pPr>
            <w:r>
              <w:rPr>
                <w:rFonts w:hint="eastAsia" w:ascii="宋体" w:hAnsi="宋体" w:eastAsia="宋体" w:cs="宋体"/>
                <w:b w:val="0"/>
                <w:color w:val="000000"/>
                <w:sz w:val="18"/>
                <w:szCs w:val="18"/>
                <w:lang w:val="en-US" w:eastAsia="zh-CN"/>
              </w:rPr>
              <w:t>1560</w:t>
            </w:r>
          </w:p>
        </w:tc>
        <w:tc>
          <w:tcPr>
            <w:tcW w:w="133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pStyle w:val="28"/>
              <w:keepNext w:val="0"/>
              <w:keepLines w:val="0"/>
              <w:pageBreakBefore w:val="0"/>
              <w:kinsoku/>
              <w:wordWrap/>
              <w:overflowPunct/>
              <w:topLinePunct w:val="0"/>
              <w:autoSpaceDE/>
              <w:autoSpaceDN/>
              <w:bidi w:val="0"/>
              <w:adjustRightInd/>
              <w:snapToGrid/>
              <w:spacing w:after="0"/>
              <w:ind w:firstLine="0" w:firstLineChars="0"/>
              <w:jc w:val="center"/>
              <w:textAlignment w:val="auto"/>
              <w:rPr>
                <w:rFonts w:hint="eastAsia" w:ascii="宋体" w:hAnsi="宋体" w:eastAsia="宋体" w:cs="宋体"/>
                <w:b w:val="0"/>
                <w:color w:val="000000"/>
                <w:sz w:val="18"/>
                <w:szCs w:val="18"/>
                <w:lang w:val="en-US" w:eastAsia="zh-CN"/>
              </w:rPr>
            </w:pPr>
            <w:r>
              <w:rPr>
                <w:rFonts w:hint="eastAsia" w:ascii="宋体" w:hAnsi="宋体" w:eastAsia="宋体" w:cs="宋体"/>
                <w:b w:val="0"/>
                <w:color w:val="000000"/>
                <w:sz w:val="18"/>
                <w:szCs w:val="18"/>
                <w:lang w:val="en-US" w:eastAsia="zh-CN"/>
              </w:rPr>
              <w:t>86</w:t>
            </w:r>
          </w:p>
        </w:tc>
        <w:tc>
          <w:tcPr>
            <w:tcW w:w="117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pStyle w:val="28"/>
              <w:keepNext w:val="0"/>
              <w:keepLines w:val="0"/>
              <w:pageBreakBefore w:val="0"/>
              <w:kinsoku/>
              <w:wordWrap/>
              <w:overflowPunct/>
              <w:topLinePunct w:val="0"/>
              <w:autoSpaceDE/>
              <w:autoSpaceDN/>
              <w:bidi w:val="0"/>
              <w:adjustRightInd/>
              <w:snapToGrid/>
              <w:spacing w:after="0"/>
              <w:ind w:firstLine="0" w:firstLineChars="0"/>
              <w:jc w:val="center"/>
              <w:textAlignment w:val="auto"/>
              <w:rPr>
                <w:rFonts w:hint="eastAsia" w:ascii="宋体" w:hAnsi="宋体" w:eastAsia="宋体" w:cs="宋体"/>
                <w:b w:val="0"/>
                <w:color w:val="000000"/>
                <w:sz w:val="18"/>
                <w:szCs w:val="18"/>
                <w:lang w:val="en-US" w:eastAsia="zh-CN"/>
              </w:rPr>
            </w:pPr>
            <w:r>
              <w:rPr>
                <w:rFonts w:hint="eastAsia" w:ascii="宋体" w:hAnsi="宋体" w:eastAsia="宋体" w:cs="宋体"/>
                <w:b w:val="0"/>
                <w:color w:val="000000"/>
                <w:sz w:val="18"/>
                <w:szCs w:val="18"/>
                <w:lang w:val="en-US" w:eastAsia="zh-CN"/>
              </w:rPr>
              <w:t>452</w:t>
            </w:r>
          </w:p>
        </w:tc>
        <w:tc>
          <w:tcPr>
            <w:tcW w:w="141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pStyle w:val="28"/>
              <w:keepNext w:val="0"/>
              <w:keepLines w:val="0"/>
              <w:pageBreakBefore w:val="0"/>
              <w:kinsoku/>
              <w:wordWrap/>
              <w:overflowPunct/>
              <w:topLinePunct w:val="0"/>
              <w:autoSpaceDE/>
              <w:autoSpaceDN/>
              <w:bidi w:val="0"/>
              <w:adjustRightInd/>
              <w:snapToGrid/>
              <w:spacing w:after="0"/>
              <w:ind w:firstLine="0" w:firstLineChars="0"/>
              <w:jc w:val="center"/>
              <w:textAlignment w:val="auto"/>
              <w:rPr>
                <w:rFonts w:hint="eastAsia" w:ascii="宋体" w:hAnsi="宋体" w:eastAsia="宋体" w:cs="宋体"/>
                <w:b w:val="0"/>
                <w:color w:val="000000"/>
                <w:sz w:val="18"/>
                <w:szCs w:val="18"/>
                <w:lang w:val="en-US" w:eastAsia="zh-CN"/>
              </w:rPr>
            </w:pPr>
            <w:r>
              <w:rPr>
                <w:rFonts w:hint="eastAsia" w:ascii="宋体" w:hAnsi="宋体" w:eastAsia="宋体" w:cs="宋体"/>
                <w:b w:val="0"/>
                <w:color w:val="000000"/>
                <w:sz w:val="18"/>
                <w:szCs w:val="18"/>
                <w:lang w:val="en-US" w:eastAsia="zh-CN"/>
              </w:rPr>
              <w:t>96</w:t>
            </w:r>
          </w:p>
        </w:tc>
        <w:tc>
          <w:tcPr>
            <w:tcW w:w="133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pStyle w:val="28"/>
              <w:keepNext w:val="0"/>
              <w:keepLines w:val="0"/>
              <w:pageBreakBefore w:val="0"/>
              <w:kinsoku/>
              <w:wordWrap/>
              <w:overflowPunct/>
              <w:topLinePunct w:val="0"/>
              <w:autoSpaceDE/>
              <w:autoSpaceDN/>
              <w:bidi w:val="0"/>
              <w:adjustRightInd/>
              <w:snapToGrid/>
              <w:spacing w:after="0"/>
              <w:ind w:firstLine="0" w:firstLineChars="0"/>
              <w:jc w:val="center"/>
              <w:textAlignment w:val="auto"/>
              <w:rPr>
                <w:rFonts w:hint="eastAsia" w:ascii="宋体" w:hAnsi="宋体" w:eastAsia="宋体" w:cs="宋体"/>
                <w:b w:val="0"/>
                <w:color w:val="000000"/>
                <w:sz w:val="18"/>
                <w:szCs w:val="18"/>
                <w:lang w:val="en-US" w:eastAsia="zh-CN"/>
              </w:rPr>
            </w:pPr>
            <w:r>
              <w:rPr>
                <w:rFonts w:hint="eastAsia" w:ascii="宋体" w:hAnsi="宋体" w:eastAsia="宋体" w:cs="宋体"/>
                <w:b w:val="0"/>
                <w:color w:val="000000"/>
                <w:sz w:val="18"/>
                <w:szCs w:val="18"/>
                <w:lang w:val="en-US" w:eastAsia="zh-CN"/>
              </w:rPr>
              <w:t>64</w:t>
            </w:r>
          </w:p>
        </w:tc>
      </w:tr>
    </w:tbl>
    <w:p>
      <w:pPr>
        <w:pStyle w:val="28"/>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textAlignment w:val="auto"/>
        <w:rPr>
          <w:rFonts w:hint="default" w:ascii="宋体" w:hAnsi="宋体" w:eastAsia="宋体" w:cs="宋体"/>
          <w:color w:val="FF0000"/>
          <w:kern w:val="0"/>
          <w:sz w:val="24"/>
          <w:szCs w:val="24"/>
          <w:lang w:bidi="ar"/>
        </w:rPr>
      </w:pPr>
    </w:p>
    <w:p>
      <w:pPr>
        <w:spacing w:line="560" w:lineRule="exact"/>
        <w:ind w:firstLine="480" w:firstLineChars="200"/>
        <w:rPr>
          <w:rFonts w:hint="eastAsia" w:ascii="Times New Roman" w:hAnsi="Times New Roman" w:eastAsia="宋体" w:cs="仿宋"/>
          <w:color w:val="auto"/>
          <w:sz w:val="24"/>
          <w:szCs w:val="24"/>
          <w:highlight w:val="none"/>
        </w:rPr>
      </w:pPr>
      <w:r>
        <w:rPr>
          <w:rFonts w:hint="eastAsia" w:ascii="Times New Roman" w:hAnsi="Times New Roman" w:eastAsia="宋体" w:cs="仿宋"/>
          <w:color w:val="auto"/>
          <w:sz w:val="24"/>
          <w:szCs w:val="24"/>
          <w:highlight w:val="none"/>
        </w:rPr>
        <w:t>202</w:t>
      </w:r>
      <w:r>
        <w:rPr>
          <w:rFonts w:hint="eastAsia" w:ascii="Times New Roman" w:hAnsi="Times New Roman" w:eastAsia="宋体" w:cs="仿宋"/>
          <w:color w:val="auto"/>
          <w:sz w:val="24"/>
          <w:szCs w:val="24"/>
          <w:highlight w:val="none"/>
          <w:lang w:val="en-US" w:eastAsia="zh-CN"/>
        </w:rPr>
        <w:t>4</w:t>
      </w:r>
      <w:r>
        <w:rPr>
          <w:rFonts w:hint="eastAsia" w:ascii="Times New Roman" w:hAnsi="Times New Roman" w:eastAsia="宋体" w:cs="仿宋"/>
          <w:color w:val="auto"/>
          <w:sz w:val="24"/>
          <w:szCs w:val="24"/>
          <w:highlight w:val="none"/>
        </w:rPr>
        <w:t>年，遂宁市中等职业学校专任教师总数</w:t>
      </w:r>
      <w:r>
        <w:rPr>
          <w:rFonts w:hint="eastAsia" w:ascii="Times New Roman" w:hAnsi="Times New Roman" w:eastAsia="宋体" w:cs="仿宋"/>
          <w:color w:val="auto"/>
          <w:sz w:val="24"/>
          <w:szCs w:val="24"/>
          <w:highlight w:val="none"/>
          <w:lang w:val="en-US" w:eastAsia="zh-CN"/>
        </w:rPr>
        <w:t>1464</w:t>
      </w:r>
      <w:r>
        <w:rPr>
          <w:rFonts w:hint="eastAsia" w:ascii="Times New Roman" w:hAnsi="Times New Roman" w:eastAsia="宋体" w:cs="仿宋"/>
          <w:color w:val="auto"/>
          <w:sz w:val="24"/>
          <w:szCs w:val="24"/>
          <w:highlight w:val="none"/>
        </w:rPr>
        <w:t>人，专业课教师</w:t>
      </w:r>
      <w:r>
        <w:rPr>
          <w:rFonts w:hint="eastAsia" w:ascii="Times New Roman" w:hAnsi="Times New Roman" w:eastAsia="宋体" w:cs="仿宋"/>
          <w:color w:val="auto"/>
          <w:sz w:val="24"/>
          <w:szCs w:val="24"/>
          <w:highlight w:val="none"/>
          <w:lang w:val="en-US" w:eastAsia="zh-CN"/>
        </w:rPr>
        <w:t>878</w:t>
      </w:r>
      <w:r>
        <w:rPr>
          <w:rFonts w:hint="eastAsia" w:ascii="Times New Roman" w:hAnsi="Times New Roman" w:eastAsia="宋体" w:cs="仿宋"/>
          <w:color w:val="auto"/>
          <w:sz w:val="24"/>
          <w:szCs w:val="24"/>
          <w:highlight w:val="none"/>
        </w:rPr>
        <w:t>人，占专任教师数的</w:t>
      </w:r>
      <w:r>
        <w:rPr>
          <w:rFonts w:hint="eastAsia" w:ascii="Times New Roman" w:hAnsi="Times New Roman" w:eastAsia="宋体" w:cs="仿宋"/>
          <w:color w:val="auto"/>
          <w:sz w:val="24"/>
          <w:szCs w:val="24"/>
          <w:highlight w:val="none"/>
          <w:lang w:val="en-US" w:eastAsia="zh-CN"/>
        </w:rPr>
        <w:t>59.97</w:t>
      </w:r>
      <w:r>
        <w:rPr>
          <w:rFonts w:hint="eastAsia" w:ascii="Times New Roman" w:hAnsi="Times New Roman" w:eastAsia="宋体" w:cs="仿宋"/>
          <w:color w:val="auto"/>
          <w:sz w:val="24"/>
          <w:szCs w:val="24"/>
          <w:highlight w:val="none"/>
        </w:rPr>
        <w:t>%；兼职教师</w:t>
      </w:r>
      <w:r>
        <w:rPr>
          <w:rFonts w:hint="eastAsia" w:ascii="Times New Roman" w:hAnsi="Times New Roman" w:eastAsia="宋体" w:cs="仿宋"/>
          <w:color w:val="auto"/>
          <w:sz w:val="24"/>
          <w:szCs w:val="24"/>
          <w:highlight w:val="none"/>
          <w:lang w:val="en-US" w:eastAsia="zh-CN"/>
        </w:rPr>
        <w:t>147</w:t>
      </w:r>
      <w:r>
        <w:rPr>
          <w:rFonts w:hint="eastAsia" w:ascii="Times New Roman" w:hAnsi="Times New Roman" w:eastAsia="宋体" w:cs="仿宋"/>
          <w:color w:val="auto"/>
          <w:sz w:val="24"/>
          <w:szCs w:val="24"/>
          <w:highlight w:val="none"/>
        </w:rPr>
        <w:t>人，占专任教师数的</w:t>
      </w:r>
      <w:r>
        <w:rPr>
          <w:rFonts w:hint="eastAsia" w:ascii="Times New Roman" w:hAnsi="Times New Roman" w:eastAsia="宋体" w:cs="仿宋"/>
          <w:color w:val="auto"/>
          <w:sz w:val="24"/>
          <w:szCs w:val="24"/>
          <w:highlight w:val="none"/>
          <w:lang w:val="en-US" w:eastAsia="zh-CN"/>
        </w:rPr>
        <w:t>10.04</w:t>
      </w:r>
      <w:r>
        <w:rPr>
          <w:rFonts w:hint="eastAsia" w:ascii="Times New Roman" w:hAnsi="Times New Roman" w:eastAsia="宋体" w:cs="仿宋"/>
          <w:color w:val="auto"/>
          <w:sz w:val="24"/>
          <w:szCs w:val="24"/>
          <w:highlight w:val="none"/>
        </w:rPr>
        <w:t>%；“双师型”教师</w:t>
      </w:r>
      <w:r>
        <w:rPr>
          <w:rFonts w:hint="eastAsia" w:ascii="Times New Roman" w:hAnsi="Times New Roman" w:eastAsia="宋体" w:cs="仿宋"/>
          <w:color w:val="auto"/>
          <w:sz w:val="24"/>
          <w:szCs w:val="24"/>
          <w:highlight w:val="none"/>
          <w:lang w:val="en-US" w:eastAsia="zh-CN"/>
        </w:rPr>
        <w:t>540</w:t>
      </w:r>
      <w:r>
        <w:rPr>
          <w:rFonts w:hint="eastAsia" w:ascii="Times New Roman" w:hAnsi="Times New Roman" w:eastAsia="宋体" w:cs="仿宋"/>
          <w:color w:val="auto"/>
          <w:sz w:val="24"/>
          <w:szCs w:val="24"/>
          <w:highlight w:val="none"/>
        </w:rPr>
        <w:t>人，占专业</w:t>
      </w:r>
      <w:r>
        <w:rPr>
          <w:rFonts w:hint="eastAsia" w:ascii="Times New Roman" w:hAnsi="Times New Roman" w:eastAsia="宋体" w:cs="仿宋"/>
          <w:color w:val="auto"/>
          <w:sz w:val="24"/>
          <w:szCs w:val="24"/>
          <w:highlight w:val="none"/>
          <w:lang w:eastAsia="zh-CN"/>
        </w:rPr>
        <w:t>课</w:t>
      </w:r>
      <w:r>
        <w:rPr>
          <w:rFonts w:hint="eastAsia" w:ascii="Times New Roman" w:hAnsi="Times New Roman" w:eastAsia="宋体" w:cs="仿宋"/>
          <w:color w:val="auto"/>
          <w:sz w:val="24"/>
          <w:szCs w:val="24"/>
          <w:highlight w:val="none"/>
        </w:rPr>
        <w:t>教师总数</w:t>
      </w:r>
      <w:r>
        <w:rPr>
          <w:rFonts w:hint="eastAsia" w:ascii="Times New Roman" w:hAnsi="Times New Roman" w:eastAsia="宋体" w:cs="仿宋"/>
          <w:color w:val="auto"/>
          <w:sz w:val="24"/>
          <w:szCs w:val="24"/>
          <w:highlight w:val="none"/>
          <w:lang w:val="en-US" w:eastAsia="zh-CN"/>
        </w:rPr>
        <w:t>61.50</w:t>
      </w:r>
      <w:r>
        <w:rPr>
          <w:rFonts w:hint="eastAsia" w:ascii="Times New Roman" w:hAnsi="Times New Roman" w:eastAsia="宋体" w:cs="仿宋"/>
          <w:color w:val="auto"/>
          <w:sz w:val="24"/>
          <w:szCs w:val="24"/>
          <w:highlight w:val="none"/>
        </w:rPr>
        <w:t>%，生师比为</w:t>
      </w:r>
      <w:r>
        <w:rPr>
          <w:rFonts w:hint="eastAsia" w:ascii="Times New Roman" w:hAnsi="Times New Roman" w:eastAsia="宋体" w:cs="仿宋"/>
          <w:color w:val="auto"/>
          <w:sz w:val="24"/>
          <w:szCs w:val="24"/>
          <w:highlight w:val="none"/>
          <w:lang w:val="en-US" w:eastAsia="zh-CN"/>
        </w:rPr>
        <w:t>14.91:1</w:t>
      </w:r>
      <w:r>
        <w:rPr>
          <w:rFonts w:hint="eastAsia" w:ascii="Times New Roman" w:hAnsi="Times New Roman" w:eastAsia="宋体" w:cs="仿宋"/>
          <w:color w:val="auto"/>
          <w:sz w:val="24"/>
          <w:szCs w:val="24"/>
          <w:highlight w:val="none"/>
        </w:rPr>
        <w:t>。近两学年遂宁市中等职业学校师资队伍总体结构见表</w:t>
      </w:r>
      <w:r>
        <w:rPr>
          <w:rFonts w:hint="eastAsia" w:ascii="Times New Roman" w:hAnsi="Times New Roman" w:eastAsia="宋体" w:cs="仿宋"/>
          <w:color w:val="auto"/>
          <w:sz w:val="24"/>
          <w:szCs w:val="24"/>
          <w:highlight w:val="none"/>
          <w:lang w:val="en-US" w:eastAsia="zh-CN"/>
        </w:rPr>
        <w:t>4</w:t>
      </w:r>
      <w:r>
        <w:rPr>
          <w:rFonts w:hint="eastAsia" w:ascii="Times New Roman" w:hAnsi="Times New Roman" w:eastAsia="宋体" w:cs="仿宋"/>
          <w:color w:val="auto"/>
          <w:sz w:val="24"/>
          <w:szCs w:val="24"/>
          <w:highlight w:val="none"/>
        </w:rPr>
        <w:t>。</w:t>
      </w:r>
    </w:p>
    <w:p>
      <w:pPr>
        <w:pStyle w:val="8"/>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color w:val="FF0000"/>
        </w:rPr>
      </w:pPr>
      <w:bookmarkStart w:id="108" w:name="_Toc28163"/>
      <w:bookmarkStart w:id="109" w:name="_Toc22232"/>
      <w:r>
        <w:rPr>
          <w:rFonts w:hint="eastAsia" w:ascii="Times New Roman" w:hAnsi="Times New Roman" w:eastAsia="宋体" w:cs="宋体"/>
          <w:b/>
          <w:bCs/>
          <w:color w:val="auto"/>
          <w:sz w:val="21"/>
          <w:szCs w:val="21"/>
        </w:rPr>
        <w:t>表</w:t>
      </w:r>
      <w:r>
        <w:rPr>
          <w:rFonts w:hint="eastAsia" w:ascii="Times New Roman" w:hAnsi="Times New Roman" w:eastAsia="宋体" w:cs="宋体"/>
          <w:b/>
          <w:bCs/>
          <w:color w:val="auto"/>
          <w:sz w:val="21"/>
          <w:szCs w:val="21"/>
        </w:rPr>
        <w:fldChar w:fldCharType="begin"/>
      </w:r>
      <w:r>
        <w:rPr>
          <w:rFonts w:hint="eastAsia" w:ascii="Times New Roman" w:hAnsi="Times New Roman" w:eastAsia="宋体" w:cs="宋体"/>
          <w:b/>
          <w:bCs/>
          <w:color w:val="auto"/>
          <w:sz w:val="21"/>
          <w:szCs w:val="21"/>
        </w:rPr>
        <w:instrText xml:space="preserve"> SEQ 表 \* ARABIC </w:instrText>
      </w:r>
      <w:r>
        <w:rPr>
          <w:rFonts w:hint="eastAsia" w:ascii="Times New Roman" w:hAnsi="Times New Roman" w:eastAsia="宋体" w:cs="宋体"/>
          <w:b/>
          <w:bCs/>
          <w:color w:val="auto"/>
          <w:sz w:val="21"/>
          <w:szCs w:val="21"/>
        </w:rPr>
        <w:fldChar w:fldCharType="separate"/>
      </w:r>
      <w:r>
        <w:rPr>
          <w:rFonts w:hint="eastAsia" w:ascii="Times New Roman" w:hAnsi="Times New Roman" w:eastAsia="宋体" w:cs="宋体"/>
          <w:b/>
          <w:bCs/>
          <w:color w:val="auto"/>
          <w:sz w:val="21"/>
          <w:szCs w:val="21"/>
        </w:rPr>
        <w:t>4</w:t>
      </w:r>
      <w:r>
        <w:rPr>
          <w:rFonts w:hint="eastAsia" w:ascii="Times New Roman" w:hAnsi="Times New Roman" w:eastAsia="宋体" w:cs="宋体"/>
          <w:b/>
          <w:bCs/>
          <w:color w:val="auto"/>
          <w:sz w:val="21"/>
          <w:szCs w:val="21"/>
        </w:rPr>
        <w:fldChar w:fldCharType="end"/>
      </w:r>
      <w:bookmarkStart w:id="110" w:name="_Toc7094"/>
      <w:r>
        <w:rPr>
          <w:rFonts w:hint="eastAsia" w:ascii="Times New Roman" w:hAnsi="Times New Roman" w:eastAsia="宋体" w:cs="宋体"/>
          <w:b/>
          <w:bCs/>
          <w:color w:val="auto"/>
          <w:sz w:val="21"/>
          <w:szCs w:val="21"/>
          <w:lang w:val="en-US" w:eastAsia="zh-CN"/>
        </w:rPr>
        <w:t xml:space="preserve">  近两年</w:t>
      </w:r>
      <w:r>
        <w:rPr>
          <w:rFonts w:hint="eastAsia" w:ascii="Times New Roman" w:hAnsi="Times New Roman" w:eastAsia="宋体" w:cs="宋体"/>
          <w:b/>
          <w:bCs/>
          <w:color w:val="auto"/>
          <w:sz w:val="21"/>
          <w:szCs w:val="21"/>
        </w:rPr>
        <w:t>师资队伍总体结构</w:t>
      </w:r>
      <w:bookmarkEnd w:id="108"/>
      <w:bookmarkEnd w:id="109"/>
      <w:bookmarkEnd w:id="110"/>
    </w:p>
    <w:tbl>
      <w:tblPr>
        <w:tblStyle w:val="80"/>
        <w:tblW w:w="4896" w:type="pct"/>
        <w:jc w:val="center"/>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Layout w:type="fixed"/>
        <w:tblCellMar>
          <w:top w:w="0" w:type="dxa"/>
          <w:left w:w="108" w:type="dxa"/>
          <w:bottom w:w="0" w:type="dxa"/>
          <w:right w:w="108" w:type="dxa"/>
        </w:tblCellMar>
      </w:tblPr>
      <w:tblGrid>
        <w:gridCol w:w="856"/>
        <w:gridCol w:w="887"/>
        <w:gridCol w:w="867"/>
        <w:gridCol w:w="870"/>
        <w:gridCol w:w="1012"/>
        <w:gridCol w:w="837"/>
        <w:gridCol w:w="1089"/>
        <w:gridCol w:w="837"/>
        <w:gridCol w:w="1090"/>
      </w:tblGrid>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469" w:hRule="exact"/>
          <w:jc w:val="center"/>
        </w:trPr>
        <w:tc>
          <w:tcPr>
            <w:tcW w:w="856" w:type="dxa"/>
            <w:vMerge w:val="restart"/>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宋体"/>
                <w:b/>
                <w:bCs/>
                <w:color w:val="000000"/>
                <w:sz w:val="18"/>
                <w:szCs w:val="18"/>
              </w:rPr>
            </w:pPr>
            <w:r>
              <w:rPr>
                <w:rFonts w:hint="eastAsia" w:ascii="Times New Roman" w:hAnsi="Times New Roman" w:eastAsia="宋体" w:cs="宋体"/>
                <w:b/>
                <w:bCs w:val="0"/>
                <w:color w:val="000000"/>
                <w:sz w:val="18"/>
                <w:szCs w:val="18"/>
              </w:rPr>
              <w:t>学年</w:t>
            </w:r>
          </w:p>
        </w:tc>
        <w:tc>
          <w:tcPr>
            <w:tcW w:w="887" w:type="dxa"/>
            <w:vMerge w:val="restart"/>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宋体"/>
                <w:b/>
                <w:bCs/>
                <w:color w:val="000000"/>
                <w:sz w:val="18"/>
                <w:szCs w:val="18"/>
              </w:rPr>
            </w:pPr>
            <w:r>
              <w:rPr>
                <w:rFonts w:hint="eastAsia" w:ascii="Times New Roman" w:hAnsi="Times New Roman" w:eastAsia="宋体" w:cs="宋体"/>
                <w:b/>
                <w:bCs w:val="0"/>
                <w:color w:val="000000"/>
                <w:sz w:val="18"/>
                <w:szCs w:val="18"/>
              </w:rPr>
              <w:t>专任</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宋体"/>
                <w:b/>
                <w:bCs/>
                <w:color w:val="000000"/>
                <w:sz w:val="18"/>
                <w:szCs w:val="18"/>
              </w:rPr>
            </w:pPr>
            <w:r>
              <w:rPr>
                <w:rFonts w:hint="eastAsia" w:ascii="Times New Roman" w:hAnsi="Times New Roman" w:eastAsia="宋体" w:cs="宋体"/>
                <w:b/>
                <w:bCs w:val="0"/>
                <w:color w:val="000000"/>
                <w:sz w:val="18"/>
                <w:szCs w:val="18"/>
              </w:rPr>
              <w:t>教师数</w:t>
            </w:r>
            <w:r>
              <w:rPr>
                <w:rFonts w:hint="eastAsia" w:ascii="宋体" w:hAnsi="宋体" w:eastAsia="宋体" w:cs="宋体"/>
                <w:b/>
                <w:color w:val="000000"/>
                <w:sz w:val="18"/>
                <w:szCs w:val="18"/>
                <w:lang w:eastAsia="zh-CN"/>
              </w:rPr>
              <w:t>（</w:t>
            </w:r>
            <w:r>
              <w:rPr>
                <w:rFonts w:hint="eastAsia" w:ascii="宋体" w:hAnsi="宋体" w:eastAsia="宋体" w:cs="宋体"/>
                <w:b/>
                <w:color w:val="000000"/>
                <w:sz w:val="18"/>
                <w:szCs w:val="18"/>
                <w:lang w:val="en-US" w:eastAsia="zh-CN"/>
              </w:rPr>
              <w:t>人</w:t>
            </w:r>
            <w:r>
              <w:rPr>
                <w:rFonts w:hint="eastAsia" w:ascii="宋体" w:hAnsi="宋体" w:eastAsia="宋体" w:cs="宋体"/>
                <w:b/>
                <w:color w:val="000000"/>
                <w:sz w:val="18"/>
                <w:szCs w:val="18"/>
                <w:lang w:eastAsia="zh-CN"/>
              </w:rPr>
              <w:t>）</w:t>
            </w:r>
          </w:p>
        </w:tc>
        <w:tc>
          <w:tcPr>
            <w:tcW w:w="867" w:type="dxa"/>
            <w:vMerge w:val="restart"/>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宋体"/>
                <w:b/>
                <w:bCs/>
                <w:color w:val="000000"/>
                <w:sz w:val="18"/>
                <w:szCs w:val="18"/>
              </w:rPr>
            </w:pPr>
            <w:r>
              <w:rPr>
                <w:rFonts w:hint="eastAsia" w:ascii="Times New Roman" w:hAnsi="Times New Roman" w:eastAsia="宋体" w:cs="宋体"/>
                <w:b/>
                <w:bCs w:val="0"/>
                <w:color w:val="000000"/>
                <w:sz w:val="18"/>
                <w:szCs w:val="18"/>
              </w:rPr>
              <w:t>生师比</w:t>
            </w:r>
          </w:p>
        </w:tc>
        <w:tc>
          <w:tcPr>
            <w:tcW w:w="870" w:type="dxa"/>
            <w:vMerge w:val="restart"/>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val="0"/>
              <w:kinsoku/>
              <w:wordWrap/>
              <w:overflowPunct/>
              <w:topLinePunct w:val="0"/>
              <w:autoSpaceDE/>
              <w:autoSpaceDN/>
              <w:bidi w:val="0"/>
              <w:adjustRightInd/>
              <w:snapToGrid/>
              <w:spacing w:line="320" w:lineRule="exact"/>
              <w:ind w:left="105"/>
              <w:jc w:val="center"/>
              <w:textAlignment w:val="auto"/>
              <w:rPr>
                <w:rFonts w:ascii="Times New Roman" w:hAnsi="Times New Roman" w:eastAsia="宋体" w:cs="宋体"/>
                <w:b/>
                <w:bCs/>
                <w:color w:val="000000"/>
                <w:sz w:val="18"/>
                <w:szCs w:val="18"/>
              </w:rPr>
            </w:pPr>
            <w:r>
              <w:rPr>
                <w:rFonts w:hint="eastAsia" w:ascii="Times New Roman" w:hAnsi="Times New Roman" w:eastAsia="宋体" w:cs="宋体"/>
                <w:b/>
                <w:bCs w:val="0"/>
                <w:color w:val="000000"/>
                <w:sz w:val="18"/>
                <w:szCs w:val="18"/>
              </w:rPr>
              <w:t>兼职教师数</w:t>
            </w:r>
            <w:r>
              <w:rPr>
                <w:rFonts w:hint="eastAsia" w:ascii="宋体" w:hAnsi="宋体" w:eastAsia="宋体" w:cs="宋体"/>
                <w:b/>
                <w:color w:val="000000"/>
                <w:sz w:val="18"/>
                <w:szCs w:val="18"/>
                <w:lang w:eastAsia="zh-CN"/>
              </w:rPr>
              <w:t>（</w:t>
            </w:r>
            <w:r>
              <w:rPr>
                <w:rFonts w:hint="eastAsia" w:ascii="宋体" w:hAnsi="宋体" w:eastAsia="宋体" w:cs="宋体"/>
                <w:b/>
                <w:color w:val="000000"/>
                <w:sz w:val="18"/>
                <w:szCs w:val="18"/>
                <w:lang w:val="en-US" w:eastAsia="zh-CN"/>
              </w:rPr>
              <w:t>人</w:t>
            </w:r>
            <w:r>
              <w:rPr>
                <w:rFonts w:hint="eastAsia" w:ascii="宋体" w:hAnsi="宋体" w:eastAsia="宋体" w:cs="宋体"/>
                <w:b/>
                <w:color w:val="000000"/>
                <w:sz w:val="18"/>
                <w:szCs w:val="18"/>
                <w:lang w:eastAsia="zh-CN"/>
              </w:rPr>
              <w:t>）</w:t>
            </w:r>
          </w:p>
        </w:tc>
        <w:tc>
          <w:tcPr>
            <w:tcW w:w="1012" w:type="dxa"/>
            <w:vMerge w:val="restart"/>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宋体"/>
                <w:b/>
                <w:bCs/>
                <w:color w:val="000000"/>
                <w:sz w:val="18"/>
                <w:szCs w:val="18"/>
              </w:rPr>
            </w:pPr>
            <w:r>
              <w:rPr>
                <w:rFonts w:hint="eastAsia" w:ascii="Times New Roman" w:hAnsi="Times New Roman" w:eastAsia="宋体" w:cs="宋体"/>
                <w:b/>
                <w:bCs w:val="0"/>
                <w:color w:val="000000"/>
                <w:sz w:val="18"/>
                <w:szCs w:val="18"/>
              </w:rPr>
              <w:t>兼职教师</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bCs/>
                <w:color w:val="000000"/>
                <w:sz w:val="18"/>
                <w:szCs w:val="18"/>
                <w:lang w:eastAsia="zh-CN"/>
              </w:rPr>
            </w:pPr>
            <w:r>
              <w:rPr>
                <w:rFonts w:hint="eastAsia" w:ascii="Times New Roman" w:hAnsi="Times New Roman" w:eastAsia="宋体" w:cs="宋体"/>
                <w:b/>
                <w:bCs w:val="0"/>
                <w:color w:val="000000"/>
                <w:sz w:val="18"/>
                <w:szCs w:val="18"/>
              </w:rPr>
              <w:t>占比</w:t>
            </w:r>
          </w:p>
        </w:tc>
        <w:tc>
          <w:tcPr>
            <w:tcW w:w="1926" w:type="dxa"/>
            <w:gridSpan w:val="2"/>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宋体"/>
                <w:b/>
                <w:bCs/>
                <w:color w:val="000000"/>
                <w:sz w:val="18"/>
                <w:szCs w:val="18"/>
              </w:rPr>
            </w:pPr>
            <w:r>
              <w:rPr>
                <w:rFonts w:hint="eastAsia" w:ascii="Times New Roman" w:hAnsi="Times New Roman" w:eastAsia="宋体" w:cs="宋体"/>
                <w:b/>
                <w:bCs w:val="0"/>
                <w:color w:val="000000"/>
                <w:sz w:val="18"/>
                <w:szCs w:val="18"/>
              </w:rPr>
              <w:t>专业课教师</w:t>
            </w:r>
          </w:p>
        </w:tc>
        <w:tc>
          <w:tcPr>
            <w:tcW w:w="1927" w:type="dxa"/>
            <w:gridSpan w:val="2"/>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宋体"/>
                <w:b/>
                <w:bCs/>
                <w:color w:val="000000"/>
                <w:sz w:val="18"/>
                <w:szCs w:val="18"/>
              </w:rPr>
            </w:pPr>
            <w:r>
              <w:rPr>
                <w:rFonts w:hint="eastAsia" w:ascii="Times New Roman" w:hAnsi="Times New Roman" w:eastAsia="宋体" w:cs="宋体"/>
                <w:b/>
                <w:bCs w:val="0"/>
                <w:color w:val="000000"/>
                <w:sz w:val="18"/>
                <w:szCs w:val="18"/>
              </w:rPr>
              <w:t>双师型教师</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729" w:hRule="exact"/>
          <w:jc w:val="center"/>
        </w:trPr>
        <w:tc>
          <w:tcPr>
            <w:tcW w:w="856"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宋体"/>
                <w:b w:val="0"/>
                <w:bCs/>
                <w:color w:val="000000"/>
                <w:sz w:val="18"/>
                <w:szCs w:val="18"/>
              </w:rPr>
            </w:pPr>
          </w:p>
        </w:tc>
        <w:tc>
          <w:tcPr>
            <w:tcW w:w="887"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宋体"/>
                <w:b w:val="0"/>
                <w:color w:val="000000"/>
                <w:sz w:val="18"/>
                <w:szCs w:val="18"/>
              </w:rPr>
            </w:pPr>
          </w:p>
        </w:tc>
        <w:tc>
          <w:tcPr>
            <w:tcW w:w="867"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宋体"/>
                <w:b w:val="0"/>
                <w:color w:val="000000"/>
                <w:sz w:val="18"/>
                <w:szCs w:val="18"/>
              </w:rPr>
            </w:pPr>
          </w:p>
        </w:tc>
        <w:tc>
          <w:tcPr>
            <w:tcW w:w="870"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宋体"/>
                <w:b w:val="0"/>
                <w:color w:val="000000"/>
                <w:sz w:val="18"/>
                <w:szCs w:val="18"/>
              </w:rPr>
            </w:pPr>
          </w:p>
        </w:tc>
        <w:tc>
          <w:tcPr>
            <w:tcW w:w="1012"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宋体"/>
                <w:b w:val="0"/>
                <w:color w:val="000000"/>
                <w:sz w:val="18"/>
                <w:szCs w:val="18"/>
              </w:rPr>
            </w:pPr>
          </w:p>
        </w:tc>
        <w:tc>
          <w:tcPr>
            <w:tcW w:w="837"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宋体"/>
                <w:b/>
                <w:bCs/>
                <w:color w:val="000000"/>
                <w:sz w:val="18"/>
                <w:szCs w:val="18"/>
              </w:rPr>
            </w:pPr>
            <w:r>
              <w:rPr>
                <w:rFonts w:hint="eastAsia" w:ascii="Times New Roman" w:hAnsi="Times New Roman" w:eastAsia="宋体" w:cs="宋体"/>
                <w:b/>
                <w:bCs/>
                <w:color w:val="000000"/>
                <w:sz w:val="18"/>
                <w:szCs w:val="18"/>
              </w:rPr>
              <w:t>人数</w:t>
            </w:r>
            <w:r>
              <w:rPr>
                <w:rFonts w:hint="eastAsia" w:ascii="宋体" w:hAnsi="宋体" w:eastAsia="宋体" w:cs="宋体"/>
                <w:b/>
                <w:bCs/>
                <w:color w:val="000000"/>
                <w:sz w:val="18"/>
                <w:szCs w:val="18"/>
                <w:lang w:eastAsia="zh-CN"/>
              </w:rPr>
              <w:t>（</w:t>
            </w:r>
            <w:r>
              <w:rPr>
                <w:rFonts w:hint="eastAsia" w:ascii="宋体" w:hAnsi="宋体" w:eastAsia="宋体" w:cs="宋体"/>
                <w:b/>
                <w:bCs/>
                <w:color w:val="000000"/>
                <w:sz w:val="18"/>
                <w:szCs w:val="18"/>
                <w:lang w:val="en-US" w:eastAsia="zh-CN"/>
              </w:rPr>
              <w:t>人</w:t>
            </w:r>
            <w:r>
              <w:rPr>
                <w:rFonts w:hint="eastAsia" w:ascii="宋体" w:hAnsi="宋体" w:eastAsia="宋体" w:cs="宋体"/>
                <w:b/>
                <w:bCs/>
                <w:color w:val="000000"/>
                <w:sz w:val="18"/>
                <w:szCs w:val="18"/>
                <w:lang w:eastAsia="zh-CN"/>
              </w:rPr>
              <w:t>）</w:t>
            </w:r>
          </w:p>
        </w:tc>
        <w:tc>
          <w:tcPr>
            <w:tcW w:w="1089"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宋体"/>
                <w:b/>
                <w:bCs/>
                <w:color w:val="000000"/>
                <w:sz w:val="18"/>
                <w:szCs w:val="18"/>
              </w:rPr>
            </w:pPr>
            <w:r>
              <w:rPr>
                <w:rFonts w:hint="eastAsia" w:ascii="Times New Roman" w:hAnsi="Times New Roman" w:eastAsia="宋体" w:cs="宋体"/>
                <w:b/>
                <w:bCs/>
                <w:color w:val="000000"/>
                <w:sz w:val="18"/>
                <w:szCs w:val="18"/>
              </w:rPr>
              <w:t>占比</w:t>
            </w:r>
          </w:p>
        </w:tc>
        <w:tc>
          <w:tcPr>
            <w:tcW w:w="837"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宋体"/>
                <w:b/>
                <w:bCs/>
                <w:color w:val="000000"/>
                <w:sz w:val="18"/>
                <w:szCs w:val="18"/>
              </w:rPr>
            </w:pPr>
            <w:r>
              <w:rPr>
                <w:rFonts w:hint="eastAsia" w:ascii="Times New Roman" w:hAnsi="Times New Roman" w:eastAsia="宋体" w:cs="宋体"/>
                <w:b/>
                <w:bCs/>
                <w:color w:val="000000"/>
                <w:sz w:val="18"/>
                <w:szCs w:val="18"/>
              </w:rPr>
              <w:t>人数</w:t>
            </w:r>
            <w:r>
              <w:rPr>
                <w:rFonts w:hint="eastAsia" w:ascii="宋体" w:hAnsi="宋体" w:eastAsia="宋体" w:cs="宋体"/>
                <w:b/>
                <w:bCs/>
                <w:color w:val="000000"/>
                <w:sz w:val="18"/>
                <w:szCs w:val="18"/>
                <w:lang w:eastAsia="zh-CN"/>
              </w:rPr>
              <w:t>（</w:t>
            </w:r>
            <w:r>
              <w:rPr>
                <w:rFonts w:hint="eastAsia" w:ascii="宋体" w:hAnsi="宋体" w:eastAsia="宋体" w:cs="宋体"/>
                <w:b/>
                <w:bCs/>
                <w:color w:val="000000"/>
                <w:sz w:val="18"/>
                <w:szCs w:val="18"/>
                <w:lang w:val="en-US" w:eastAsia="zh-CN"/>
              </w:rPr>
              <w:t>人</w:t>
            </w:r>
            <w:r>
              <w:rPr>
                <w:rFonts w:hint="eastAsia" w:ascii="宋体" w:hAnsi="宋体" w:eastAsia="宋体" w:cs="宋体"/>
                <w:b/>
                <w:bCs/>
                <w:color w:val="000000"/>
                <w:sz w:val="18"/>
                <w:szCs w:val="18"/>
                <w:lang w:eastAsia="zh-CN"/>
              </w:rPr>
              <w:t>）</w:t>
            </w:r>
          </w:p>
        </w:tc>
        <w:tc>
          <w:tcPr>
            <w:tcW w:w="1090"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宋体"/>
                <w:b/>
                <w:bCs/>
                <w:color w:val="000000"/>
                <w:sz w:val="18"/>
                <w:szCs w:val="18"/>
              </w:rPr>
            </w:pPr>
            <w:r>
              <w:rPr>
                <w:rFonts w:hint="eastAsia" w:ascii="Times New Roman" w:hAnsi="Times New Roman" w:eastAsia="宋体" w:cs="宋体"/>
                <w:b/>
                <w:bCs/>
                <w:color w:val="000000"/>
                <w:sz w:val="18"/>
                <w:szCs w:val="18"/>
              </w:rPr>
              <w:t>占比</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exact"/>
          <w:jc w:val="center"/>
        </w:trPr>
        <w:tc>
          <w:tcPr>
            <w:tcW w:w="856"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spacing w:line="360" w:lineRule="auto"/>
              <w:jc w:val="center"/>
              <w:rPr>
                <w:rFonts w:hint="eastAsia" w:ascii="宋体" w:hAnsi="宋体" w:eastAsia="宋体" w:cs="宋体"/>
                <w:b w:val="0"/>
                <w:bCs/>
                <w:caps/>
                <w:color w:val="000000"/>
                <w:kern w:val="2"/>
                <w:sz w:val="18"/>
                <w:szCs w:val="18"/>
                <w:lang w:val="en-US" w:eastAsia="zh-CN" w:bidi="ar-SA"/>
              </w:rPr>
            </w:pPr>
            <w:r>
              <w:rPr>
                <w:rFonts w:ascii="Times New Roman" w:hAnsi="Times New Roman" w:eastAsia="宋体" w:cs="Times New Roman"/>
                <w:b w:val="0"/>
                <w:bCs w:val="0"/>
                <w:caps/>
                <w:color w:val="000000"/>
                <w:sz w:val="18"/>
                <w:szCs w:val="18"/>
              </w:rPr>
              <w:t>202</w:t>
            </w:r>
            <w:r>
              <w:rPr>
                <w:rFonts w:hint="eastAsia" w:ascii="Times New Roman" w:hAnsi="Times New Roman" w:eastAsia="宋体" w:cs="Times New Roman"/>
                <w:b w:val="0"/>
                <w:bCs w:val="0"/>
                <w:caps/>
                <w:color w:val="000000"/>
                <w:sz w:val="18"/>
                <w:szCs w:val="18"/>
                <w:lang w:val="en-US" w:eastAsia="zh-CN"/>
              </w:rPr>
              <w:t>3</w:t>
            </w:r>
          </w:p>
        </w:tc>
        <w:tc>
          <w:tcPr>
            <w:tcW w:w="887"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spacing w:line="360" w:lineRule="auto"/>
              <w:jc w:val="center"/>
              <w:rPr>
                <w:rFonts w:ascii="Times New Roman" w:hAnsi="Times New Roman" w:eastAsia="宋体" w:cs="Times New Roman"/>
                <w:b w:val="0"/>
                <w:color w:val="000000"/>
                <w:kern w:val="2"/>
                <w:sz w:val="18"/>
                <w:szCs w:val="18"/>
                <w:lang w:val="en-US" w:eastAsia="zh-CN" w:bidi="ar-SA"/>
              </w:rPr>
            </w:pPr>
            <w:r>
              <w:rPr>
                <w:rFonts w:hint="eastAsia" w:ascii="Times New Roman" w:hAnsi="Times New Roman" w:eastAsia="宋体" w:cs="Times New Roman"/>
                <w:b w:val="0"/>
                <w:color w:val="000000"/>
                <w:sz w:val="18"/>
                <w:szCs w:val="18"/>
                <w:lang w:val="en-US" w:eastAsia="zh-CN"/>
              </w:rPr>
              <w:t>1444</w:t>
            </w:r>
          </w:p>
        </w:tc>
        <w:tc>
          <w:tcPr>
            <w:tcW w:w="867"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spacing w:line="360" w:lineRule="auto"/>
              <w:jc w:val="center"/>
              <w:rPr>
                <w:rFonts w:hint="default" w:ascii="Times New Roman" w:hAnsi="Times New Roman" w:eastAsia="宋体" w:cs="Times New Roman"/>
                <w:b w:val="0"/>
                <w:color w:val="000000"/>
                <w:kern w:val="2"/>
                <w:sz w:val="18"/>
                <w:szCs w:val="18"/>
                <w:lang w:val="en-US" w:eastAsia="zh-CN" w:bidi="ar-SA"/>
              </w:rPr>
            </w:pPr>
            <w:r>
              <w:rPr>
                <w:rFonts w:hint="eastAsia" w:ascii="Times New Roman" w:hAnsi="Times New Roman" w:eastAsia="宋体" w:cs="Times New Roman"/>
                <w:b w:val="0"/>
                <w:color w:val="000000"/>
                <w:sz w:val="18"/>
                <w:szCs w:val="18"/>
                <w:lang w:val="en-US" w:eastAsia="zh-CN"/>
              </w:rPr>
              <w:t>15.95</w:t>
            </w:r>
          </w:p>
        </w:tc>
        <w:tc>
          <w:tcPr>
            <w:tcW w:w="870"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top"/>
          </w:tcPr>
          <w:p>
            <w:pPr>
              <w:spacing w:line="360" w:lineRule="auto"/>
              <w:jc w:val="center"/>
              <w:rPr>
                <w:rFonts w:hint="default" w:ascii="Times New Roman" w:hAnsi="Times New Roman" w:eastAsia="宋体" w:cs="Times New Roman"/>
                <w:b w:val="0"/>
                <w:color w:val="000000"/>
                <w:kern w:val="2"/>
                <w:sz w:val="18"/>
                <w:szCs w:val="18"/>
                <w:lang w:val="en-US" w:eastAsia="zh-CN" w:bidi="ar-SA"/>
              </w:rPr>
            </w:pPr>
            <w:r>
              <w:rPr>
                <w:rFonts w:hint="eastAsia" w:ascii="Times New Roman" w:hAnsi="Times New Roman" w:eastAsia="宋体" w:cs="Times New Roman"/>
                <w:b w:val="0"/>
                <w:color w:val="000000"/>
                <w:sz w:val="18"/>
                <w:szCs w:val="18"/>
                <w:lang w:val="en-US" w:eastAsia="zh-CN"/>
              </w:rPr>
              <w:t>134</w:t>
            </w:r>
          </w:p>
        </w:tc>
        <w:tc>
          <w:tcPr>
            <w:tcW w:w="1012"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top"/>
          </w:tcPr>
          <w:p>
            <w:pPr>
              <w:spacing w:line="360" w:lineRule="auto"/>
              <w:jc w:val="center"/>
              <w:rPr>
                <w:rFonts w:hint="default" w:ascii="Times New Roman" w:hAnsi="Times New Roman" w:eastAsia="宋体" w:cs="Times New Roman"/>
                <w:b w:val="0"/>
                <w:color w:val="000000"/>
                <w:kern w:val="2"/>
                <w:sz w:val="18"/>
                <w:szCs w:val="18"/>
                <w:lang w:val="en-US" w:eastAsia="zh-CN" w:bidi="ar-SA"/>
              </w:rPr>
            </w:pPr>
            <w:r>
              <w:rPr>
                <w:rFonts w:hint="eastAsia" w:ascii="Times New Roman" w:hAnsi="Times New Roman" w:eastAsia="宋体" w:cs="Times New Roman"/>
                <w:b w:val="0"/>
                <w:color w:val="000000"/>
                <w:sz w:val="18"/>
                <w:szCs w:val="18"/>
                <w:lang w:val="en-US" w:eastAsia="zh-CN"/>
              </w:rPr>
              <w:t>9.28%</w:t>
            </w:r>
          </w:p>
        </w:tc>
        <w:tc>
          <w:tcPr>
            <w:tcW w:w="837"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spacing w:line="360" w:lineRule="auto"/>
              <w:jc w:val="center"/>
              <w:rPr>
                <w:rFonts w:hint="default" w:ascii="Times New Roman" w:hAnsi="Times New Roman" w:eastAsia="宋体" w:cs="Times New Roman"/>
                <w:b w:val="0"/>
                <w:color w:val="000000"/>
                <w:kern w:val="2"/>
                <w:sz w:val="18"/>
                <w:szCs w:val="18"/>
                <w:lang w:val="en-US" w:eastAsia="zh-CN" w:bidi="ar-SA"/>
              </w:rPr>
            </w:pPr>
            <w:r>
              <w:rPr>
                <w:rFonts w:hint="eastAsia" w:ascii="Times New Roman" w:hAnsi="Times New Roman" w:eastAsia="宋体" w:cs="Times New Roman"/>
                <w:b w:val="0"/>
                <w:color w:val="000000"/>
                <w:sz w:val="18"/>
                <w:szCs w:val="18"/>
                <w:lang w:val="en-US" w:eastAsia="zh-CN"/>
              </w:rPr>
              <w:t>856</w:t>
            </w:r>
          </w:p>
        </w:tc>
        <w:tc>
          <w:tcPr>
            <w:tcW w:w="108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spacing w:line="360" w:lineRule="auto"/>
              <w:jc w:val="center"/>
              <w:rPr>
                <w:rFonts w:hint="default" w:ascii="Times New Roman" w:hAnsi="Times New Roman" w:eastAsia="宋体" w:cs="Times New Roman"/>
                <w:b w:val="0"/>
                <w:color w:val="000000"/>
                <w:kern w:val="2"/>
                <w:sz w:val="18"/>
                <w:szCs w:val="18"/>
                <w:lang w:val="en-US" w:eastAsia="zh-CN" w:bidi="ar-SA"/>
              </w:rPr>
            </w:pPr>
            <w:r>
              <w:rPr>
                <w:rFonts w:hint="eastAsia" w:ascii="Times New Roman" w:hAnsi="Times New Roman" w:eastAsia="宋体" w:cs="Times New Roman"/>
                <w:b w:val="0"/>
                <w:color w:val="000000"/>
                <w:sz w:val="18"/>
                <w:szCs w:val="18"/>
                <w:lang w:val="en-US" w:eastAsia="zh-CN"/>
              </w:rPr>
              <w:t>59.28%</w:t>
            </w:r>
          </w:p>
        </w:tc>
        <w:tc>
          <w:tcPr>
            <w:tcW w:w="837"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spacing w:line="360" w:lineRule="auto"/>
              <w:jc w:val="center"/>
              <w:rPr>
                <w:rFonts w:hint="default" w:ascii="Times New Roman" w:hAnsi="Times New Roman" w:eastAsia="宋体" w:cs="Times New Roman"/>
                <w:b w:val="0"/>
                <w:color w:val="000000"/>
                <w:kern w:val="2"/>
                <w:sz w:val="18"/>
                <w:szCs w:val="18"/>
                <w:lang w:val="en-US" w:eastAsia="zh-CN" w:bidi="ar-SA"/>
              </w:rPr>
            </w:pPr>
            <w:r>
              <w:rPr>
                <w:rFonts w:hint="eastAsia" w:ascii="Times New Roman" w:hAnsi="Times New Roman" w:eastAsia="宋体" w:cs="Times New Roman"/>
                <w:b w:val="0"/>
                <w:color w:val="000000"/>
                <w:sz w:val="18"/>
                <w:szCs w:val="18"/>
                <w:lang w:val="en-US" w:eastAsia="zh-CN"/>
              </w:rPr>
              <w:t>498</w:t>
            </w:r>
          </w:p>
        </w:tc>
        <w:tc>
          <w:tcPr>
            <w:tcW w:w="1090"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spacing w:line="360" w:lineRule="auto"/>
              <w:jc w:val="center"/>
              <w:rPr>
                <w:rFonts w:hint="default" w:ascii="Times New Roman" w:hAnsi="Times New Roman" w:eastAsia="宋体" w:cs="Times New Roman"/>
                <w:b w:val="0"/>
                <w:color w:val="000000"/>
                <w:kern w:val="2"/>
                <w:sz w:val="18"/>
                <w:szCs w:val="18"/>
                <w:lang w:val="en-US" w:eastAsia="zh-CN" w:bidi="ar-SA"/>
              </w:rPr>
            </w:pPr>
            <w:r>
              <w:rPr>
                <w:rFonts w:hint="eastAsia" w:ascii="Times New Roman" w:hAnsi="Times New Roman" w:eastAsia="宋体" w:cs="Times New Roman"/>
                <w:b w:val="0"/>
                <w:color w:val="000000"/>
                <w:sz w:val="18"/>
                <w:szCs w:val="18"/>
                <w:lang w:val="en-US" w:eastAsia="zh-CN"/>
              </w:rPr>
              <w:t>58.18%</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exact"/>
          <w:jc w:val="center"/>
        </w:trPr>
        <w:tc>
          <w:tcPr>
            <w:tcW w:w="856"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spacing w:line="360" w:lineRule="auto"/>
              <w:jc w:val="center"/>
              <w:rPr>
                <w:rFonts w:hint="eastAsia" w:ascii="宋体" w:hAnsi="宋体" w:eastAsia="宋体" w:cs="宋体"/>
                <w:b w:val="0"/>
                <w:bCs/>
                <w:caps/>
                <w:color w:val="000000"/>
                <w:sz w:val="18"/>
                <w:szCs w:val="18"/>
                <w:lang w:eastAsia="zh-CN"/>
              </w:rPr>
            </w:pPr>
            <w:r>
              <w:rPr>
                <w:rFonts w:ascii="Times New Roman" w:hAnsi="Times New Roman" w:eastAsia="宋体" w:cs="Times New Roman"/>
                <w:b w:val="0"/>
                <w:bCs w:val="0"/>
                <w:caps/>
                <w:color w:val="000000"/>
                <w:sz w:val="18"/>
                <w:szCs w:val="18"/>
              </w:rPr>
              <w:t>202</w:t>
            </w:r>
            <w:r>
              <w:rPr>
                <w:rFonts w:hint="eastAsia" w:ascii="Times New Roman" w:hAnsi="Times New Roman" w:eastAsia="宋体" w:cs="Times New Roman"/>
                <w:b w:val="0"/>
                <w:bCs w:val="0"/>
                <w:caps/>
                <w:color w:val="000000"/>
                <w:sz w:val="18"/>
                <w:szCs w:val="18"/>
                <w:lang w:val="en-US" w:eastAsia="zh-CN"/>
              </w:rPr>
              <w:t>4</w:t>
            </w:r>
          </w:p>
        </w:tc>
        <w:tc>
          <w:tcPr>
            <w:tcW w:w="887"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spacing w:line="360" w:lineRule="auto"/>
              <w:jc w:val="center"/>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1464</w:t>
            </w:r>
          </w:p>
        </w:tc>
        <w:tc>
          <w:tcPr>
            <w:tcW w:w="867"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spacing w:line="360" w:lineRule="auto"/>
              <w:jc w:val="center"/>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14.91</w:t>
            </w:r>
          </w:p>
        </w:tc>
        <w:tc>
          <w:tcPr>
            <w:tcW w:w="870" w:type="dxa"/>
            <w:tcBorders>
              <w:top w:val="single" w:color="ED7D31" w:sz="4" w:space="0"/>
              <w:left w:val="single" w:color="ED7D31" w:sz="4" w:space="0"/>
              <w:bottom w:val="single" w:color="ED7D31" w:sz="4" w:space="0"/>
              <w:right w:val="single" w:color="ED7D31" w:sz="4" w:space="0"/>
              <w:tl2br w:val="nil"/>
              <w:tr2bl w:val="nil"/>
            </w:tcBorders>
            <w:shd w:val="clear" w:color="auto" w:fill="FEF3EB"/>
          </w:tcPr>
          <w:p>
            <w:pPr>
              <w:spacing w:line="360" w:lineRule="auto"/>
              <w:jc w:val="center"/>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147</w:t>
            </w:r>
          </w:p>
        </w:tc>
        <w:tc>
          <w:tcPr>
            <w:tcW w:w="1012" w:type="dxa"/>
            <w:tcBorders>
              <w:top w:val="single" w:color="ED7D31" w:sz="4" w:space="0"/>
              <w:left w:val="single" w:color="ED7D31" w:sz="4" w:space="0"/>
              <w:bottom w:val="single" w:color="ED7D31" w:sz="4" w:space="0"/>
              <w:right w:val="single" w:color="ED7D31" w:sz="4" w:space="0"/>
              <w:tl2br w:val="nil"/>
              <w:tr2bl w:val="nil"/>
            </w:tcBorders>
            <w:shd w:val="clear" w:color="auto" w:fill="FEF3EB"/>
          </w:tcPr>
          <w:p>
            <w:pPr>
              <w:spacing w:line="360" w:lineRule="auto"/>
              <w:jc w:val="center"/>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10.04%</w:t>
            </w:r>
          </w:p>
        </w:tc>
        <w:tc>
          <w:tcPr>
            <w:tcW w:w="837"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spacing w:line="360" w:lineRule="auto"/>
              <w:jc w:val="center"/>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878</w:t>
            </w:r>
          </w:p>
        </w:tc>
        <w:tc>
          <w:tcPr>
            <w:tcW w:w="1089"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spacing w:line="360" w:lineRule="auto"/>
              <w:jc w:val="center"/>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59.97%</w:t>
            </w:r>
          </w:p>
        </w:tc>
        <w:tc>
          <w:tcPr>
            <w:tcW w:w="837"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spacing w:line="360" w:lineRule="auto"/>
              <w:jc w:val="center"/>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540</w:t>
            </w:r>
          </w:p>
        </w:tc>
        <w:tc>
          <w:tcPr>
            <w:tcW w:w="1090"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spacing w:line="360" w:lineRule="auto"/>
              <w:jc w:val="center"/>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61.50%</w:t>
            </w:r>
          </w:p>
        </w:tc>
      </w:tr>
    </w:tbl>
    <w:p>
      <w:pPr>
        <w:keepNext w:val="0"/>
        <w:keepLines w:val="0"/>
        <w:pageBreakBefore w:val="0"/>
        <w:widowControl w:val="0"/>
        <w:kinsoku/>
        <w:wordWrap/>
        <w:overflowPunct/>
        <w:topLinePunct w:val="0"/>
        <w:autoSpaceDE/>
        <w:autoSpaceDN/>
        <w:bidi w:val="0"/>
        <w:adjustRightInd/>
        <w:snapToGrid/>
        <w:spacing w:line="240" w:lineRule="exact"/>
        <w:ind w:firstLine="562" w:firstLineChars="200"/>
        <w:textAlignment w:val="auto"/>
        <w:outlineLvl w:val="9"/>
        <w:rPr>
          <w:rFonts w:ascii="Times New Roman" w:hAnsi="Times New Roman" w:eastAsia="宋体" w:cs="Times New Roman"/>
          <w:b/>
          <w:bCs/>
          <w:color w:val="FF0000"/>
          <w:sz w:val="28"/>
          <w:szCs w:val="28"/>
          <w:highlight w:val="none"/>
        </w:rPr>
      </w:pPr>
      <w:bookmarkStart w:id="111" w:name="_Toc12945"/>
      <w:bookmarkStart w:id="112" w:name="_Toc12962"/>
      <w:bookmarkStart w:id="113" w:name="_Toc27482"/>
      <w:bookmarkStart w:id="114" w:name="_Toc14123"/>
      <w:bookmarkStart w:id="115" w:name="_Toc24153"/>
      <w:bookmarkStart w:id="116" w:name="_Toc9890"/>
      <w:bookmarkStart w:id="117" w:name="_Toc61254035"/>
      <w:bookmarkStart w:id="118" w:name="_Toc91576125"/>
    </w:p>
    <w:p>
      <w:pPr>
        <w:spacing w:line="560" w:lineRule="exact"/>
        <w:ind w:firstLine="562" w:firstLineChars="200"/>
        <w:outlineLvl w:val="2"/>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1</w:t>
      </w:r>
      <w:r>
        <w:rPr>
          <w:rFonts w:hint="eastAsia"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2</w:t>
      </w:r>
      <w:r>
        <w:rPr>
          <w:rFonts w:hint="eastAsia" w:ascii="Times New Roman" w:hAnsi="Times New Roman" w:eastAsia="宋体" w:cs="Times New Roman"/>
          <w:b/>
          <w:bCs/>
          <w:color w:val="auto"/>
          <w:sz w:val="28"/>
          <w:szCs w:val="28"/>
          <w:highlight w:val="none"/>
        </w:rPr>
        <w:t>.</w:t>
      </w:r>
      <w:r>
        <w:rPr>
          <w:rFonts w:ascii="Times New Roman" w:hAnsi="Times New Roman" w:eastAsia="宋体" w:cs="Times New Roman"/>
          <w:b/>
          <w:bCs/>
          <w:color w:val="auto"/>
          <w:sz w:val="28"/>
          <w:szCs w:val="28"/>
          <w:highlight w:val="none"/>
        </w:rPr>
        <w:t>2</w:t>
      </w:r>
      <w:r>
        <w:rPr>
          <w:rFonts w:hint="eastAsia" w:ascii="Times New Roman" w:hAnsi="Times New Roman" w:eastAsia="宋体" w:cs="Times New Roman"/>
          <w:b/>
          <w:bCs/>
          <w:color w:val="auto"/>
          <w:sz w:val="28"/>
          <w:szCs w:val="28"/>
          <w:highlight w:val="none"/>
        </w:rPr>
        <w:t xml:space="preserve"> 专任教师学历结构</w:t>
      </w:r>
      <w:bookmarkEnd w:id="111"/>
      <w:bookmarkEnd w:id="112"/>
      <w:bookmarkEnd w:id="113"/>
      <w:bookmarkEnd w:id="114"/>
      <w:bookmarkEnd w:id="115"/>
      <w:bookmarkEnd w:id="116"/>
      <w:bookmarkEnd w:id="117"/>
      <w:bookmarkEnd w:id="118"/>
    </w:p>
    <w:p>
      <w:pPr>
        <w:spacing w:line="560" w:lineRule="exact"/>
        <w:ind w:firstLine="480" w:firstLineChars="200"/>
        <w:rPr>
          <w:rFonts w:hint="eastAsia" w:ascii="宋体" w:hAnsi="宋体" w:eastAsia="宋体" w:cs="宋体"/>
          <w:color w:val="auto"/>
          <w:kern w:val="0"/>
          <w:sz w:val="24"/>
          <w:szCs w:val="24"/>
          <w:highlight w:val="none"/>
          <w:lang w:bidi="ar"/>
        </w:rPr>
      </w:pPr>
      <w:r>
        <w:rPr>
          <w:rFonts w:hint="eastAsia" w:ascii="Times New Roman" w:hAnsi="Times New Roman" w:eastAsia="宋体" w:cs="仿宋"/>
          <w:color w:val="auto"/>
          <w:sz w:val="24"/>
          <w:szCs w:val="24"/>
          <w:highlight w:val="none"/>
        </w:rPr>
        <w:t>2</w:t>
      </w:r>
      <w:r>
        <w:rPr>
          <w:rFonts w:hint="eastAsia" w:ascii="Times New Roman" w:hAnsi="Times New Roman" w:eastAsia="宋体" w:cs="仿宋"/>
          <w:color w:val="auto"/>
          <w:sz w:val="24"/>
          <w:szCs w:val="24"/>
          <w:highlight w:val="none"/>
          <w:lang w:val="en-US" w:eastAsia="zh-CN"/>
        </w:rPr>
        <w:t>024</w:t>
      </w:r>
      <w:r>
        <w:rPr>
          <w:rFonts w:hint="eastAsia" w:ascii="Times New Roman" w:hAnsi="Times New Roman" w:eastAsia="宋体" w:cs="仿宋"/>
          <w:color w:val="auto"/>
          <w:sz w:val="24"/>
          <w:szCs w:val="24"/>
          <w:highlight w:val="none"/>
        </w:rPr>
        <w:t>年，遂宁市中等职业学校专任教师总数</w:t>
      </w:r>
      <w:r>
        <w:rPr>
          <w:rFonts w:hint="eastAsia" w:ascii="Times New Roman" w:hAnsi="Times New Roman" w:eastAsia="宋体" w:cs="仿宋"/>
          <w:color w:val="auto"/>
          <w:sz w:val="24"/>
          <w:szCs w:val="24"/>
          <w:highlight w:val="none"/>
          <w:lang w:val="en-US" w:eastAsia="zh-CN"/>
        </w:rPr>
        <w:t>1464</w:t>
      </w:r>
      <w:r>
        <w:rPr>
          <w:rFonts w:hint="eastAsia" w:ascii="Times New Roman" w:hAnsi="Times New Roman" w:eastAsia="宋体" w:cs="仿宋"/>
          <w:color w:val="auto"/>
          <w:sz w:val="24"/>
          <w:szCs w:val="24"/>
          <w:highlight w:val="none"/>
        </w:rPr>
        <w:t>人，专任教师中具有硕士及以上学历的教师</w:t>
      </w:r>
      <w:r>
        <w:rPr>
          <w:rFonts w:hint="eastAsia" w:ascii="Times New Roman" w:hAnsi="Times New Roman" w:eastAsia="宋体" w:cs="仿宋"/>
          <w:color w:val="auto"/>
          <w:sz w:val="24"/>
          <w:szCs w:val="24"/>
          <w:highlight w:val="none"/>
          <w:lang w:val="en-US" w:eastAsia="zh-CN"/>
        </w:rPr>
        <w:t>55</w:t>
      </w:r>
      <w:r>
        <w:rPr>
          <w:rFonts w:hint="eastAsia" w:ascii="Times New Roman" w:hAnsi="Times New Roman" w:eastAsia="宋体" w:cs="仿宋"/>
          <w:color w:val="auto"/>
          <w:sz w:val="24"/>
          <w:szCs w:val="24"/>
          <w:highlight w:val="none"/>
        </w:rPr>
        <w:t>人，占专任教师总数的</w:t>
      </w:r>
      <w:r>
        <w:rPr>
          <w:rFonts w:hint="eastAsia" w:ascii="Times New Roman" w:hAnsi="Times New Roman" w:eastAsia="宋体" w:cs="仿宋"/>
          <w:color w:val="auto"/>
          <w:sz w:val="24"/>
          <w:szCs w:val="24"/>
          <w:highlight w:val="none"/>
          <w:lang w:val="en-US" w:eastAsia="zh-CN"/>
        </w:rPr>
        <w:t>3.76</w:t>
      </w:r>
      <w:r>
        <w:rPr>
          <w:rFonts w:hint="eastAsia" w:ascii="Times New Roman" w:hAnsi="Times New Roman" w:eastAsia="宋体" w:cs="仿宋"/>
          <w:color w:val="auto"/>
          <w:sz w:val="24"/>
          <w:szCs w:val="24"/>
          <w:highlight w:val="none"/>
        </w:rPr>
        <w:t>%；本科学历专任教师</w:t>
      </w:r>
      <w:r>
        <w:rPr>
          <w:rFonts w:hint="eastAsia" w:ascii="Times New Roman" w:hAnsi="Times New Roman" w:eastAsia="宋体" w:cs="仿宋"/>
          <w:color w:val="auto"/>
          <w:sz w:val="24"/>
          <w:szCs w:val="24"/>
          <w:highlight w:val="none"/>
          <w:lang w:val="en-US" w:eastAsia="zh-CN"/>
        </w:rPr>
        <w:t>1344人</w:t>
      </w:r>
      <w:r>
        <w:rPr>
          <w:rFonts w:hint="eastAsia" w:ascii="Times New Roman" w:hAnsi="Times New Roman" w:eastAsia="宋体" w:cs="仿宋"/>
          <w:color w:val="auto"/>
          <w:sz w:val="24"/>
          <w:szCs w:val="24"/>
          <w:highlight w:val="none"/>
        </w:rPr>
        <w:t>，占比</w:t>
      </w:r>
      <w:r>
        <w:rPr>
          <w:rFonts w:hint="eastAsia" w:ascii="Times New Roman" w:hAnsi="Times New Roman" w:eastAsia="宋体" w:cs="仿宋"/>
          <w:color w:val="auto"/>
          <w:sz w:val="24"/>
          <w:szCs w:val="24"/>
          <w:highlight w:val="none"/>
          <w:lang w:val="en-US" w:eastAsia="zh-CN"/>
        </w:rPr>
        <w:t>91.80%</w:t>
      </w:r>
      <w:r>
        <w:rPr>
          <w:rFonts w:hint="eastAsia" w:ascii="Times New Roman" w:hAnsi="Times New Roman" w:eastAsia="宋体" w:cs="仿宋"/>
          <w:color w:val="auto"/>
          <w:sz w:val="24"/>
          <w:szCs w:val="24"/>
          <w:highlight w:val="none"/>
        </w:rPr>
        <w:t>；专科及以下学历专任教师</w:t>
      </w:r>
      <w:r>
        <w:rPr>
          <w:rFonts w:hint="eastAsia" w:ascii="Times New Roman" w:hAnsi="Times New Roman" w:eastAsia="宋体" w:cs="仿宋"/>
          <w:color w:val="auto"/>
          <w:sz w:val="24"/>
          <w:szCs w:val="24"/>
          <w:highlight w:val="none"/>
          <w:lang w:val="en-US" w:eastAsia="zh-CN"/>
        </w:rPr>
        <w:t>65人</w:t>
      </w:r>
      <w:r>
        <w:rPr>
          <w:rFonts w:hint="eastAsia" w:ascii="Times New Roman" w:hAnsi="Times New Roman" w:eastAsia="宋体" w:cs="仿宋"/>
          <w:color w:val="auto"/>
          <w:sz w:val="24"/>
          <w:szCs w:val="24"/>
          <w:highlight w:val="none"/>
        </w:rPr>
        <w:t>，占比</w:t>
      </w:r>
      <w:r>
        <w:rPr>
          <w:rFonts w:hint="eastAsia" w:ascii="Times New Roman" w:hAnsi="Times New Roman" w:eastAsia="宋体" w:cs="仿宋"/>
          <w:color w:val="auto"/>
          <w:sz w:val="24"/>
          <w:szCs w:val="24"/>
          <w:highlight w:val="none"/>
          <w:lang w:val="en-US" w:eastAsia="zh-CN"/>
        </w:rPr>
        <w:t>4.44</w:t>
      </w:r>
      <w:r>
        <w:rPr>
          <w:rFonts w:hint="eastAsia" w:ascii="Times New Roman" w:hAnsi="Times New Roman" w:eastAsia="宋体" w:cs="仿宋"/>
          <w:color w:val="auto"/>
          <w:sz w:val="24"/>
          <w:szCs w:val="24"/>
          <w:highlight w:val="none"/>
        </w:rPr>
        <w:t>%。与上一学年相比，硕士研究生学历的专任教师比例有所提高，专科学历专任教师比例有所下降，本科学历专任教师比例</w:t>
      </w:r>
      <w:r>
        <w:rPr>
          <w:rFonts w:hint="eastAsia" w:ascii="Times New Roman" w:hAnsi="Times New Roman" w:eastAsia="宋体" w:cs="仿宋"/>
          <w:color w:val="auto"/>
          <w:sz w:val="24"/>
          <w:szCs w:val="24"/>
          <w:highlight w:val="none"/>
          <w:lang w:eastAsia="zh-CN"/>
        </w:rPr>
        <w:t>逐年提高</w:t>
      </w:r>
      <w:r>
        <w:rPr>
          <w:rFonts w:hint="eastAsia" w:ascii="Times New Roman" w:hAnsi="Times New Roman" w:eastAsia="宋体" w:cs="仿宋"/>
          <w:color w:val="auto"/>
          <w:sz w:val="24"/>
          <w:szCs w:val="24"/>
          <w:highlight w:val="none"/>
        </w:rPr>
        <w:t>，学历层次总体</w:t>
      </w:r>
      <w:r>
        <w:rPr>
          <w:rFonts w:hint="eastAsia" w:ascii="Times New Roman" w:hAnsi="Times New Roman" w:eastAsia="宋体" w:cs="仿宋"/>
          <w:color w:val="auto"/>
          <w:sz w:val="24"/>
          <w:szCs w:val="24"/>
          <w:highlight w:val="none"/>
          <w:lang w:eastAsia="zh-CN"/>
        </w:rPr>
        <w:t>得到一定改善</w:t>
      </w:r>
      <w:r>
        <w:rPr>
          <w:rFonts w:hint="eastAsia" w:ascii="Times New Roman" w:hAnsi="Times New Roman" w:eastAsia="宋体" w:cs="仿宋"/>
          <w:color w:val="auto"/>
          <w:sz w:val="24"/>
          <w:szCs w:val="24"/>
          <w:highlight w:val="none"/>
        </w:rPr>
        <w:t>，详见图</w:t>
      </w:r>
      <w:r>
        <w:rPr>
          <w:rFonts w:hint="eastAsia" w:ascii="Times New Roman" w:hAnsi="Times New Roman" w:eastAsia="宋体" w:cs="仿宋"/>
          <w:color w:val="auto"/>
          <w:sz w:val="24"/>
          <w:szCs w:val="24"/>
          <w:highlight w:val="none"/>
          <w:lang w:val="en-US" w:eastAsia="zh-CN"/>
        </w:rPr>
        <w:t>1</w:t>
      </w:r>
      <w:r>
        <w:rPr>
          <w:rFonts w:hint="eastAsia" w:ascii="Times New Roman" w:hAnsi="Times New Roman" w:eastAsia="宋体" w:cs="仿宋"/>
          <w:color w:val="auto"/>
          <w:sz w:val="24"/>
          <w:szCs w:val="24"/>
          <w:highlight w:val="none"/>
          <w:lang w:eastAsia="zh-CN"/>
        </w:rPr>
        <w:t>、</w:t>
      </w:r>
      <w:r>
        <w:rPr>
          <w:rFonts w:hint="eastAsia" w:ascii="Times New Roman" w:hAnsi="Times New Roman" w:eastAsia="宋体" w:cs="仿宋"/>
          <w:color w:val="auto"/>
          <w:sz w:val="24"/>
          <w:szCs w:val="24"/>
          <w:highlight w:val="none"/>
          <w:lang w:val="en-US" w:eastAsia="zh-CN"/>
        </w:rPr>
        <w:t>图2</w:t>
      </w:r>
      <w:r>
        <w:rPr>
          <w:rFonts w:hint="eastAsia" w:ascii="Times New Roman" w:hAnsi="Times New Roman" w:eastAsia="宋体"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200" w:lineRule="exact"/>
        <w:ind w:firstLine="421" w:firstLineChars="200"/>
        <w:textAlignment w:val="auto"/>
        <w:rPr>
          <w:rFonts w:hint="eastAsia" w:ascii="宋体" w:hAnsi="宋体" w:eastAsia="宋体" w:cs="宋体"/>
          <w:color w:val="auto"/>
          <w:kern w:val="0"/>
          <w:sz w:val="24"/>
          <w:szCs w:val="24"/>
          <w:highlight w:val="none"/>
          <w:lang w:bidi="ar"/>
        </w:rPr>
      </w:pPr>
      <w:r>
        <w:rPr>
          <w:rFonts w:ascii="Times New Roman" w:hAnsi="Times New Roman" w:eastAsia="宋体" w:cs="宋体"/>
          <w:b/>
          <w:bCs/>
        </w:rPr>
        <w:drawing>
          <wp:anchor distT="0" distB="0" distL="114935" distR="114935" simplePos="0" relativeHeight="251664384" behindDoc="0" locked="0" layoutInCell="1" allowOverlap="1">
            <wp:simplePos x="0" y="0"/>
            <wp:positionH relativeFrom="column">
              <wp:posOffset>132080</wp:posOffset>
            </wp:positionH>
            <wp:positionV relativeFrom="paragraph">
              <wp:posOffset>66040</wp:posOffset>
            </wp:positionV>
            <wp:extent cx="5010150" cy="2334895"/>
            <wp:effectExtent l="4445" t="4445" r="14605" b="10160"/>
            <wp:wrapNone/>
            <wp:docPr id="22" name="图表 22" descr="7b0a202020202263686172745265734964223a202232303437363831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spacing w:line="560" w:lineRule="exact"/>
        <w:ind w:firstLine="480" w:firstLineChars="200"/>
        <w:rPr>
          <w:rFonts w:hint="eastAsia" w:ascii="宋体" w:hAnsi="宋体" w:eastAsia="宋体" w:cs="宋体"/>
          <w:color w:val="auto"/>
          <w:kern w:val="0"/>
          <w:sz w:val="24"/>
          <w:szCs w:val="24"/>
          <w:highlight w:val="none"/>
          <w:lang w:bidi="ar"/>
        </w:rPr>
      </w:pPr>
    </w:p>
    <w:p>
      <w:pPr>
        <w:spacing w:line="560" w:lineRule="exact"/>
        <w:ind w:firstLine="480" w:firstLineChars="200"/>
        <w:rPr>
          <w:rFonts w:hint="eastAsia" w:ascii="宋体" w:hAnsi="宋体" w:eastAsia="宋体" w:cs="宋体"/>
          <w:color w:val="auto"/>
          <w:kern w:val="0"/>
          <w:sz w:val="24"/>
          <w:szCs w:val="24"/>
          <w:highlight w:val="none"/>
          <w:lang w:bidi="ar"/>
        </w:rPr>
      </w:pPr>
    </w:p>
    <w:p>
      <w:pPr>
        <w:spacing w:line="560" w:lineRule="exact"/>
        <w:ind w:firstLine="480" w:firstLineChars="200"/>
        <w:rPr>
          <w:rFonts w:hint="eastAsia" w:ascii="宋体" w:hAnsi="宋体" w:eastAsia="宋体" w:cs="宋体"/>
          <w:color w:val="auto"/>
          <w:kern w:val="0"/>
          <w:sz w:val="24"/>
          <w:szCs w:val="24"/>
          <w:highlight w:val="none"/>
          <w:lang w:bidi="ar"/>
        </w:rPr>
      </w:pPr>
    </w:p>
    <w:p>
      <w:pPr>
        <w:spacing w:line="560" w:lineRule="exact"/>
        <w:ind w:firstLine="480" w:firstLineChars="200"/>
        <w:rPr>
          <w:rFonts w:hint="eastAsia" w:ascii="宋体" w:hAnsi="宋体" w:eastAsia="宋体" w:cs="宋体"/>
          <w:color w:val="auto"/>
          <w:kern w:val="0"/>
          <w:sz w:val="24"/>
          <w:szCs w:val="24"/>
          <w:highlight w:val="none"/>
          <w:lang w:bidi="ar"/>
        </w:rPr>
      </w:pPr>
    </w:p>
    <w:p>
      <w:pPr>
        <w:spacing w:line="560" w:lineRule="exact"/>
        <w:ind w:firstLine="480" w:firstLineChars="200"/>
        <w:rPr>
          <w:rFonts w:hint="eastAsia" w:ascii="宋体" w:hAnsi="宋体" w:eastAsia="宋体" w:cs="宋体"/>
          <w:color w:val="auto"/>
          <w:kern w:val="0"/>
          <w:sz w:val="24"/>
          <w:szCs w:val="24"/>
          <w:highlight w:val="none"/>
          <w:lang w:bidi="ar"/>
        </w:rPr>
      </w:pPr>
    </w:p>
    <w:p>
      <w:pPr>
        <w:pStyle w:val="28"/>
        <w:ind w:firstLine="0" w:firstLineChars="0"/>
        <w:rPr>
          <w:rFonts w:hint="default" w:ascii="Times New Roman" w:hAnsi="Times New Roman" w:eastAsia="宋体" w:cs="宋体"/>
          <w:b/>
          <w:bCs/>
        </w:rPr>
      </w:pPr>
    </w:p>
    <w:p>
      <w:pPr>
        <w:pStyle w:val="28"/>
        <w:ind w:firstLine="0" w:firstLineChars="0"/>
        <w:rPr>
          <w:rFonts w:hint="default" w:ascii="Times New Roman" w:hAnsi="Times New Roman" w:eastAsia="宋体" w:cs="宋体"/>
          <w:b/>
          <w:bCs/>
        </w:rPr>
      </w:pPr>
    </w:p>
    <w:p>
      <w:pPr>
        <w:pStyle w:val="8"/>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rPr>
          <w:rFonts w:hint="eastAsia" w:ascii="Times New Roman" w:hAnsi="Times New Roman" w:eastAsia="宋体" w:cs="宋体"/>
          <w:b/>
          <w:bCs/>
          <w:sz w:val="21"/>
          <w:szCs w:val="21"/>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1</w:t>
      </w:r>
      <w:r>
        <w:rPr>
          <w:rFonts w:hint="eastAsia" w:ascii="Times New Roman" w:hAnsi="Times New Roman" w:eastAsia="楷体" w:cs="楷体"/>
          <w:sz w:val="24"/>
          <w:szCs w:val="24"/>
        </w:rPr>
        <w:fldChar w:fldCharType="end"/>
      </w:r>
      <w:bookmarkStart w:id="119" w:name="_Toc22336"/>
      <w:r>
        <w:rPr>
          <w:rFonts w:hint="eastAsia" w:ascii="Times New Roman" w:hAnsi="Times New Roman" w:eastAsia="楷体" w:cs="楷体"/>
          <w:sz w:val="24"/>
          <w:szCs w:val="24"/>
          <w:lang w:val="en-US" w:eastAsia="zh-CN"/>
        </w:rPr>
        <w:t xml:space="preserve"> </w:t>
      </w:r>
      <w:r>
        <w:rPr>
          <w:rFonts w:hint="eastAsia" w:ascii="Times New Roman" w:hAnsi="Times New Roman" w:eastAsia="楷体" w:cs="楷体"/>
          <w:sz w:val="24"/>
          <w:szCs w:val="24"/>
        </w:rPr>
        <w:t>近两学年专任教师学历结构变化情况（单位：%）</w:t>
      </w:r>
      <w:bookmarkEnd w:id="119"/>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宋体"/>
          <w:b/>
          <w:bCs/>
          <w:sz w:val="21"/>
          <w:szCs w:val="21"/>
        </w:rPr>
      </w:pPr>
    </w:p>
    <w:p>
      <w:pPr>
        <w:pStyle w:val="8"/>
        <w:ind w:firstLine="211"/>
        <w:jc w:val="both"/>
        <w:rPr>
          <w:rFonts w:hint="eastAsia" w:ascii="Times New Roman" w:hAnsi="Times New Roman" w:eastAsia="宋体" w:cs="宋体"/>
          <w:b/>
          <w:bCs/>
          <w:lang w:val="en-US" w:eastAsia="zh-CN"/>
        </w:rPr>
      </w:pPr>
      <w:r>
        <w:rPr>
          <w:rFonts w:ascii="Times New Roman" w:hAnsi="Times New Roman" w:eastAsia="宋体" w:cs="宋体"/>
          <w:b/>
          <w:bCs/>
        </w:rPr>
        <w:drawing>
          <wp:inline distT="0" distB="0" distL="114300" distR="114300">
            <wp:extent cx="5031740" cy="2419985"/>
            <wp:effectExtent l="4445" t="4445" r="5715" b="1397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hint="eastAsia" w:ascii="Times New Roman" w:hAnsi="Times New Roman" w:eastAsia="宋体" w:cs="宋体"/>
          <w:b/>
          <w:bCs/>
          <w:lang w:val="en-US" w:eastAsia="zh-CN"/>
        </w:rPr>
        <w:t xml:space="preserve"> </w:t>
      </w:r>
    </w:p>
    <w:p>
      <w:pPr>
        <w:pStyle w:val="8"/>
        <w:ind w:firstLine="211"/>
        <w:jc w:val="center"/>
        <w:rPr>
          <w:rFonts w:hint="eastAsia" w:ascii="Times New Roman" w:hAnsi="Times New Roman" w:eastAsia="楷体" w:cs="楷体"/>
          <w:sz w:val="24"/>
          <w:szCs w:val="24"/>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2</w:t>
      </w:r>
      <w:r>
        <w:rPr>
          <w:rFonts w:hint="eastAsia" w:ascii="Times New Roman" w:hAnsi="Times New Roman" w:eastAsia="楷体" w:cs="楷体"/>
          <w:sz w:val="24"/>
          <w:szCs w:val="24"/>
        </w:rPr>
        <w:fldChar w:fldCharType="end"/>
      </w:r>
      <w:bookmarkStart w:id="120" w:name="_Toc13150"/>
      <w:r>
        <w:rPr>
          <w:rFonts w:hint="eastAsia" w:ascii="Times New Roman" w:hAnsi="Times New Roman" w:eastAsia="楷体" w:cs="楷体"/>
          <w:sz w:val="24"/>
          <w:szCs w:val="24"/>
          <w:lang w:val="en-US" w:eastAsia="zh-CN"/>
        </w:rPr>
        <w:t xml:space="preserve"> </w:t>
      </w:r>
      <w:r>
        <w:rPr>
          <w:rFonts w:hint="eastAsia" w:ascii="Times New Roman" w:hAnsi="Times New Roman" w:eastAsia="楷体" w:cs="楷体"/>
          <w:sz w:val="24"/>
          <w:szCs w:val="24"/>
        </w:rPr>
        <w:t>近两学年不同学历层次专任教师人数变化情况（单位：人）</w:t>
      </w:r>
      <w:bookmarkEnd w:id="120"/>
      <w:bookmarkStart w:id="121" w:name="_Toc29973"/>
      <w:bookmarkStart w:id="122" w:name="_Toc20059"/>
      <w:bookmarkStart w:id="123" w:name="_Toc10167"/>
      <w:bookmarkStart w:id="124" w:name="_Toc91576126"/>
      <w:bookmarkStart w:id="125" w:name="_Toc31640"/>
      <w:bookmarkStart w:id="126" w:name="_Toc61254036"/>
      <w:bookmarkStart w:id="127" w:name="_Toc23559"/>
      <w:bookmarkStart w:id="128" w:name="_Toc23935"/>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rPr>
      </w:pPr>
    </w:p>
    <w:p>
      <w:pPr>
        <w:spacing w:line="560" w:lineRule="exact"/>
        <w:ind w:firstLine="562" w:firstLineChars="200"/>
        <w:outlineLvl w:val="2"/>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1</w:t>
      </w:r>
      <w:r>
        <w:rPr>
          <w:rFonts w:hint="eastAsia"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2</w:t>
      </w:r>
      <w:r>
        <w:rPr>
          <w:rFonts w:hint="eastAsia" w:ascii="Times New Roman" w:hAnsi="Times New Roman" w:eastAsia="宋体" w:cs="Times New Roman"/>
          <w:b/>
          <w:bCs/>
          <w:color w:val="auto"/>
          <w:sz w:val="28"/>
          <w:szCs w:val="28"/>
          <w:highlight w:val="none"/>
        </w:rPr>
        <w:t>.</w:t>
      </w:r>
      <w:r>
        <w:rPr>
          <w:rFonts w:ascii="Times New Roman" w:hAnsi="Times New Roman" w:eastAsia="宋体" w:cs="Times New Roman"/>
          <w:b/>
          <w:bCs/>
          <w:color w:val="auto"/>
          <w:sz w:val="28"/>
          <w:szCs w:val="28"/>
          <w:highlight w:val="none"/>
        </w:rPr>
        <w:t>3</w:t>
      </w:r>
      <w:r>
        <w:rPr>
          <w:rFonts w:hint="eastAsia" w:ascii="Times New Roman" w:hAnsi="Times New Roman" w:eastAsia="宋体" w:cs="Times New Roman"/>
          <w:b/>
          <w:bCs/>
          <w:color w:val="auto"/>
          <w:sz w:val="28"/>
          <w:szCs w:val="28"/>
          <w:highlight w:val="none"/>
        </w:rPr>
        <w:t xml:space="preserve"> 专任教师职称结构</w:t>
      </w:r>
      <w:bookmarkEnd w:id="121"/>
      <w:bookmarkEnd w:id="122"/>
      <w:bookmarkEnd w:id="123"/>
      <w:bookmarkEnd w:id="124"/>
      <w:bookmarkEnd w:id="125"/>
      <w:bookmarkEnd w:id="126"/>
      <w:bookmarkEnd w:id="127"/>
      <w:bookmarkEnd w:id="128"/>
    </w:p>
    <w:p>
      <w:pPr>
        <w:spacing w:line="560" w:lineRule="exact"/>
        <w:ind w:firstLine="480" w:firstLineChars="200"/>
        <w:rPr>
          <w:rFonts w:ascii="Times New Roman" w:hAnsi="Times New Roman" w:eastAsia="宋体"/>
          <w:b/>
          <w:bCs/>
          <w:sz w:val="24"/>
          <w:szCs w:val="24"/>
        </w:rPr>
      </w:pPr>
      <w:r>
        <w:rPr>
          <w:rFonts w:hint="eastAsia" w:ascii="Times New Roman" w:hAnsi="Times New Roman" w:eastAsia="宋体" w:cs="仿宋"/>
          <w:color w:val="auto"/>
          <w:sz w:val="24"/>
          <w:szCs w:val="24"/>
          <w:highlight w:val="none"/>
        </w:rPr>
        <w:t>专任教师</w:t>
      </w:r>
      <w:r>
        <w:rPr>
          <w:rFonts w:hint="eastAsia" w:ascii="Times New Roman" w:hAnsi="Times New Roman" w:eastAsia="宋体" w:cs="仿宋"/>
          <w:color w:val="auto"/>
          <w:sz w:val="24"/>
          <w:szCs w:val="24"/>
          <w:highlight w:val="none"/>
          <w:lang w:val="en-US" w:eastAsia="zh-CN"/>
        </w:rPr>
        <w:t>1464</w:t>
      </w:r>
      <w:r>
        <w:rPr>
          <w:rFonts w:hint="eastAsia" w:ascii="Times New Roman" w:hAnsi="Times New Roman" w:eastAsia="宋体" w:cs="仿宋"/>
          <w:color w:val="auto"/>
          <w:sz w:val="24"/>
          <w:szCs w:val="24"/>
          <w:highlight w:val="none"/>
        </w:rPr>
        <w:t>人，有高级职称的教师</w:t>
      </w:r>
      <w:r>
        <w:rPr>
          <w:rFonts w:hint="eastAsia" w:ascii="Times New Roman" w:hAnsi="Times New Roman" w:eastAsia="宋体" w:cs="仿宋"/>
          <w:color w:val="auto"/>
          <w:sz w:val="24"/>
          <w:szCs w:val="24"/>
          <w:highlight w:val="none"/>
          <w:lang w:val="en-US" w:eastAsia="zh-CN"/>
        </w:rPr>
        <w:t>496</w:t>
      </w:r>
      <w:r>
        <w:rPr>
          <w:rFonts w:hint="eastAsia" w:ascii="Times New Roman" w:hAnsi="Times New Roman" w:eastAsia="宋体" w:cs="仿宋"/>
          <w:color w:val="auto"/>
          <w:sz w:val="24"/>
          <w:szCs w:val="24"/>
          <w:highlight w:val="none"/>
        </w:rPr>
        <w:t>人，占专任教师总数的</w:t>
      </w:r>
      <w:r>
        <w:rPr>
          <w:rFonts w:hint="eastAsia" w:ascii="Times New Roman" w:hAnsi="Times New Roman" w:eastAsia="宋体" w:cs="仿宋"/>
          <w:color w:val="auto"/>
          <w:sz w:val="24"/>
          <w:szCs w:val="24"/>
          <w:highlight w:val="none"/>
          <w:lang w:val="en-US" w:eastAsia="zh-CN"/>
        </w:rPr>
        <w:t>33.88</w:t>
      </w:r>
      <w:r>
        <w:rPr>
          <w:rFonts w:hint="eastAsia" w:ascii="Times New Roman" w:hAnsi="Times New Roman" w:eastAsia="宋体" w:cs="仿宋"/>
          <w:color w:val="auto"/>
          <w:sz w:val="24"/>
          <w:szCs w:val="24"/>
          <w:highlight w:val="none"/>
        </w:rPr>
        <w:t>%，高于标准中“专任教师具有高级专业技术职务人数不低于20%”的要求；有中级职称的教师</w:t>
      </w:r>
      <w:r>
        <w:rPr>
          <w:rFonts w:hint="eastAsia" w:ascii="Times New Roman" w:hAnsi="Times New Roman" w:eastAsia="宋体" w:cs="仿宋"/>
          <w:color w:val="auto"/>
          <w:sz w:val="24"/>
          <w:szCs w:val="24"/>
          <w:highlight w:val="none"/>
          <w:lang w:val="en-US" w:eastAsia="zh-CN"/>
        </w:rPr>
        <w:t>622</w:t>
      </w:r>
      <w:r>
        <w:rPr>
          <w:rFonts w:hint="eastAsia" w:ascii="Times New Roman" w:hAnsi="Times New Roman" w:eastAsia="宋体" w:cs="仿宋"/>
          <w:color w:val="auto"/>
          <w:sz w:val="24"/>
          <w:szCs w:val="24"/>
          <w:highlight w:val="none"/>
        </w:rPr>
        <w:t>人，占专任教师总数的</w:t>
      </w:r>
      <w:r>
        <w:rPr>
          <w:rFonts w:hint="eastAsia" w:ascii="Times New Roman" w:hAnsi="Times New Roman" w:eastAsia="宋体" w:cs="仿宋"/>
          <w:color w:val="auto"/>
          <w:sz w:val="24"/>
          <w:szCs w:val="24"/>
          <w:highlight w:val="none"/>
          <w:lang w:val="en-US" w:eastAsia="zh-CN"/>
        </w:rPr>
        <w:t>42.49</w:t>
      </w:r>
      <w:r>
        <w:rPr>
          <w:rFonts w:hint="eastAsia" w:ascii="Times New Roman" w:hAnsi="Times New Roman" w:eastAsia="宋体" w:cs="仿宋"/>
          <w:color w:val="auto"/>
          <w:sz w:val="24"/>
          <w:szCs w:val="24"/>
          <w:highlight w:val="none"/>
        </w:rPr>
        <w:t>%；初级职称的教师</w:t>
      </w:r>
      <w:r>
        <w:rPr>
          <w:rFonts w:hint="eastAsia" w:ascii="Times New Roman" w:hAnsi="Times New Roman" w:eastAsia="宋体" w:cs="仿宋"/>
          <w:color w:val="auto"/>
          <w:sz w:val="24"/>
          <w:szCs w:val="24"/>
          <w:highlight w:val="none"/>
          <w:lang w:val="en-US" w:eastAsia="zh-CN"/>
        </w:rPr>
        <w:t>296</w:t>
      </w:r>
      <w:r>
        <w:rPr>
          <w:rFonts w:hint="eastAsia" w:ascii="Times New Roman" w:hAnsi="Times New Roman" w:eastAsia="宋体" w:cs="仿宋"/>
          <w:color w:val="auto"/>
          <w:sz w:val="24"/>
          <w:szCs w:val="24"/>
          <w:highlight w:val="none"/>
        </w:rPr>
        <w:t>人，占专任教师总数的</w:t>
      </w:r>
      <w:r>
        <w:rPr>
          <w:rFonts w:hint="eastAsia" w:ascii="Times New Roman" w:hAnsi="Times New Roman" w:eastAsia="宋体" w:cs="仿宋"/>
          <w:color w:val="auto"/>
          <w:sz w:val="24"/>
          <w:szCs w:val="24"/>
          <w:highlight w:val="none"/>
          <w:lang w:val="en-US" w:eastAsia="zh-CN"/>
        </w:rPr>
        <w:t>20.22</w:t>
      </w:r>
      <w:r>
        <w:rPr>
          <w:rFonts w:hint="eastAsia" w:ascii="Times New Roman" w:hAnsi="Times New Roman" w:eastAsia="宋体" w:cs="仿宋"/>
          <w:color w:val="auto"/>
          <w:sz w:val="24"/>
          <w:szCs w:val="24"/>
          <w:highlight w:val="none"/>
        </w:rPr>
        <w:t>%；未评职称的专任教师</w:t>
      </w:r>
      <w:r>
        <w:rPr>
          <w:rFonts w:hint="eastAsia" w:ascii="Times New Roman" w:hAnsi="Times New Roman" w:eastAsia="宋体" w:cs="仿宋"/>
          <w:color w:val="auto"/>
          <w:sz w:val="24"/>
          <w:szCs w:val="24"/>
          <w:highlight w:val="none"/>
          <w:lang w:val="en-US" w:eastAsia="zh-CN"/>
        </w:rPr>
        <w:t>50</w:t>
      </w:r>
      <w:r>
        <w:rPr>
          <w:rFonts w:hint="eastAsia" w:ascii="Times New Roman" w:hAnsi="Times New Roman" w:eastAsia="宋体" w:cs="仿宋"/>
          <w:color w:val="auto"/>
          <w:sz w:val="24"/>
          <w:szCs w:val="24"/>
          <w:highlight w:val="none"/>
        </w:rPr>
        <w:t>人，占专任教师总数的</w:t>
      </w:r>
      <w:r>
        <w:rPr>
          <w:rFonts w:hint="eastAsia" w:ascii="Times New Roman" w:hAnsi="Times New Roman" w:eastAsia="宋体" w:cs="仿宋"/>
          <w:color w:val="auto"/>
          <w:sz w:val="24"/>
          <w:szCs w:val="24"/>
          <w:highlight w:val="none"/>
          <w:lang w:val="en-US" w:eastAsia="zh-CN"/>
        </w:rPr>
        <w:t>3.42</w:t>
      </w:r>
      <w:r>
        <w:rPr>
          <w:rFonts w:hint="eastAsia" w:ascii="Times New Roman" w:hAnsi="Times New Roman" w:eastAsia="宋体" w:cs="仿宋"/>
          <w:color w:val="auto"/>
          <w:sz w:val="24"/>
          <w:szCs w:val="24"/>
          <w:highlight w:val="none"/>
        </w:rPr>
        <w:t>%</w:t>
      </w:r>
      <w:r>
        <w:rPr>
          <w:rFonts w:hint="eastAsia" w:ascii="Times New Roman" w:hAnsi="Times New Roman" w:eastAsia="宋体" w:cs="仿宋"/>
          <w:color w:val="auto"/>
          <w:sz w:val="24"/>
          <w:szCs w:val="24"/>
          <w:highlight w:val="none"/>
          <w:lang w:eastAsia="zh-CN"/>
        </w:rPr>
        <w:t>。</w:t>
      </w:r>
      <w:r>
        <w:rPr>
          <w:rFonts w:hint="eastAsia" w:ascii="Times New Roman" w:hAnsi="Times New Roman" w:eastAsia="宋体" w:cs="仿宋"/>
          <w:color w:val="auto"/>
          <w:sz w:val="24"/>
          <w:szCs w:val="24"/>
          <w:highlight w:val="none"/>
        </w:rPr>
        <w:t>获得中、高级职称的教师人数均有增加，职称结构进一步得到优化。近两学年专任教师职称结构变化统计见图</w:t>
      </w:r>
      <w:r>
        <w:rPr>
          <w:rFonts w:hint="eastAsia" w:ascii="Times New Roman" w:hAnsi="Times New Roman" w:eastAsia="宋体" w:cs="仿宋"/>
          <w:color w:val="auto"/>
          <w:sz w:val="24"/>
          <w:szCs w:val="24"/>
          <w:highlight w:val="none"/>
          <w:lang w:val="en-US" w:eastAsia="zh-CN"/>
        </w:rPr>
        <w:t>3</w:t>
      </w:r>
      <w:r>
        <w:rPr>
          <w:rFonts w:hint="eastAsia" w:ascii="Times New Roman" w:hAnsi="Times New Roman" w:eastAsia="宋体" w:cs="仿宋"/>
          <w:color w:val="auto"/>
          <w:sz w:val="24"/>
          <w:szCs w:val="24"/>
          <w:highlight w:val="none"/>
        </w:rPr>
        <w:t>。</w:t>
      </w:r>
    </w:p>
    <w:p>
      <w:pPr>
        <w:spacing w:line="360" w:lineRule="auto"/>
        <w:ind w:firstLine="481" w:firstLineChars="200"/>
        <w:rPr>
          <w:rFonts w:ascii="Times New Roman" w:hAnsi="Times New Roman" w:eastAsia="宋体"/>
          <w:b/>
          <w:bCs/>
          <w:sz w:val="24"/>
          <w:szCs w:val="24"/>
        </w:rPr>
      </w:pPr>
      <w:r>
        <w:rPr>
          <w:rFonts w:hint="eastAsia" w:ascii="Times New Roman" w:hAnsi="Times New Roman" w:eastAsia="宋体"/>
          <w:b/>
          <w:bCs/>
          <w:sz w:val="24"/>
          <w:szCs w:val="24"/>
        </w:rPr>
        <w:drawing>
          <wp:anchor distT="0" distB="0" distL="114300" distR="114300" simplePos="0" relativeHeight="251665408" behindDoc="0" locked="0" layoutInCell="1" allowOverlap="1">
            <wp:simplePos x="0" y="0"/>
            <wp:positionH relativeFrom="column">
              <wp:posOffset>380365</wp:posOffset>
            </wp:positionH>
            <wp:positionV relativeFrom="paragraph">
              <wp:posOffset>60325</wp:posOffset>
            </wp:positionV>
            <wp:extent cx="4514215" cy="1830070"/>
            <wp:effectExtent l="4445" t="4445" r="15240" b="6985"/>
            <wp:wrapNone/>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pPr>
        <w:spacing w:line="360" w:lineRule="auto"/>
        <w:ind w:firstLine="481" w:firstLineChars="200"/>
        <w:rPr>
          <w:rFonts w:ascii="Times New Roman" w:hAnsi="Times New Roman" w:eastAsia="宋体"/>
          <w:b/>
          <w:bCs/>
          <w:sz w:val="24"/>
          <w:szCs w:val="24"/>
        </w:rPr>
      </w:pPr>
    </w:p>
    <w:p>
      <w:pPr>
        <w:spacing w:line="360" w:lineRule="auto"/>
        <w:ind w:firstLine="481" w:firstLineChars="200"/>
        <w:rPr>
          <w:rFonts w:ascii="Times New Roman" w:hAnsi="Times New Roman" w:eastAsia="宋体"/>
          <w:b/>
          <w:bCs/>
          <w:sz w:val="24"/>
          <w:szCs w:val="24"/>
        </w:rPr>
      </w:pPr>
    </w:p>
    <w:p>
      <w:pPr>
        <w:spacing w:line="360" w:lineRule="auto"/>
        <w:ind w:firstLine="481" w:firstLineChars="200"/>
        <w:rPr>
          <w:rFonts w:ascii="Times New Roman" w:hAnsi="Times New Roman" w:eastAsia="宋体"/>
          <w:b/>
          <w:bCs/>
          <w:sz w:val="24"/>
          <w:szCs w:val="24"/>
        </w:rPr>
      </w:pPr>
    </w:p>
    <w:p>
      <w:pPr>
        <w:spacing w:line="360" w:lineRule="auto"/>
        <w:ind w:firstLine="481" w:firstLineChars="200"/>
        <w:rPr>
          <w:rFonts w:ascii="Times New Roman" w:hAnsi="Times New Roman" w:eastAsia="宋体"/>
          <w:b/>
          <w:bCs/>
          <w:sz w:val="24"/>
          <w:szCs w:val="24"/>
        </w:rPr>
      </w:pPr>
    </w:p>
    <w:p>
      <w:pPr>
        <w:spacing w:line="240" w:lineRule="auto"/>
        <w:rPr>
          <w:rFonts w:ascii="Times New Roman" w:hAnsi="Times New Roman" w:eastAsia="宋体"/>
          <w:b/>
          <w:bCs/>
          <w:sz w:val="24"/>
          <w:szCs w:val="24"/>
        </w:rPr>
      </w:pPr>
    </w:p>
    <w:p>
      <w:pPr>
        <w:pStyle w:val="8"/>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rPr>
          <w:rFonts w:hint="eastAsia" w:ascii="Times New Roman" w:hAnsi="Times New Roman" w:eastAsia="楷体" w:cs="楷体"/>
          <w:sz w:val="24"/>
          <w:szCs w:val="24"/>
        </w:rPr>
      </w:pPr>
    </w:p>
    <w:p>
      <w:pPr>
        <w:pStyle w:val="8"/>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rPr>
          <w:rFonts w:hint="eastAsia" w:ascii="Times New Roman" w:hAnsi="Times New Roman" w:eastAsia="楷体" w:cs="楷体"/>
          <w:sz w:val="24"/>
          <w:szCs w:val="24"/>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3</w:t>
      </w:r>
      <w:r>
        <w:rPr>
          <w:rFonts w:hint="eastAsia" w:ascii="Times New Roman" w:hAnsi="Times New Roman" w:eastAsia="楷体" w:cs="楷体"/>
          <w:sz w:val="24"/>
          <w:szCs w:val="24"/>
        </w:rPr>
        <w:fldChar w:fldCharType="end"/>
      </w:r>
      <w:bookmarkStart w:id="129" w:name="_Toc13079"/>
      <w:r>
        <w:rPr>
          <w:rFonts w:hint="eastAsia" w:ascii="Times New Roman" w:hAnsi="Times New Roman" w:eastAsia="楷体" w:cs="楷体"/>
          <w:sz w:val="24"/>
          <w:szCs w:val="24"/>
          <w:lang w:val="en-US" w:eastAsia="zh-CN"/>
        </w:rPr>
        <w:t xml:space="preserve"> </w:t>
      </w:r>
      <w:r>
        <w:rPr>
          <w:rFonts w:hint="eastAsia" w:ascii="Times New Roman" w:hAnsi="Times New Roman" w:eastAsia="楷体" w:cs="楷体"/>
          <w:sz w:val="24"/>
          <w:szCs w:val="24"/>
        </w:rPr>
        <w:t>近两学年专任教师职称结构变化统计（单位：人）</w:t>
      </w:r>
      <w:bookmarkEnd w:id="129"/>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rPr>
      </w:pPr>
    </w:p>
    <w:p>
      <w:pPr>
        <w:spacing w:line="560" w:lineRule="exact"/>
        <w:ind w:firstLine="602" w:firstLineChars="200"/>
        <w:outlineLvl w:val="1"/>
        <w:rPr>
          <w:rFonts w:ascii="Times New Roman" w:hAnsi="Times New Roman" w:eastAsia="楷体" w:cs="Times New Roman"/>
          <w:b/>
          <w:bCs/>
          <w:color w:val="auto"/>
          <w:sz w:val="30"/>
          <w:szCs w:val="30"/>
          <w:highlight w:val="none"/>
        </w:rPr>
      </w:pPr>
      <w:bookmarkStart w:id="130" w:name="_Toc19977"/>
      <w:r>
        <w:rPr>
          <w:rFonts w:ascii="Times New Roman" w:hAnsi="Times New Roman" w:eastAsia="楷体" w:cs="Times New Roman"/>
          <w:b/>
          <w:bCs/>
          <w:color w:val="auto"/>
          <w:sz w:val="30"/>
          <w:szCs w:val="30"/>
          <w:highlight w:val="none"/>
        </w:rPr>
        <w:t>1</w:t>
      </w:r>
      <w:r>
        <w:rPr>
          <w:rFonts w:hint="eastAsia" w:ascii="Times New Roman" w:hAnsi="Times New Roman" w:eastAsia="楷体" w:cs="Times New Roman"/>
          <w:b/>
          <w:bCs/>
          <w:color w:val="auto"/>
          <w:sz w:val="30"/>
          <w:szCs w:val="30"/>
          <w:highlight w:val="none"/>
        </w:rPr>
        <w:t>.</w:t>
      </w:r>
      <w:r>
        <w:rPr>
          <w:rFonts w:hint="eastAsia" w:ascii="Times New Roman" w:hAnsi="Times New Roman" w:eastAsia="楷体" w:cs="Times New Roman"/>
          <w:b/>
          <w:bCs/>
          <w:color w:val="auto"/>
          <w:sz w:val="30"/>
          <w:szCs w:val="30"/>
          <w:highlight w:val="none"/>
          <w:lang w:val="en-US" w:eastAsia="zh-CN"/>
        </w:rPr>
        <w:t>3</w:t>
      </w:r>
      <w:r>
        <w:rPr>
          <w:rFonts w:hint="eastAsia" w:ascii="Times New Roman" w:hAnsi="Times New Roman" w:eastAsia="楷体" w:cs="Times New Roman"/>
          <w:b/>
          <w:bCs/>
          <w:color w:val="auto"/>
          <w:sz w:val="30"/>
          <w:szCs w:val="30"/>
          <w:highlight w:val="none"/>
        </w:rPr>
        <w:t xml:space="preserve"> 设施设备</w:t>
      </w:r>
      <w:bookmarkEnd w:id="92"/>
      <w:bookmarkEnd w:id="93"/>
      <w:bookmarkEnd w:id="94"/>
      <w:bookmarkEnd w:id="95"/>
      <w:bookmarkEnd w:id="96"/>
      <w:bookmarkEnd w:id="97"/>
      <w:bookmarkEnd w:id="130"/>
    </w:p>
    <w:p>
      <w:pPr>
        <w:spacing w:line="560" w:lineRule="exact"/>
        <w:ind w:firstLine="562" w:firstLineChars="200"/>
        <w:outlineLvl w:val="2"/>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1</w:t>
      </w:r>
      <w:r>
        <w:rPr>
          <w:rFonts w:hint="eastAsia"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3</w:t>
      </w:r>
      <w:r>
        <w:rPr>
          <w:rFonts w:hint="eastAsia" w:ascii="Times New Roman" w:hAnsi="Times New Roman" w:eastAsia="宋体" w:cs="Times New Roman"/>
          <w:b/>
          <w:bCs/>
          <w:color w:val="auto"/>
          <w:sz w:val="28"/>
          <w:szCs w:val="28"/>
          <w:highlight w:val="none"/>
        </w:rPr>
        <w:t>.</w:t>
      </w:r>
      <w:r>
        <w:rPr>
          <w:rFonts w:ascii="Times New Roman" w:hAnsi="Times New Roman" w:eastAsia="宋体" w:cs="Times New Roman"/>
          <w:b/>
          <w:bCs/>
          <w:color w:val="auto"/>
          <w:sz w:val="28"/>
          <w:szCs w:val="28"/>
          <w:highlight w:val="none"/>
        </w:rPr>
        <w:t>1</w:t>
      </w:r>
      <w:r>
        <w:rPr>
          <w:rFonts w:hint="eastAsia" w:ascii="Times New Roman" w:hAnsi="Times New Roman" w:eastAsia="宋体" w:cs="Times New Roman"/>
          <w:b/>
          <w:bCs/>
          <w:color w:val="auto"/>
          <w:sz w:val="28"/>
          <w:szCs w:val="28"/>
          <w:highlight w:val="none"/>
        </w:rPr>
        <w:t xml:space="preserve"> 校园校舍面积</w:t>
      </w:r>
    </w:p>
    <w:p>
      <w:pPr>
        <w:spacing w:line="560" w:lineRule="exact"/>
        <w:ind w:firstLine="480" w:firstLineChars="200"/>
        <w:rPr>
          <w:rFonts w:hint="eastAsia" w:ascii="Times New Roman" w:hAnsi="Times New Roman" w:eastAsia="宋体" w:cs="仿宋"/>
          <w:color w:val="auto"/>
          <w:sz w:val="24"/>
          <w:szCs w:val="24"/>
          <w:highlight w:val="none"/>
          <w:lang w:eastAsia="zh-CN"/>
        </w:rPr>
      </w:pPr>
      <w:r>
        <w:rPr>
          <w:rFonts w:hint="eastAsia" w:ascii="Times New Roman" w:hAnsi="Times New Roman" w:eastAsia="宋体" w:cs="仿宋"/>
          <w:color w:val="auto"/>
          <w:sz w:val="24"/>
          <w:szCs w:val="24"/>
          <w:highlight w:val="none"/>
          <w:lang w:val="en-US" w:eastAsia="zh-CN"/>
        </w:rPr>
        <w:t>2023-2024学年，遂宁市中等职业学校</w:t>
      </w:r>
      <w:r>
        <w:rPr>
          <w:rFonts w:hint="eastAsia" w:ascii="Times New Roman" w:hAnsi="Times New Roman" w:eastAsia="宋体" w:cs="仿宋"/>
          <w:color w:val="auto"/>
          <w:sz w:val="24"/>
          <w:szCs w:val="24"/>
          <w:highlight w:val="none"/>
        </w:rPr>
        <w:t>总占地面积</w:t>
      </w:r>
      <w:r>
        <w:rPr>
          <w:rFonts w:hint="eastAsia" w:ascii="Times New Roman" w:hAnsi="Times New Roman" w:eastAsia="宋体" w:cs="仿宋"/>
          <w:color w:val="auto"/>
          <w:sz w:val="24"/>
          <w:szCs w:val="24"/>
          <w:highlight w:val="none"/>
        </w:rPr>
        <w:footnoteReference w:id="0"/>
      </w:r>
      <w:r>
        <w:rPr>
          <w:rFonts w:hint="eastAsia" w:ascii="Times New Roman" w:hAnsi="Times New Roman" w:eastAsia="宋体" w:cs="仿宋"/>
          <w:color w:val="auto"/>
          <w:sz w:val="24"/>
          <w:szCs w:val="24"/>
          <w:highlight w:val="none"/>
          <w:lang w:val="en-US" w:eastAsia="zh-CN"/>
        </w:rPr>
        <w:t>968962.31平方米，比去年增加57198.40平方米，生均占地面积44.39平方米，优于设置标准对生均用地面积指标不少于33平方米的要求；校舍建筑面积</w:t>
      </w:r>
      <w:r>
        <w:rPr>
          <w:rFonts w:hint="eastAsia" w:ascii="Times New Roman" w:hAnsi="Times New Roman" w:eastAsia="宋体" w:cs="仿宋"/>
          <w:color w:val="auto"/>
          <w:sz w:val="24"/>
          <w:szCs w:val="24"/>
          <w:highlight w:val="none"/>
        </w:rPr>
        <w:footnoteReference w:id="1"/>
      </w:r>
      <w:r>
        <w:rPr>
          <w:rFonts w:hint="eastAsia" w:ascii="Times New Roman" w:hAnsi="Times New Roman" w:eastAsia="宋体" w:cs="仿宋"/>
          <w:color w:val="auto"/>
          <w:sz w:val="24"/>
          <w:szCs w:val="24"/>
          <w:highlight w:val="none"/>
          <w:lang w:val="en-US" w:eastAsia="zh-CN"/>
        </w:rPr>
        <w:t>619918.03平方米，比去年增加53752.64平方米，生均校舍建筑面积28.40平方米，优于设置标准对生均校舍建筑面积指标不少于20平方米的要求。详见图4。</w:t>
      </w:r>
    </w:p>
    <w:p>
      <w:pPr>
        <w:pStyle w:val="28"/>
        <w:keepNext w:val="0"/>
        <w:keepLines w:val="0"/>
        <w:pageBreakBefore w:val="0"/>
        <w:widowControl w:val="0"/>
        <w:kinsoku/>
        <w:wordWrap/>
        <w:overflowPunct/>
        <w:topLinePunct w:val="0"/>
        <w:autoSpaceDE/>
        <w:autoSpaceDN/>
        <w:bidi w:val="0"/>
        <w:adjustRightInd/>
        <w:snapToGrid/>
        <w:spacing w:after="0" w:line="240" w:lineRule="exact"/>
        <w:ind w:firstLine="210"/>
        <w:textAlignment w:val="auto"/>
        <w:rPr>
          <w:rFonts w:hint="default"/>
        </w:rPr>
      </w:pPr>
      <w:r>
        <w:rPr>
          <w:rFonts w:ascii="Times New Roman" w:hAnsi="Times New Roman" w:eastAsiaTheme="minorEastAsia"/>
        </w:rPr>
        <w:drawing>
          <wp:anchor distT="0" distB="0" distL="114300" distR="114300" simplePos="0" relativeHeight="251699200" behindDoc="0" locked="0" layoutInCell="1" allowOverlap="1">
            <wp:simplePos x="0" y="0"/>
            <wp:positionH relativeFrom="column">
              <wp:posOffset>380365</wp:posOffset>
            </wp:positionH>
            <wp:positionV relativeFrom="paragraph">
              <wp:posOffset>46990</wp:posOffset>
            </wp:positionV>
            <wp:extent cx="4513580" cy="1983740"/>
            <wp:effectExtent l="4445" t="4445" r="15875" b="5715"/>
            <wp:wrapNone/>
            <wp:docPr id="4" name="图表 4" descr="7b0a202020202263686172745265734964223a20223230343736303833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pPr>
        <w:pStyle w:val="28"/>
        <w:ind w:firstLine="210"/>
        <w:rPr>
          <w:rFonts w:hint="default" w:ascii="Times New Roman" w:hAnsi="Times New Roman" w:eastAsiaTheme="minorEastAsia"/>
        </w:rPr>
      </w:pPr>
    </w:p>
    <w:p>
      <w:pPr>
        <w:pStyle w:val="28"/>
        <w:ind w:firstLine="210"/>
        <w:rPr>
          <w:rFonts w:hint="default" w:ascii="Times New Roman" w:hAnsi="Times New Roman" w:eastAsiaTheme="minorEastAsia"/>
        </w:rPr>
      </w:pPr>
    </w:p>
    <w:p>
      <w:pPr>
        <w:pStyle w:val="28"/>
        <w:ind w:firstLine="210"/>
        <w:rPr>
          <w:rFonts w:hint="default" w:ascii="Times New Roman" w:hAnsi="Times New Roman" w:eastAsiaTheme="minorEastAsia"/>
        </w:rPr>
      </w:pPr>
    </w:p>
    <w:p>
      <w:pPr>
        <w:pStyle w:val="28"/>
        <w:ind w:firstLine="210"/>
        <w:rPr>
          <w:rFonts w:hint="default" w:ascii="Times New Roman" w:hAnsi="Times New Roman" w:eastAsiaTheme="minorEastAsia"/>
        </w:rPr>
      </w:pPr>
    </w:p>
    <w:p>
      <w:pPr>
        <w:pStyle w:val="28"/>
        <w:ind w:firstLine="210"/>
        <w:rPr>
          <w:rFonts w:hint="default" w:ascii="Times New Roman" w:hAnsi="Times New Roman" w:eastAsiaTheme="minorEastAsia"/>
        </w:rPr>
      </w:pPr>
    </w:p>
    <w:p>
      <w:pPr>
        <w:pStyle w:val="28"/>
        <w:ind w:left="0" w:leftChars="0" w:firstLine="0" w:firstLineChars="0"/>
        <w:rPr>
          <w:rFonts w:hint="default" w:ascii="Times New Roman" w:hAnsi="Times New Roman" w:eastAsiaTheme="minorEastAsia"/>
        </w:rPr>
      </w:pPr>
    </w:p>
    <w:p>
      <w:pPr>
        <w:pStyle w:val="28"/>
        <w:ind w:firstLine="210"/>
        <w:rPr>
          <w:rFonts w:hint="default" w:ascii="Times New Roman" w:hAnsi="Times New Roman" w:eastAsiaTheme="minorEastAsia"/>
        </w:rPr>
      </w:pPr>
    </w:p>
    <w:p>
      <w:pPr>
        <w:pStyle w:val="8"/>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rPr>
          <w:rFonts w:hint="eastAsia" w:ascii="Times New Roman" w:hAnsi="Times New Roman" w:eastAsia="楷体" w:cs="楷体"/>
          <w:sz w:val="24"/>
          <w:szCs w:val="24"/>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4</w:t>
      </w:r>
      <w:r>
        <w:rPr>
          <w:rFonts w:hint="eastAsia" w:ascii="Times New Roman" w:hAnsi="Times New Roman" w:eastAsia="楷体" w:cs="楷体"/>
          <w:sz w:val="24"/>
          <w:szCs w:val="24"/>
        </w:rPr>
        <w:fldChar w:fldCharType="end"/>
      </w:r>
      <w:bookmarkStart w:id="131" w:name="_Toc25912"/>
      <w:r>
        <w:rPr>
          <w:rFonts w:hint="eastAsia" w:ascii="Times New Roman" w:hAnsi="Times New Roman" w:eastAsia="楷体" w:cs="楷体"/>
          <w:sz w:val="24"/>
          <w:szCs w:val="24"/>
          <w:lang w:val="en-US" w:eastAsia="zh-CN"/>
        </w:rPr>
        <w:t xml:space="preserve"> </w:t>
      </w:r>
      <w:r>
        <w:rPr>
          <w:rFonts w:hint="eastAsia" w:ascii="Times New Roman" w:hAnsi="Times New Roman" w:eastAsia="楷体" w:cs="楷体"/>
          <w:sz w:val="24"/>
          <w:szCs w:val="24"/>
        </w:rPr>
        <w:t>近两学年遂宁市中等职业教育办学资源统计图（单位：平方米）</w:t>
      </w:r>
      <w:bookmarkEnd w:id="131"/>
    </w:p>
    <w:p>
      <w:pPr>
        <w:spacing w:line="560" w:lineRule="exact"/>
        <w:ind w:firstLine="562" w:firstLineChars="200"/>
        <w:outlineLvl w:val="2"/>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1</w:t>
      </w:r>
      <w:r>
        <w:rPr>
          <w:rFonts w:hint="eastAsia"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3</w:t>
      </w:r>
      <w:r>
        <w:rPr>
          <w:rFonts w:hint="eastAsia" w:ascii="Times New Roman" w:hAnsi="Times New Roman" w:eastAsia="宋体" w:cs="Times New Roman"/>
          <w:b/>
          <w:bCs/>
          <w:color w:val="auto"/>
          <w:sz w:val="28"/>
          <w:szCs w:val="28"/>
          <w:highlight w:val="none"/>
        </w:rPr>
        <w:t>.</w:t>
      </w:r>
      <w:r>
        <w:rPr>
          <w:rFonts w:ascii="Times New Roman" w:hAnsi="Times New Roman" w:eastAsia="宋体" w:cs="Times New Roman"/>
          <w:b/>
          <w:bCs/>
          <w:color w:val="auto"/>
          <w:sz w:val="28"/>
          <w:szCs w:val="28"/>
          <w:highlight w:val="none"/>
        </w:rPr>
        <w:t>2</w:t>
      </w:r>
      <w:r>
        <w:rPr>
          <w:rFonts w:hint="eastAsia" w:ascii="Times New Roman" w:hAnsi="Times New Roman" w:eastAsia="宋体" w:cs="Times New Roman"/>
          <w:b/>
          <w:bCs/>
          <w:color w:val="auto"/>
          <w:sz w:val="28"/>
          <w:szCs w:val="28"/>
          <w:highlight w:val="none"/>
        </w:rPr>
        <w:t xml:space="preserve"> 仪器设备</w:t>
      </w:r>
    </w:p>
    <w:p>
      <w:pPr>
        <w:spacing w:line="560" w:lineRule="exact"/>
        <w:ind w:firstLine="480" w:firstLineChars="200"/>
        <w:rPr>
          <w:rFonts w:hint="eastAsia" w:ascii="Times New Roman" w:hAnsi="Times New Roman" w:eastAsia="宋体" w:cs="仿宋"/>
          <w:color w:val="auto"/>
          <w:sz w:val="24"/>
          <w:szCs w:val="24"/>
          <w:highlight w:val="none"/>
        </w:rPr>
      </w:pPr>
      <w:r>
        <w:rPr>
          <w:rFonts w:hint="eastAsia" w:ascii="Times New Roman" w:hAnsi="Times New Roman" w:eastAsia="宋体" w:cs="仿宋"/>
          <w:color w:val="auto"/>
          <w:sz w:val="24"/>
          <w:szCs w:val="24"/>
          <w:highlight w:val="none"/>
        </w:rPr>
        <w:t>202</w:t>
      </w:r>
      <w:r>
        <w:rPr>
          <w:rFonts w:hint="eastAsia" w:ascii="Times New Roman" w:hAnsi="Times New Roman" w:eastAsia="宋体" w:cs="仿宋"/>
          <w:color w:val="auto"/>
          <w:sz w:val="24"/>
          <w:szCs w:val="24"/>
          <w:highlight w:val="none"/>
          <w:lang w:val="en-US" w:eastAsia="zh-CN"/>
        </w:rPr>
        <w:t>4</w:t>
      </w:r>
      <w:r>
        <w:rPr>
          <w:rFonts w:hint="eastAsia" w:ascii="Times New Roman" w:hAnsi="Times New Roman" w:eastAsia="宋体" w:cs="仿宋"/>
          <w:color w:val="auto"/>
          <w:sz w:val="24"/>
          <w:szCs w:val="24"/>
          <w:highlight w:val="none"/>
        </w:rPr>
        <w:t>年，遂宁市持续加强基础能力建设，努力改善办学条件，固定资产总值、教学仪器设备资产值、教学用计算机等</w:t>
      </w:r>
      <w:r>
        <w:rPr>
          <w:rFonts w:hint="eastAsia" w:ascii="Times New Roman" w:hAnsi="Times New Roman" w:eastAsia="宋体" w:cs="仿宋"/>
          <w:color w:val="auto"/>
          <w:sz w:val="24"/>
          <w:szCs w:val="24"/>
          <w:highlight w:val="none"/>
          <w:lang w:eastAsia="zh-CN"/>
        </w:rPr>
        <w:t>生均</w:t>
      </w:r>
      <w:r>
        <w:rPr>
          <w:rFonts w:hint="eastAsia" w:ascii="Times New Roman" w:hAnsi="Times New Roman" w:eastAsia="宋体" w:cs="仿宋"/>
          <w:color w:val="auto"/>
          <w:sz w:val="24"/>
          <w:szCs w:val="24"/>
          <w:highlight w:val="none"/>
        </w:rPr>
        <w:t>指标</w:t>
      </w:r>
      <w:r>
        <w:rPr>
          <w:rFonts w:hint="eastAsia" w:ascii="Times New Roman" w:hAnsi="Times New Roman" w:eastAsia="宋体" w:cs="仿宋"/>
          <w:color w:val="auto"/>
          <w:sz w:val="24"/>
          <w:szCs w:val="24"/>
          <w:highlight w:val="none"/>
          <w:lang w:val="en-US" w:eastAsia="zh-CN"/>
        </w:rPr>
        <w:t>均高于设置标准</w:t>
      </w:r>
      <w:r>
        <w:rPr>
          <w:rFonts w:hint="eastAsia" w:ascii="Times New Roman" w:hAnsi="Times New Roman" w:eastAsia="宋体" w:cs="仿宋"/>
          <w:color w:val="auto"/>
          <w:sz w:val="24"/>
          <w:szCs w:val="24"/>
          <w:highlight w:val="none"/>
        </w:rPr>
        <w:t>。其中教学用计算机</w:t>
      </w:r>
      <w:r>
        <w:rPr>
          <w:rFonts w:hint="eastAsia" w:ascii="Times New Roman" w:hAnsi="Times New Roman" w:eastAsia="宋体" w:cs="仿宋"/>
          <w:color w:val="auto"/>
          <w:sz w:val="24"/>
          <w:szCs w:val="24"/>
          <w:highlight w:val="none"/>
          <w:lang w:val="en-US" w:eastAsia="zh-CN"/>
        </w:rPr>
        <w:t>6702</w:t>
      </w:r>
      <w:r>
        <w:rPr>
          <w:rFonts w:hint="eastAsia" w:ascii="Times New Roman" w:hAnsi="Times New Roman" w:eastAsia="宋体" w:cs="仿宋"/>
          <w:color w:val="auto"/>
          <w:sz w:val="24"/>
          <w:szCs w:val="24"/>
          <w:highlight w:val="none"/>
          <w:lang w:eastAsia="zh-CN"/>
        </w:rPr>
        <w:t>台，</w:t>
      </w:r>
      <w:r>
        <w:rPr>
          <w:rFonts w:hint="eastAsia" w:ascii="Times New Roman" w:hAnsi="Times New Roman" w:eastAsia="宋体" w:cs="仿宋"/>
          <w:color w:val="auto"/>
          <w:sz w:val="24"/>
          <w:szCs w:val="24"/>
          <w:highlight w:val="none"/>
        </w:rPr>
        <w:t>较202</w:t>
      </w:r>
      <w:r>
        <w:rPr>
          <w:rFonts w:hint="eastAsia" w:ascii="Times New Roman" w:hAnsi="Times New Roman" w:eastAsia="宋体" w:cs="仿宋"/>
          <w:color w:val="auto"/>
          <w:sz w:val="24"/>
          <w:szCs w:val="24"/>
          <w:highlight w:val="none"/>
          <w:lang w:val="en-US" w:eastAsia="zh-CN"/>
        </w:rPr>
        <w:t>4</w:t>
      </w:r>
      <w:r>
        <w:rPr>
          <w:rFonts w:hint="eastAsia" w:ascii="Times New Roman" w:hAnsi="Times New Roman" w:eastAsia="宋体" w:cs="仿宋"/>
          <w:color w:val="auto"/>
          <w:sz w:val="24"/>
          <w:szCs w:val="24"/>
          <w:highlight w:val="none"/>
        </w:rPr>
        <w:t>年增加了</w:t>
      </w:r>
      <w:r>
        <w:rPr>
          <w:rFonts w:hint="eastAsia" w:ascii="Times New Roman" w:hAnsi="Times New Roman" w:eastAsia="宋体" w:cs="仿宋"/>
          <w:color w:val="auto"/>
          <w:sz w:val="24"/>
          <w:szCs w:val="24"/>
          <w:highlight w:val="none"/>
          <w:lang w:val="en-US" w:eastAsia="zh-CN"/>
        </w:rPr>
        <w:t>64台，</w:t>
      </w:r>
      <w:r>
        <w:rPr>
          <w:rFonts w:hint="eastAsia" w:ascii="Times New Roman" w:hAnsi="Times New Roman" w:eastAsia="宋体" w:cs="仿宋"/>
          <w:color w:val="auto"/>
          <w:sz w:val="24"/>
          <w:szCs w:val="24"/>
          <w:highlight w:val="none"/>
        </w:rPr>
        <w:t>教学用计算机</w:t>
      </w:r>
      <w:r>
        <w:rPr>
          <w:rFonts w:hint="eastAsia" w:ascii="Times New Roman" w:hAnsi="Times New Roman" w:eastAsia="宋体" w:cs="仿宋"/>
          <w:color w:val="auto"/>
          <w:sz w:val="24"/>
          <w:szCs w:val="24"/>
          <w:highlight w:val="none"/>
          <w:lang w:val="en-US" w:eastAsia="zh-CN"/>
        </w:rPr>
        <w:t>30.70</w:t>
      </w:r>
      <w:r>
        <w:rPr>
          <w:rFonts w:hint="eastAsia" w:ascii="Times New Roman" w:hAnsi="Times New Roman" w:eastAsia="宋体" w:cs="仿宋"/>
          <w:color w:val="auto"/>
          <w:sz w:val="24"/>
          <w:szCs w:val="24"/>
          <w:highlight w:val="none"/>
        </w:rPr>
        <w:t>台/百生</w:t>
      </w:r>
      <w:r>
        <w:rPr>
          <w:rFonts w:hint="eastAsia" w:ascii="Times New Roman" w:hAnsi="Times New Roman" w:eastAsia="宋体" w:cs="仿宋"/>
          <w:color w:val="auto"/>
          <w:sz w:val="24"/>
          <w:szCs w:val="24"/>
          <w:highlight w:val="none"/>
          <w:lang w:eastAsia="zh-CN"/>
        </w:rPr>
        <w:t>；</w:t>
      </w:r>
      <w:r>
        <w:rPr>
          <w:rFonts w:hint="eastAsia" w:ascii="Times New Roman" w:hAnsi="Times New Roman" w:eastAsia="宋体" w:cs="仿宋"/>
          <w:color w:val="auto"/>
          <w:sz w:val="24"/>
          <w:szCs w:val="24"/>
          <w:highlight w:val="none"/>
        </w:rPr>
        <w:t>固定资产总值达</w:t>
      </w:r>
      <w:r>
        <w:rPr>
          <w:rFonts w:hint="eastAsia" w:ascii="Times New Roman" w:hAnsi="Times New Roman" w:eastAsia="宋体" w:cs="仿宋"/>
          <w:color w:val="auto"/>
          <w:sz w:val="24"/>
          <w:szCs w:val="24"/>
          <w:highlight w:val="none"/>
          <w:lang w:val="en-US" w:eastAsia="zh-CN"/>
        </w:rPr>
        <w:t>78288.24</w:t>
      </w:r>
      <w:r>
        <w:rPr>
          <w:rFonts w:hint="eastAsia" w:ascii="Times New Roman" w:hAnsi="Times New Roman" w:eastAsia="宋体" w:cs="仿宋"/>
          <w:color w:val="auto"/>
          <w:sz w:val="24"/>
          <w:szCs w:val="24"/>
          <w:highlight w:val="none"/>
        </w:rPr>
        <w:t>万元，比202</w:t>
      </w:r>
      <w:r>
        <w:rPr>
          <w:rFonts w:hint="eastAsia" w:ascii="Times New Roman" w:hAnsi="Times New Roman" w:eastAsia="宋体" w:cs="仿宋"/>
          <w:color w:val="auto"/>
          <w:sz w:val="24"/>
          <w:szCs w:val="24"/>
          <w:highlight w:val="none"/>
          <w:lang w:val="en-US" w:eastAsia="zh-CN"/>
        </w:rPr>
        <w:t>3</w:t>
      </w:r>
      <w:r>
        <w:rPr>
          <w:rFonts w:hint="eastAsia" w:ascii="Times New Roman" w:hAnsi="Times New Roman" w:eastAsia="宋体" w:cs="仿宋"/>
          <w:color w:val="auto"/>
          <w:sz w:val="24"/>
          <w:szCs w:val="24"/>
          <w:highlight w:val="none"/>
        </w:rPr>
        <w:t>年</w:t>
      </w:r>
      <w:r>
        <w:rPr>
          <w:rFonts w:hint="eastAsia" w:ascii="Times New Roman" w:hAnsi="Times New Roman" w:eastAsia="宋体" w:cs="仿宋"/>
          <w:color w:val="auto"/>
          <w:sz w:val="24"/>
          <w:szCs w:val="24"/>
          <w:highlight w:val="none"/>
          <w:lang w:eastAsia="zh-CN"/>
        </w:rPr>
        <w:t>减少</w:t>
      </w:r>
      <w:r>
        <w:rPr>
          <w:rFonts w:hint="eastAsia" w:ascii="Times New Roman" w:hAnsi="Times New Roman" w:eastAsia="宋体" w:cs="仿宋"/>
          <w:color w:val="auto"/>
          <w:sz w:val="24"/>
          <w:szCs w:val="24"/>
          <w:highlight w:val="none"/>
          <w:lang w:val="en-US" w:eastAsia="zh-CN"/>
        </w:rPr>
        <w:t>5432.26</w:t>
      </w:r>
      <w:r>
        <w:rPr>
          <w:rFonts w:hint="eastAsia" w:ascii="Times New Roman" w:hAnsi="Times New Roman" w:eastAsia="宋体" w:cs="仿宋"/>
          <w:color w:val="auto"/>
          <w:sz w:val="24"/>
          <w:szCs w:val="24"/>
          <w:highlight w:val="none"/>
        </w:rPr>
        <w:t>万元</w:t>
      </w:r>
      <w:r>
        <w:rPr>
          <w:rFonts w:hint="eastAsia" w:ascii="Times New Roman" w:hAnsi="Times New Roman" w:eastAsia="宋体" w:cs="仿宋"/>
          <w:color w:val="auto"/>
          <w:sz w:val="24"/>
          <w:szCs w:val="24"/>
          <w:highlight w:val="none"/>
          <w:lang w:val="en-US" w:eastAsia="zh-CN"/>
        </w:rPr>
        <w:t>；</w:t>
      </w:r>
      <w:r>
        <w:rPr>
          <w:rFonts w:hint="eastAsia" w:ascii="Times New Roman" w:hAnsi="Times New Roman" w:eastAsia="宋体" w:cs="仿宋"/>
          <w:color w:val="auto"/>
          <w:sz w:val="24"/>
          <w:szCs w:val="24"/>
          <w:highlight w:val="none"/>
        </w:rPr>
        <w:t>教学仪器设备总值</w:t>
      </w:r>
      <w:r>
        <w:rPr>
          <w:rFonts w:hint="eastAsia" w:ascii="Times New Roman" w:hAnsi="Times New Roman" w:eastAsia="宋体" w:cs="仿宋"/>
          <w:color w:val="auto"/>
          <w:sz w:val="24"/>
          <w:szCs w:val="24"/>
          <w:highlight w:val="none"/>
          <w:lang w:val="en-US" w:eastAsia="zh-CN"/>
        </w:rPr>
        <w:t>23792.22</w:t>
      </w:r>
      <w:r>
        <w:rPr>
          <w:rFonts w:hint="eastAsia" w:ascii="Times New Roman" w:hAnsi="Times New Roman" w:eastAsia="宋体" w:cs="仿宋"/>
          <w:color w:val="auto"/>
          <w:sz w:val="24"/>
          <w:szCs w:val="24"/>
          <w:highlight w:val="none"/>
        </w:rPr>
        <w:t>万元，比202</w:t>
      </w:r>
      <w:r>
        <w:rPr>
          <w:rFonts w:hint="eastAsia" w:ascii="Times New Roman" w:hAnsi="Times New Roman" w:eastAsia="宋体" w:cs="仿宋"/>
          <w:color w:val="auto"/>
          <w:sz w:val="24"/>
          <w:szCs w:val="24"/>
          <w:highlight w:val="none"/>
          <w:lang w:val="en-US" w:eastAsia="zh-CN"/>
        </w:rPr>
        <w:t>3</w:t>
      </w:r>
      <w:r>
        <w:rPr>
          <w:rFonts w:hint="eastAsia" w:ascii="Times New Roman" w:hAnsi="Times New Roman" w:eastAsia="宋体" w:cs="仿宋"/>
          <w:color w:val="auto"/>
          <w:sz w:val="24"/>
          <w:szCs w:val="24"/>
          <w:highlight w:val="none"/>
        </w:rPr>
        <w:t>年</w:t>
      </w:r>
      <w:r>
        <w:rPr>
          <w:rFonts w:hint="eastAsia" w:ascii="Times New Roman" w:hAnsi="Times New Roman" w:eastAsia="宋体" w:cs="仿宋"/>
          <w:color w:val="auto"/>
          <w:sz w:val="24"/>
          <w:szCs w:val="24"/>
          <w:highlight w:val="none"/>
          <w:lang w:eastAsia="zh-CN"/>
        </w:rPr>
        <w:t>减少</w:t>
      </w:r>
      <w:r>
        <w:rPr>
          <w:rFonts w:hint="eastAsia" w:ascii="Times New Roman" w:hAnsi="Times New Roman" w:eastAsia="宋体" w:cs="仿宋"/>
          <w:color w:val="auto"/>
          <w:sz w:val="24"/>
          <w:szCs w:val="24"/>
          <w:highlight w:val="none"/>
          <w:lang w:val="en-US" w:eastAsia="zh-CN"/>
        </w:rPr>
        <w:t>3693.97万元</w:t>
      </w:r>
      <w:r>
        <w:rPr>
          <w:rFonts w:hint="eastAsia" w:ascii="Times New Roman" w:hAnsi="Times New Roman" w:eastAsia="宋体" w:cs="仿宋"/>
          <w:color w:val="auto"/>
          <w:sz w:val="24"/>
          <w:szCs w:val="24"/>
          <w:highlight w:val="none"/>
        </w:rPr>
        <w:t>；生均教学仪器设备总值</w:t>
      </w:r>
      <w:r>
        <w:rPr>
          <w:rFonts w:hint="eastAsia" w:ascii="Times New Roman" w:hAnsi="Times New Roman" w:eastAsia="宋体" w:cs="仿宋"/>
          <w:color w:val="auto"/>
          <w:sz w:val="24"/>
          <w:szCs w:val="24"/>
          <w:highlight w:val="none"/>
          <w:lang w:val="en-US" w:eastAsia="zh-CN"/>
        </w:rPr>
        <w:t>10899.86</w:t>
      </w:r>
      <w:r>
        <w:rPr>
          <w:rFonts w:hint="eastAsia" w:ascii="Times New Roman" w:hAnsi="Times New Roman" w:eastAsia="宋体" w:cs="仿宋"/>
          <w:color w:val="auto"/>
          <w:sz w:val="24"/>
          <w:szCs w:val="24"/>
          <w:highlight w:val="none"/>
        </w:rPr>
        <w:t>元；图书总数</w:t>
      </w:r>
      <w:r>
        <w:rPr>
          <w:rFonts w:hint="eastAsia" w:ascii="Times New Roman" w:hAnsi="Times New Roman" w:eastAsia="宋体" w:cs="仿宋"/>
          <w:color w:val="auto"/>
          <w:sz w:val="24"/>
          <w:szCs w:val="24"/>
          <w:highlight w:val="none"/>
          <w:lang w:val="en-US" w:eastAsia="zh-CN"/>
        </w:rPr>
        <w:t>76.16</w:t>
      </w:r>
      <w:r>
        <w:rPr>
          <w:rFonts w:hint="eastAsia" w:ascii="Times New Roman" w:hAnsi="Times New Roman" w:eastAsia="宋体" w:cs="仿宋"/>
          <w:color w:val="auto"/>
          <w:sz w:val="24"/>
          <w:szCs w:val="24"/>
          <w:highlight w:val="none"/>
        </w:rPr>
        <w:t>万册</w:t>
      </w:r>
      <w:r>
        <w:rPr>
          <w:rFonts w:hint="eastAsia" w:ascii="Times New Roman" w:hAnsi="Times New Roman" w:eastAsia="宋体" w:cs="仿宋"/>
          <w:color w:val="auto"/>
          <w:sz w:val="24"/>
          <w:szCs w:val="24"/>
          <w:highlight w:val="none"/>
          <w:lang w:eastAsia="zh-CN"/>
        </w:rPr>
        <w:t>，其中，</w:t>
      </w:r>
      <w:r>
        <w:rPr>
          <w:rFonts w:hint="eastAsia" w:ascii="Times New Roman" w:hAnsi="Times New Roman" w:eastAsia="宋体" w:cs="仿宋"/>
          <w:color w:val="auto"/>
          <w:sz w:val="24"/>
          <w:szCs w:val="24"/>
          <w:highlight w:val="none"/>
        </w:rPr>
        <w:t>纸质图书总数</w:t>
      </w:r>
      <w:r>
        <w:rPr>
          <w:rFonts w:hint="eastAsia" w:ascii="Times New Roman" w:hAnsi="Times New Roman" w:eastAsia="宋体" w:cs="仿宋"/>
          <w:color w:val="auto"/>
          <w:sz w:val="24"/>
          <w:szCs w:val="24"/>
          <w:highlight w:val="none"/>
          <w:lang w:val="en-US" w:eastAsia="zh-CN"/>
        </w:rPr>
        <w:t>60.91</w:t>
      </w:r>
      <w:r>
        <w:rPr>
          <w:rFonts w:hint="eastAsia" w:ascii="Times New Roman" w:hAnsi="Times New Roman" w:eastAsia="宋体" w:cs="仿宋"/>
          <w:color w:val="auto"/>
          <w:sz w:val="24"/>
          <w:szCs w:val="24"/>
          <w:highlight w:val="none"/>
        </w:rPr>
        <w:t>万册，</w:t>
      </w:r>
      <w:r>
        <w:rPr>
          <w:rFonts w:hint="eastAsia" w:ascii="Times New Roman" w:hAnsi="Times New Roman" w:eastAsia="宋体" w:cs="仿宋"/>
          <w:color w:val="auto"/>
          <w:sz w:val="24"/>
          <w:szCs w:val="24"/>
          <w:highlight w:val="none"/>
          <w:lang w:eastAsia="zh-CN"/>
        </w:rPr>
        <w:t>电子图书</w:t>
      </w:r>
      <w:r>
        <w:rPr>
          <w:rFonts w:hint="eastAsia" w:ascii="Times New Roman" w:hAnsi="Times New Roman" w:eastAsia="宋体" w:cs="仿宋"/>
          <w:color w:val="auto"/>
          <w:sz w:val="24"/>
          <w:szCs w:val="24"/>
          <w:highlight w:val="none"/>
          <w:lang w:val="en-US" w:eastAsia="zh-CN"/>
        </w:rPr>
        <w:t>38.13</w:t>
      </w:r>
      <w:r>
        <w:rPr>
          <w:rFonts w:hint="eastAsia" w:ascii="Times New Roman" w:hAnsi="Times New Roman" w:eastAsia="宋体" w:cs="仿宋"/>
          <w:color w:val="auto"/>
          <w:sz w:val="24"/>
          <w:szCs w:val="24"/>
          <w:highlight w:val="none"/>
        </w:rPr>
        <w:t>万册</w:t>
      </w:r>
      <w:r>
        <w:rPr>
          <w:rFonts w:hint="eastAsia" w:ascii="Times New Roman" w:hAnsi="Times New Roman" w:eastAsia="宋体" w:cs="仿宋"/>
          <w:color w:val="auto"/>
          <w:sz w:val="24"/>
          <w:szCs w:val="24"/>
          <w:highlight w:val="none"/>
          <w:lang w:eastAsia="zh-CN"/>
        </w:rPr>
        <w:t>（折合为</w:t>
      </w:r>
      <w:r>
        <w:rPr>
          <w:rFonts w:hint="eastAsia" w:ascii="Times New Roman" w:hAnsi="Times New Roman" w:eastAsia="宋体" w:cs="仿宋"/>
          <w:color w:val="auto"/>
          <w:sz w:val="24"/>
          <w:szCs w:val="24"/>
          <w:highlight w:val="none"/>
          <w:lang w:val="en-US" w:eastAsia="zh-CN"/>
        </w:rPr>
        <w:t>15.25</w:t>
      </w:r>
      <w:r>
        <w:rPr>
          <w:rFonts w:hint="eastAsia" w:ascii="Times New Roman" w:hAnsi="Times New Roman" w:eastAsia="宋体" w:cs="仿宋"/>
          <w:color w:val="auto"/>
          <w:sz w:val="24"/>
          <w:szCs w:val="24"/>
          <w:highlight w:val="none"/>
        </w:rPr>
        <w:t>万册</w:t>
      </w:r>
      <w:r>
        <w:rPr>
          <w:rFonts w:hint="eastAsia" w:ascii="Times New Roman" w:hAnsi="Times New Roman" w:eastAsia="宋体" w:cs="仿宋"/>
          <w:color w:val="auto"/>
          <w:sz w:val="24"/>
          <w:szCs w:val="24"/>
          <w:highlight w:val="none"/>
          <w:lang w:eastAsia="zh-CN"/>
        </w:rPr>
        <w:t>）</w:t>
      </w:r>
      <w:r>
        <w:rPr>
          <w:rFonts w:hint="eastAsia" w:ascii="Times New Roman" w:hAnsi="Times New Roman" w:eastAsia="宋体" w:cs="仿宋"/>
          <w:color w:val="auto"/>
          <w:sz w:val="24"/>
          <w:szCs w:val="24"/>
          <w:highlight w:val="none"/>
          <w:lang w:val="en-US" w:eastAsia="zh-CN"/>
        </w:rPr>
        <w:t>，</w:t>
      </w:r>
      <w:r>
        <w:rPr>
          <w:rFonts w:hint="eastAsia" w:ascii="Times New Roman" w:hAnsi="Times New Roman" w:eastAsia="宋体" w:cs="仿宋"/>
          <w:color w:val="auto"/>
          <w:sz w:val="24"/>
          <w:szCs w:val="24"/>
          <w:highlight w:val="none"/>
        </w:rPr>
        <w:t>生均图书</w:t>
      </w:r>
      <w:r>
        <w:rPr>
          <w:rFonts w:hint="eastAsia" w:ascii="Times New Roman" w:hAnsi="Times New Roman" w:eastAsia="宋体" w:cs="仿宋"/>
          <w:color w:val="auto"/>
          <w:sz w:val="24"/>
          <w:szCs w:val="24"/>
          <w:highlight w:val="none"/>
          <w:lang w:val="en-US" w:eastAsia="zh-CN"/>
        </w:rPr>
        <w:t>34.89</w:t>
      </w:r>
      <w:r>
        <w:rPr>
          <w:rFonts w:hint="eastAsia" w:ascii="Times New Roman" w:hAnsi="Times New Roman" w:eastAsia="宋体" w:cs="仿宋"/>
          <w:color w:val="auto"/>
          <w:sz w:val="24"/>
          <w:szCs w:val="24"/>
          <w:highlight w:val="none"/>
          <w:lang w:eastAsia="zh-CN"/>
        </w:rPr>
        <w:t>册。办学</w:t>
      </w:r>
      <w:r>
        <w:rPr>
          <w:rFonts w:hint="eastAsia" w:ascii="Times New Roman" w:hAnsi="Times New Roman" w:eastAsia="宋体" w:cs="仿宋"/>
          <w:color w:val="auto"/>
          <w:sz w:val="24"/>
          <w:szCs w:val="24"/>
          <w:highlight w:val="none"/>
        </w:rPr>
        <w:t>条件详见表</w:t>
      </w:r>
      <w:r>
        <w:rPr>
          <w:rFonts w:hint="eastAsia" w:ascii="Times New Roman" w:hAnsi="Times New Roman" w:eastAsia="宋体" w:cs="仿宋"/>
          <w:color w:val="auto"/>
          <w:sz w:val="24"/>
          <w:szCs w:val="24"/>
          <w:highlight w:val="none"/>
          <w:lang w:val="en-US" w:eastAsia="zh-CN"/>
        </w:rPr>
        <w:t>5和表6</w:t>
      </w:r>
      <w:r>
        <w:rPr>
          <w:rFonts w:hint="eastAsia" w:ascii="Times New Roman" w:hAnsi="Times New Roman" w:eastAsia="宋体" w:cs="仿宋"/>
          <w:color w:val="auto"/>
          <w:sz w:val="24"/>
          <w:szCs w:val="24"/>
          <w:highlight w:val="none"/>
        </w:rPr>
        <w:t>。</w:t>
      </w:r>
      <w:bookmarkStart w:id="132" w:name="_Toc16557"/>
    </w:p>
    <w:p>
      <w:pPr>
        <w:pStyle w:val="8"/>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eastAsia" w:ascii="Times New Roman" w:hAnsi="Times New Roman" w:eastAsia="宋体" w:cs="宋体"/>
          <w:b/>
          <w:bCs/>
          <w:color w:val="auto"/>
          <w:sz w:val="21"/>
          <w:szCs w:val="21"/>
        </w:rPr>
      </w:pPr>
      <w:bookmarkStart w:id="133" w:name="_Toc19352"/>
      <w:r>
        <w:rPr>
          <w:rFonts w:hint="eastAsia" w:ascii="Times New Roman" w:hAnsi="Times New Roman" w:eastAsia="宋体" w:cs="宋体"/>
          <w:b/>
          <w:bCs/>
          <w:color w:val="auto"/>
          <w:sz w:val="21"/>
          <w:szCs w:val="21"/>
        </w:rPr>
        <w:t>表</w:t>
      </w:r>
      <w:r>
        <w:rPr>
          <w:rFonts w:hint="eastAsia" w:ascii="Times New Roman" w:hAnsi="Times New Roman" w:eastAsia="宋体" w:cs="宋体"/>
          <w:b/>
          <w:bCs/>
          <w:color w:val="auto"/>
          <w:sz w:val="21"/>
          <w:szCs w:val="21"/>
        </w:rPr>
        <w:fldChar w:fldCharType="begin"/>
      </w:r>
      <w:r>
        <w:rPr>
          <w:rFonts w:hint="eastAsia" w:ascii="Times New Roman" w:hAnsi="Times New Roman" w:eastAsia="宋体" w:cs="宋体"/>
          <w:b/>
          <w:bCs/>
          <w:color w:val="auto"/>
          <w:sz w:val="21"/>
          <w:szCs w:val="21"/>
        </w:rPr>
        <w:instrText xml:space="preserve"> SEQ 表 \* ARABIC </w:instrText>
      </w:r>
      <w:r>
        <w:rPr>
          <w:rFonts w:hint="eastAsia" w:ascii="Times New Roman" w:hAnsi="Times New Roman" w:eastAsia="宋体" w:cs="宋体"/>
          <w:b/>
          <w:bCs/>
          <w:color w:val="auto"/>
          <w:sz w:val="21"/>
          <w:szCs w:val="21"/>
        </w:rPr>
        <w:fldChar w:fldCharType="separate"/>
      </w:r>
      <w:r>
        <w:rPr>
          <w:rFonts w:hint="eastAsia" w:ascii="Times New Roman" w:hAnsi="Times New Roman" w:eastAsia="宋体" w:cs="宋体"/>
          <w:b/>
          <w:bCs/>
          <w:color w:val="auto"/>
          <w:sz w:val="21"/>
          <w:szCs w:val="21"/>
        </w:rPr>
        <w:t>5</w:t>
      </w:r>
      <w:r>
        <w:rPr>
          <w:rFonts w:hint="eastAsia" w:ascii="Times New Roman" w:hAnsi="Times New Roman" w:eastAsia="宋体" w:cs="宋体"/>
          <w:b/>
          <w:bCs/>
          <w:color w:val="auto"/>
          <w:sz w:val="21"/>
          <w:szCs w:val="21"/>
        </w:rPr>
        <w:fldChar w:fldCharType="end"/>
      </w:r>
      <w:bookmarkStart w:id="134" w:name="_Toc6622"/>
      <w:r>
        <w:rPr>
          <w:rFonts w:hint="eastAsia" w:ascii="Times New Roman" w:hAnsi="Times New Roman" w:eastAsia="宋体" w:cs="宋体"/>
          <w:b/>
          <w:bCs/>
          <w:color w:val="auto"/>
          <w:sz w:val="21"/>
          <w:szCs w:val="21"/>
          <w:lang w:val="en-US" w:eastAsia="zh-CN"/>
        </w:rPr>
        <w:t xml:space="preserve">  </w:t>
      </w:r>
      <w:r>
        <w:rPr>
          <w:rFonts w:hint="eastAsia" w:ascii="Times New Roman" w:hAnsi="Times New Roman" w:eastAsia="宋体" w:cs="宋体"/>
          <w:b/>
          <w:bCs/>
          <w:color w:val="auto"/>
          <w:sz w:val="21"/>
          <w:szCs w:val="21"/>
        </w:rPr>
        <w:t>近两学年遂宁市中等职业学校办学条件变化统计表</w:t>
      </w:r>
      <w:bookmarkEnd w:id="132"/>
      <w:bookmarkEnd w:id="133"/>
      <w:bookmarkEnd w:id="134"/>
    </w:p>
    <w:tbl>
      <w:tblPr>
        <w:tblStyle w:val="31"/>
        <w:tblW w:w="8356" w:type="dxa"/>
        <w:jc w:val="center"/>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Layout w:type="fixed"/>
        <w:tblCellMar>
          <w:top w:w="0" w:type="dxa"/>
          <w:left w:w="108" w:type="dxa"/>
          <w:bottom w:w="0" w:type="dxa"/>
          <w:right w:w="108" w:type="dxa"/>
        </w:tblCellMar>
      </w:tblPr>
      <w:tblGrid>
        <w:gridCol w:w="2744"/>
        <w:gridCol w:w="1369"/>
        <w:gridCol w:w="1368"/>
        <w:gridCol w:w="1338"/>
        <w:gridCol w:w="1537"/>
      </w:tblGrid>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jc w:val="center"/>
        </w:trPr>
        <w:tc>
          <w:tcPr>
            <w:tcW w:w="2744"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办学基本指标</w:t>
            </w:r>
          </w:p>
        </w:tc>
        <w:tc>
          <w:tcPr>
            <w:tcW w:w="1369"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color w:val="000000"/>
                <w:sz w:val="18"/>
                <w:szCs w:val="18"/>
              </w:rPr>
            </w:pPr>
            <w:r>
              <w:rPr>
                <w:rFonts w:hint="default" w:ascii="Times New Roman" w:hAnsi="Times New Roman" w:eastAsia="宋体"/>
                <w:b/>
                <w:color w:val="000000"/>
                <w:sz w:val="18"/>
                <w:szCs w:val="18"/>
              </w:rPr>
              <w:t>202</w:t>
            </w:r>
            <w:r>
              <w:rPr>
                <w:rFonts w:hint="eastAsia" w:ascii="Times New Roman" w:hAnsi="Times New Roman" w:eastAsia="宋体"/>
                <w:b/>
                <w:color w:val="000000"/>
                <w:sz w:val="18"/>
                <w:szCs w:val="18"/>
                <w:lang w:val="en-US" w:eastAsia="zh-CN"/>
              </w:rPr>
              <w:t>3</w:t>
            </w:r>
            <w:r>
              <w:rPr>
                <w:rFonts w:ascii="宋体" w:hAnsi="宋体" w:eastAsia="宋体" w:cs="宋体"/>
                <w:b/>
                <w:color w:val="000000"/>
                <w:sz w:val="18"/>
                <w:szCs w:val="18"/>
              </w:rPr>
              <w:t>年</w:t>
            </w:r>
          </w:p>
        </w:tc>
        <w:tc>
          <w:tcPr>
            <w:tcW w:w="1368"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color w:val="000000"/>
                <w:sz w:val="18"/>
                <w:szCs w:val="18"/>
              </w:rPr>
            </w:pPr>
            <w:r>
              <w:rPr>
                <w:rFonts w:hint="default" w:ascii="Times New Roman" w:hAnsi="Times New Roman" w:eastAsia="宋体"/>
                <w:b/>
                <w:color w:val="000000"/>
                <w:sz w:val="18"/>
                <w:szCs w:val="18"/>
              </w:rPr>
              <w:t>202</w:t>
            </w:r>
            <w:r>
              <w:rPr>
                <w:rFonts w:hint="eastAsia" w:ascii="Times New Roman" w:hAnsi="Times New Roman" w:eastAsia="宋体"/>
                <w:b/>
                <w:color w:val="000000"/>
                <w:sz w:val="18"/>
                <w:szCs w:val="18"/>
                <w:lang w:val="en-US" w:eastAsia="zh-CN"/>
              </w:rPr>
              <w:t>4</w:t>
            </w:r>
            <w:r>
              <w:rPr>
                <w:rFonts w:ascii="宋体" w:hAnsi="宋体" w:eastAsia="宋体" w:cs="宋体"/>
                <w:b/>
                <w:color w:val="000000"/>
                <w:sz w:val="18"/>
                <w:szCs w:val="18"/>
              </w:rPr>
              <w:t>年</w:t>
            </w:r>
          </w:p>
        </w:tc>
        <w:tc>
          <w:tcPr>
            <w:tcW w:w="1338"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变化量</w:t>
            </w:r>
          </w:p>
        </w:tc>
        <w:tc>
          <w:tcPr>
            <w:tcW w:w="1537"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变化幅值</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jc w:val="center"/>
        </w:trPr>
        <w:tc>
          <w:tcPr>
            <w:tcW w:w="2744"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eastAsia="宋体" w:cs="宋体"/>
                <w:b w:val="0"/>
                <w:color w:val="000000"/>
                <w:sz w:val="18"/>
                <w:szCs w:val="18"/>
              </w:rPr>
            </w:pPr>
            <w:r>
              <w:rPr>
                <w:rFonts w:hint="eastAsia" w:ascii="宋体" w:hAnsi="宋体" w:eastAsia="宋体" w:cs="宋体"/>
                <w:b w:val="0"/>
                <w:color w:val="000000"/>
                <w:kern w:val="0"/>
                <w:sz w:val="18"/>
                <w:szCs w:val="18"/>
                <w:lang w:bidi="ar"/>
              </w:rPr>
              <w:t>校园占地面积</w:t>
            </w:r>
            <w:r>
              <w:rPr>
                <w:rFonts w:hint="eastAsia" w:ascii="宋体" w:hAnsi="宋体" w:eastAsia="宋体" w:cs="宋体"/>
                <w:b w:val="0"/>
                <w:color w:val="000000"/>
                <w:kern w:val="0"/>
                <w:sz w:val="18"/>
                <w:szCs w:val="18"/>
                <w:lang w:eastAsia="zh-CN" w:bidi="ar"/>
              </w:rPr>
              <w:t>（</w:t>
            </w:r>
            <w:r>
              <w:rPr>
                <w:rFonts w:hint="eastAsia" w:ascii="宋体" w:hAnsi="宋体" w:eastAsia="宋体" w:cs="宋体"/>
                <w:b w:val="0"/>
                <w:color w:val="000000"/>
                <w:kern w:val="0"/>
                <w:sz w:val="18"/>
                <w:szCs w:val="18"/>
                <w:lang w:bidi="ar"/>
              </w:rPr>
              <w:t>平方米）</w:t>
            </w:r>
          </w:p>
        </w:tc>
        <w:tc>
          <w:tcPr>
            <w:tcW w:w="1369"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pStyle w:val="28"/>
              <w:keepNext w:val="0"/>
              <w:keepLines w:val="0"/>
              <w:pageBreakBefore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b w:val="0"/>
                <w:color w:val="000000"/>
                <w:kern w:val="2"/>
                <w:sz w:val="18"/>
                <w:szCs w:val="18"/>
                <w:lang w:val="en-US" w:eastAsia="zh-CN" w:bidi="ar-SA"/>
              </w:rPr>
            </w:pPr>
            <w:r>
              <w:rPr>
                <w:rFonts w:hint="eastAsia" w:ascii="Times New Roman" w:hAnsi="Times New Roman" w:eastAsia="宋体"/>
                <w:b w:val="0"/>
                <w:color w:val="000000"/>
                <w:sz w:val="18"/>
                <w:szCs w:val="18"/>
                <w:lang w:val="en-US" w:eastAsia="zh-CN"/>
              </w:rPr>
              <w:t>911763.91</w:t>
            </w:r>
          </w:p>
        </w:tc>
        <w:tc>
          <w:tcPr>
            <w:tcW w:w="1368"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pStyle w:val="28"/>
              <w:keepNext w:val="0"/>
              <w:keepLines w:val="0"/>
              <w:pageBreakBefore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b w:val="0"/>
                <w:color w:val="000000"/>
                <w:sz w:val="18"/>
                <w:szCs w:val="18"/>
              </w:rPr>
            </w:pPr>
            <w:r>
              <w:rPr>
                <w:rFonts w:hint="eastAsia" w:ascii="Times New Roman" w:hAnsi="Times New Roman" w:eastAsia="宋体"/>
                <w:b w:val="0"/>
                <w:color w:val="000000"/>
                <w:sz w:val="18"/>
                <w:szCs w:val="18"/>
                <w:lang w:val="en-US" w:eastAsia="zh-CN"/>
              </w:rPr>
              <w:t>968962.31</w:t>
            </w:r>
          </w:p>
        </w:tc>
        <w:tc>
          <w:tcPr>
            <w:tcW w:w="1338"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pStyle w:val="28"/>
              <w:keepNext w:val="0"/>
              <w:keepLines w:val="0"/>
              <w:pageBreakBefore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b w:val="0"/>
                <w:color w:val="000000"/>
                <w:sz w:val="18"/>
                <w:szCs w:val="18"/>
              </w:rPr>
            </w:pPr>
            <w:r>
              <w:rPr>
                <w:rFonts w:hint="eastAsia" w:ascii="Times New Roman" w:hAnsi="Times New Roman" w:eastAsia="宋体"/>
                <w:b w:val="0"/>
                <w:color w:val="000000"/>
                <w:sz w:val="18"/>
                <w:szCs w:val="18"/>
                <w:lang w:val="en-US" w:eastAsia="zh-CN"/>
              </w:rPr>
              <w:t>+57198.40</w:t>
            </w:r>
          </w:p>
        </w:tc>
        <w:tc>
          <w:tcPr>
            <w:tcW w:w="1537"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color w:val="000000"/>
                <w:kern w:val="2"/>
                <w:sz w:val="18"/>
                <w:szCs w:val="18"/>
                <w:lang w:val="en-US" w:eastAsia="zh-CN" w:bidi="ar-SA"/>
              </w:rPr>
            </w:pPr>
            <w:r>
              <w:rPr>
                <w:rFonts w:hint="eastAsia" w:ascii="Times New Roman" w:hAnsi="Times New Roman" w:eastAsia="宋体" w:cs="Times New Roman"/>
                <w:b w:val="0"/>
                <w:color w:val="000000"/>
                <w:kern w:val="2"/>
                <w:sz w:val="18"/>
                <w:szCs w:val="18"/>
                <w:lang w:val="en-US" w:eastAsia="zh-CN" w:bidi="ar-SA"/>
              </w:rPr>
              <w:t>+6.27%</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jc w:val="center"/>
        </w:trPr>
        <w:tc>
          <w:tcPr>
            <w:tcW w:w="274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eastAsia="宋体" w:cs="宋体"/>
                <w:b w:val="0"/>
                <w:color w:val="000000"/>
                <w:kern w:val="0"/>
                <w:sz w:val="18"/>
                <w:szCs w:val="18"/>
                <w:lang w:bidi="ar"/>
              </w:rPr>
            </w:pPr>
            <w:r>
              <w:rPr>
                <w:rFonts w:hint="eastAsia" w:ascii="宋体" w:hAnsi="宋体" w:eastAsia="宋体" w:cs="宋体"/>
                <w:b w:val="0"/>
                <w:color w:val="000000"/>
                <w:kern w:val="0"/>
                <w:sz w:val="18"/>
                <w:szCs w:val="18"/>
                <w:lang w:bidi="ar"/>
              </w:rPr>
              <w:t>校舍建筑面积（平方米）</w:t>
            </w:r>
          </w:p>
        </w:tc>
        <w:tc>
          <w:tcPr>
            <w:tcW w:w="136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pStyle w:val="28"/>
              <w:keepNext w:val="0"/>
              <w:keepLines w:val="0"/>
              <w:pageBreakBefore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b w:val="0"/>
                <w:color w:val="000000"/>
                <w:sz w:val="18"/>
                <w:szCs w:val="18"/>
                <w:lang w:val="en-US" w:eastAsia="zh-CN"/>
              </w:rPr>
            </w:pPr>
            <w:r>
              <w:rPr>
                <w:rFonts w:hint="eastAsia" w:ascii="Times New Roman" w:hAnsi="Times New Roman" w:eastAsia="宋体"/>
                <w:b w:val="0"/>
                <w:color w:val="000000"/>
                <w:sz w:val="18"/>
                <w:szCs w:val="18"/>
                <w:lang w:val="en-US" w:eastAsia="zh-CN"/>
              </w:rPr>
              <w:t>566165.39</w:t>
            </w:r>
          </w:p>
        </w:tc>
        <w:tc>
          <w:tcPr>
            <w:tcW w:w="136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pStyle w:val="28"/>
              <w:keepNext w:val="0"/>
              <w:keepLines w:val="0"/>
              <w:pageBreakBefore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b w:val="0"/>
                <w:color w:val="000000"/>
                <w:sz w:val="18"/>
                <w:szCs w:val="18"/>
                <w:lang w:val="en-US" w:eastAsia="zh-CN"/>
              </w:rPr>
            </w:pPr>
            <w:r>
              <w:rPr>
                <w:rFonts w:hint="eastAsia" w:ascii="Times New Roman" w:hAnsi="Times New Roman" w:eastAsia="宋体"/>
                <w:b w:val="0"/>
                <w:color w:val="000000"/>
                <w:sz w:val="18"/>
                <w:szCs w:val="18"/>
                <w:lang w:val="en-US" w:eastAsia="zh-CN"/>
              </w:rPr>
              <w:t>619918.03</w:t>
            </w:r>
          </w:p>
        </w:tc>
        <w:tc>
          <w:tcPr>
            <w:tcW w:w="133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pStyle w:val="28"/>
              <w:keepNext w:val="0"/>
              <w:keepLines w:val="0"/>
              <w:pageBreakBefore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b w:val="0"/>
                <w:color w:val="000000"/>
                <w:sz w:val="18"/>
                <w:szCs w:val="18"/>
                <w:lang w:val="en-US" w:eastAsia="zh-CN"/>
              </w:rPr>
            </w:pPr>
            <w:r>
              <w:rPr>
                <w:rFonts w:hint="eastAsia" w:ascii="Times New Roman" w:hAnsi="Times New Roman" w:eastAsia="宋体"/>
                <w:b w:val="0"/>
                <w:color w:val="000000"/>
                <w:sz w:val="18"/>
                <w:szCs w:val="18"/>
                <w:lang w:val="en-US" w:eastAsia="zh-CN"/>
              </w:rPr>
              <w:t>+53752.64</w:t>
            </w:r>
          </w:p>
        </w:tc>
        <w:tc>
          <w:tcPr>
            <w:tcW w:w="1537"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pStyle w:val="28"/>
              <w:keepNext w:val="0"/>
              <w:keepLines w:val="0"/>
              <w:pageBreakBefore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b w:val="0"/>
                <w:color w:val="000000"/>
                <w:sz w:val="18"/>
                <w:szCs w:val="18"/>
                <w:lang w:val="en-US" w:eastAsia="zh-CN"/>
              </w:rPr>
            </w:pPr>
            <w:r>
              <w:rPr>
                <w:rFonts w:hint="eastAsia" w:ascii="Times New Roman" w:hAnsi="Times New Roman" w:eastAsia="宋体"/>
                <w:b w:val="0"/>
                <w:color w:val="000000"/>
                <w:sz w:val="18"/>
                <w:szCs w:val="18"/>
                <w:lang w:val="en-US" w:eastAsia="zh-CN"/>
              </w:rPr>
              <w:t>+9.49%</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jc w:val="center"/>
        </w:trPr>
        <w:tc>
          <w:tcPr>
            <w:tcW w:w="2744"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eastAsia="宋体" w:cs="宋体"/>
                <w:b w:val="0"/>
                <w:color w:val="000000"/>
                <w:sz w:val="18"/>
                <w:szCs w:val="18"/>
              </w:rPr>
            </w:pPr>
            <w:r>
              <w:rPr>
                <w:rFonts w:hint="eastAsia" w:ascii="宋体" w:hAnsi="宋体" w:eastAsia="宋体" w:cs="宋体"/>
                <w:b w:val="0"/>
                <w:color w:val="000000"/>
                <w:kern w:val="0"/>
                <w:sz w:val="18"/>
                <w:szCs w:val="18"/>
                <w:lang w:bidi="ar"/>
              </w:rPr>
              <w:t>固定资产总值（万元）</w:t>
            </w:r>
          </w:p>
        </w:tc>
        <w:tc>
          <w:tcPr>
            <w:tcW w:w="1369"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pStyle w:val="28"/>
              <w:keepNext w:val="0"/>
              <w:keepLines w:val="0"/>
              <w:pageBreakBefore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b w:val="0"/>
                <w:color w:val="000000"/>
                <w:sz w:val="18"/>
                <w:szCs w:val="18"/>
                <w:lang w:val="en-US" w:eastAsia="zh-CN"/>
              </w:rPr>
            </w:pPr>
            <w:r>
              <w:rPr>
                <w:rFonts w:hint="eastAsia" w:ascii="Times New Roman" w:hAnsi="Times New Roman" w:eastAsia="宋体"/>
                <w:b w:val="0"/>
                <w:color w:val="000000"/>
                <w:sz w:val="18"/>
                <w:szCs w:val="18"/>
                <w:lang w:val="en-US" w:eastAsia="zh-CN"/>
              </w:rPr>
              <w:t>83720.50</w:t>
            </w:r>
          </w:p>
        </w:tc>
        <w:tc>
          <w:tcPr>
            <w:tcW w:w="1368"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pStyle w:val="28"/>
              <w:keepNext w:val="0"/>
              <w:keepLines w:val="0"/>
              <w:pageBreakBefore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b w:val="0"/>
                <w:color w:val="000000"/>
                <w:sz w:val="18"/>
                <w:szCs w:val="18"/>
                <w:lang w:val="en-US" w:eastAsia="zh-CN"/>
              </w:rPr>
            </w:pPr>
            <w:r>
              <w:rPr>
                <w:rFonts w:hint="eastAsia" w:ascii="Times New Roman" w:hAnsi="Times New Roman" w:eastAsia="宋体"/>
                <w:b w:val="0"/>
                <w:color w:val="000000"/>
                <w:sz w:val="18"/>
                <w:szCs w:val="18"/>
                <w:lang w:val="en-US" w:eastAsia="zh-CN"/>
              </w:rPr>
              <w:t>78288.24</w:t>
            </w:r>
          </w:p>
        </w:tc>
        <w:tc>
          <w:tcPr>
            <w:tcW w:w="1338"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pStyle w:val="28"/>
              <w:keepNext w:val="0"/>
              <w:keepLines w:val="0"/>
              <w:pageBreakBefore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b w:val="0"/>
                <w:color w:val="000000"/>
                <w:sz w:val="18"/>
                <w:szCs w:val="18"/>
                <w:lang w:val="en-US" w:eastAsia="zh-CN"/>
              </w:rPr>
            </w:pPr>
            <w:r>
              <w:rPr>
                <w:rFonts w:hint="eastAsia" w:ascii="Times New Roman" w:hAnsi="Times New Roman" w:eastAsia="宋体"/>
                <w:b w:val="0"/>
                <w:color w:val="000000"/>
                <w:sz w:val="18"/>
                <w:szCs w:val="18"/>
                <w:lang w:val="en-US" w:eastAsia="zh-CN"/>
              </w:rPr>
              <w:t>-5432.26</w:t>
            </w:r>
          </w:p>
        </w:tc>
        <w:tc>
          <w:tcPr>
            <w:tcW w:w="1537"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pStyle w:val="28"/>
              <w:keepNext w:val="0"/>
              <w:keepLines w:val="0"/>
              <w:pageBreakBefore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b w:val="0"/>
                <w:color w:val="000000"/>
                <w:sz w:val="18"/>
                <w:szCs w:val="18"/>
                <w:lang w:val="en-US" w:eastAsia="zh-CN"/>
              </w:rPr>
            </w:pPr>
            <w:r>
              <w:rPr>
                <w:rFonts w:hint="eastAsia" w:ascii="Times New Roman" w:hAnsi="Times New Roman" w:eastAsia="宋体"/>
                <w:b w:val="0"/>
                <w:color w:val="000000"/>
                <w:sz w:val="18"/>
                <w:szCs w:val="18"/>
                <w:lang w:val="en-US" w:eastAsia="zh-CN"/>
              </w:rPr>
              <w:t>-6.49%</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jc w:val="center"/>
        </w:trPr>
        <w:tc>
          <w:tcPr>
            <w:tcW w:w="274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eastAsia="宋体" w:cs="宋体"/>
                <w:b w:val="0"/>
                <w:color w:val="000000"/>
                <w:sz w:val="18"/>
                <w:szCs w:val="18"/>
              </w:rPr>
            </w:pPr>
            <w:r>
              <w:rPr>
                <w:rFonts w:hint="eastAsia" w:ascii="宋体" w:hAnsi="宋体" w:eastAsia="宋体" w:cs="宋体"/>
                <w:b w:val="0"/>
                <w:color w:val="000000"/>
                <w:kern w:val="0"/>
                <w:sz w:val="18"/>
                <w:szCs w:val="18"/>
                <w:lang w:bidi="ar"/>
              </w:rPr>
              <w:t>教学仪器设备值（万元）</w:t>
            </w:r>
          </w:p>
        </w:tc>
        <w:tc>
          <w:tcPr>
            <w:tcW w:w="136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pStyle w:val="28"/>
              <w:keepNext w:val="0"/>
              <w:keepLines w:val="0"/>
              <w:pageBreakBefore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b w:val="0"/>
                <w:color w:val="000000"/>
                <w:sz w:val="18"/>
                <w:szCs w:val="18"/>
                <w:lang w:val="en-US" w:eastAsia="zh-CN"/>
              </w:rPr>
            </w:pPr>
            <w:r>
              <w:rPr>
                <w:rFonts w:hint="eastAsia" w:ascii="Times New Roman" w:hAnsi="Times New Roman" w:eastAsia="宋体"/>
                <w:b w:val="0"/>
                <w:color w:val="000000"/>
                <w:sz w:val="18"/>
                <w:szCs w:val="18"/>
                <w:lang w:val="en-US" w:eastAsia="zh-CN"/>
              </w:rPr>
              <w:t>27486.19</w:t>
            </w:r>
          </w:p>
        </w:tc>
        <w:tc>
          <w:tcPr>
            <w:tcW w:w="136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pStyle w:val="28"/>
              <w:keepNext w:val="0"/>
              <w:keepLines w:val="0"/>
              <w:pageBreakBefore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b w:val="0"/>
                <w:color w:val="000000"/>
                <w:sz w:val="18"/>
                <w:szCs w:val="18"/>
                <w:lang w:val="en-US" w:eastAsia="zh-CN"/>
              </w:rPr>
            </w:pPr>
            <w:r>
              <w:rPr>
                <w:rFonts w:hint="eastAsia" w:ascii="Times New Roman" w:hAnsi="Times New Roman" w:eastAsia="宋体"/>
                <w:b w:val="0"/>
                <w:color w:val="000000"/>
                <w:sz w:val="18"/>
                <w:szCs w:val="18"/>
                <w:lang w:val="en-US" w:eastAsia="zh-CN"/>
              </w:rPr>
              <w:t>23792.22</w:t>
            </w:r>
          </w:p>
        </w:tc>
        <w:tc>
          <w:tcPr>
            <w:tcW w:w="133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pStyle w:val="28"/>
              <w:keepNext w:val="0"/>
              <w:keepLines w:val="0"/>
              <w:pageBreakBefore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b w:val="0"/>
                <w:color w:val="000000"/>
                <w:sz w:val="18"/>
                <w:szCs w:val="18"/>
                <w:lang w:val="en-US" w:eastAsia="zh-CN"/>
              </w:rPr>
            </w:pPr>
            <w:r>
              <w:rPr>
                <w:rFonts w:hint="eastAsia" w:ascii="Times New Roman" w:hAnsi="Times New Roman" w:eastAsia="宋体"/>
                <w:b w:val="0"/>
                <w:color w:val="000000"/>
                <w:sz w:val="18"/>
                <w:szCs w:val="18"/>
                <w:lang w:val="en-US" w:eastAsia="zh-CN"/>
              </w:rPr>
              <w:t>-3693.97</w:t>
            </w:r>
          </w:p>
        </w:tc>
        <w:tc>
          <w:tcPr>
            <w:tcW w:w="1537"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pStyle w:val="28"/>
              <w:keepNext w:val="0"/>
              <w:keepLines w:val="0"/>
              <w:pageBreakBefore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b w:val="0"/>
                <w:color w:val="000000"/>
                <w:sz w:val="18"/>
                <w:szCs w:val="18"/>
                <w:lang w:val="en-US" w:eastAsia="zh-CN"/>
              </w:rPr>
            </w:pPr>
            <w:r>
              <w:rPr>
                <w:rFonts w:hint="eastAsia" w:ascii="Times New Roman" w:hAnsi="Times New Roman" w:eastAsia="宋体"/>
                <w:b w:val="0"/>
                <w:color w:val="000000"/>
                <w:sz w:val="18"/>
                <w:szCs w:val="18"/>
                <w:lang w:val="en-US" w:eastAsia="zh-CN"/>
              </w:rPr>
              <w:t>-13.44%</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jc w:val="center"/>
        </w:trPr>
        <w:tc>
          <w:tcPr>
            <w:tcW w:w="2744"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eastAsia="宋体" w:cs="宋体"/>
                <w:b w:val="0"/>
                <w:color w:val="000000"/>
                <w:sz w:val="18"/>
                <w:szCs w:val="18"/>
              </w:rPr>
            </w:pPr>
            <w:r>
              <w:rPr>
                <w:rFonts w:hint="eastAsia" w:ascii="宋体" w:hAnsi="宋体" w:eastAsia="宋体" w:cs="宋体"/>
                <w:b w:val="0"/>
                <w:color w:val="000000"/>
                <w:kern w:val="0"/>
                <w:sz w:val="18"/>
                <w:szCs w:val="18"/>
                <w:lang w:bidi="ar"/>
              </w:rPr>
              <w:t>图书（万册）</w:t>
            </w:r>
          </w:p>
        </w:tc>
        <w:tc>
          <w:tcPr>
            <w:tcW w:w="1369"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pStyle w:val="28"/>
              <w:keepNext w:val="0"/>
              <w:keepLines w:val="0"/>
              <w:pageBreakBefore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b w:val="0"/>
                <w:color w:val="000000"/>
                <w:sz w:val="18"/>
                <w:szCs w:val="18"/>
                <w:lang w:val="en-US" w:eastAsia="zh-CN"/>
              </w:rPr>
            </w:pPr>
            <w:r>
              <w:rPr>
                <w:rFonts w:hint="eastAsia" w:ascii="Times New Roman" w:hAnsi="Times New Roman" w:eastAsia="宋体"/>
                <w:b w:val="0"/>
                <w:color w:val="000000"/>
                <w:sz w:val="18"/>
                <w:szCs w:val="18"/>
                <w:lang w:val="en-US" w:eastAsia="zh-CN"/>
              </w:rPr>
              <w:t>77.55</w:t>
            </w:r>
          </w:p>
        </w:tc>
        <w:tc>
          <w:tcPr>
            <w:tcW w:w="1368"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pStyle w:val="28"/>
              <w:keepNext w:val="0"/>
              <w:keepLines w:val="0"/>
              <w:pageBreakBefore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b w:val="0"/>
                <w:color w:val="000000"/>
                <w:sz w:val="18"/>
                <w:szCs w:val="18"/>
                <w:lang w:val="en-US" w:eastAsia="zh-CN"/>
              </w:rPr>
            </w:pPr>
            <w:r>
              <w:rPr>
                <w:rFonts w:hint="eastAsia" w:ascii="Times New Roman" w:hAnsi="Times New Roman" w:eastAsia="宋体"/>
                <w:b w:val="0"/>
                <w:color w:val="000000"/>
                <w:sz w:val="18"/>
                <w:szCs w:val="18"/>
                <w:lang w:val="en-US" w:eastAsia="zh-CN"/>
              </w:rPr>
              <w:t>76.16</w:t>
            </w:r>
          </w:p>
        </w:tc>
        <w:tc>
          <w:tcPr>
            <w:tcW w:w="1338"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pStyle w:val="28"/>
              <w:keepNext w:val="0"/>
              <w:keepLines w:val="0"/>
              <w:pageBreakBefore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b w:val="0"/>
                <w:color w:val="000000"/>
                <w:sz w:val="18"/>
                <w:szCs w:val="18"/>
                <w:lang w:val="en-US" w:eastAsia="zh-CN"/>
              </w:rPr>
            </w:pPr>
            <w:r>
              <w:rPr>
                <w:rFonts w:hint="eastAsia" w:ascii="Times New Roman" w:hAnsi="Times New Roman" w:eastAsia="宋体"/>
                <w:b w:val="0"/>
                <w:color w:val="000000"/>
                <w:sz w:val="18"/>
                <w:szCs w:val="18"/>
                <w:lang w:val="en-US" w:eastAsia="zh-CN"/>
              </w:rPr>
              <w:t>-1.39</w:t>
            </w:r>
          </w:p>
        </w:tc>
        <w:tc>
          <w:tcPr>
            <w:tcW w:w="1537"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pStyle w:val="28"/>
              <w:keepNext w:val="0"/>
              <w:keepLines w:val="0"/>
              <w:pageBreakBefore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b w:val="0"/>
                <w:color w:val="000000"/>
                <w:sz w:val="18"/>
                <w:szCs w:val="18"/>
                <w:lang w:val="en-US" w:eastAsia="zh-CN"/>
              </w:rPr>
            </w:pPr>
            <w:r>
              <w:rPr>
                <w:rFonts w:hint="eastAsia" w:ascii="Times New Roman" w:hAnsi="Times New Roman" w:eastAsia="宋体"/>
                <w:b w:val="0"/>
                <w:color w:val="000000"/>
                <w:sz w:val="18"/>
                <w:szCs w:val="18"/>
                <w:lang w:val="en-US" w:eastAsia="zh-CN"/>
              </w:rPr>
              <w:t>-1.79%</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jc w:val="center"/>
        </w:trPr>
        <w:tc>
          <w:tcPr>
            <w:tcW w:w="274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eastAsia="宋体" w:cs="宋体"/>
                <w:b w:val="0"/>
                <w:color w:val="000000"/>
                <w:sz w:val="18"/>
                <w:szCs w:val="18"/>
              </w:rPr>
            </w:pPr>
            <w:r>
              <w:rPr>
                <w:rFonts w:hint="eastAsia" w:ascii="宋体" w:hAnsi="宋体" w:eastAsia="宋体" w:cs="宋体"/>
                <w:b w:val="0"/>
                <w:color w:val="000000"/>
                <w:kern w:val="0"/>
                <w:sz w:val="18"/>
                <w:szCs w:val="18"/>
                <w:lang w:bidi="ar"/>
              </w:rPr>
              <w:t>教学用计算机（台）</w:t>
            </w:r>
          </w:p>
        </w:tc>
        <w:tc>
          <w:tcPr>
            <w:tcW w:w="136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pStyle w:val="28"/>
              <w:keepNext w:val="0"/>
              <w:keepLines w:val="0"/>
              <w:pageBreakBefore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b w:val="0"/>
                <w:color w:val="000000"/>
                <w:sz w:val="18"/>
                <w:szCs w:val="18"/>
                <w:lang w:val="en-US" w:eastAsia="zh-CN"/>
              </w:rPr>
            </w:pPr>
            <w:r>
              <w:rPr>
                <w:rFonts w:hint="eastAsia" w:ascii="Times New Roman" w:hAnsi="Times New Roman" w:eastAsia="宋体"/>
                <w:b w:val="0"/>
                <w:color w:val="000000"/>
                <w:sz w:val="18"/>
                <w:szCs w:val="18"/>
                <w:lang w:val="en-US" w:eastAsia="zh-CN"/>
              </w:rPr>
              <w:t>6638</w:t>
            </w:r>
          </w:p>
        </w:tc>
        <w:tc>
          <w:tcPr>
            <w:tcW w:w="136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pStyle w:val="28"/>
              <w:keepNext w:val="0"/>
              <w:keepLines w:val="0"/>
              <w:pageBreakBefore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b w:val="0"/>
                <w:color w:val="000000"/>
                <w:sz w:val="18"/>
                <w:szCs w:val="18"/>
                <w:lang w:val="en-US" w:eastAsia="zh-CN"/>
              </w:rPr>
            </w:pPr>
            <w:r>
              <w:rPr>
                <w:rFonts w:hint="eastAsia" w:ascii="Times New Roman" w:hAnsi="Times New Roman" w:eastAsia="宋体"/>
                <w:b w:val="0"/>
                <w:color w:val="000000"/>
                <w:sz w:val="18"/>
                <w:szCs w:val="18"/>
                <w:lang w:val="en-US" w:eastAsia="zh-CN"/>
              </w:rPr>
              <w:t>6702</w:t>
            </w:r>
          </w:p>
        </w:tc>
        <w:tc>
          <w:tcPr>
            <w:tcW w:w="133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pStyle w:val="28"/>
              <w:keepNext w:val="0"/>
              <w:keepLines w:val="0"/>
              <w:pageBreakBefore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b w:val="0"/>
                <w:color w:val="000000"/>
                <w:sz w:val="18"/>
                <w:szCs w:val="18"/>
                <w:lang w:val="en-US" w:eastAsia="zh-CN"/>
              </w:rPr>
            </w:pPr>
            <w:r>
              <w:rPr>
                <w:rFonts w:hint="eastAsia" w:ascii="Times New Roman" w:hAnsi="Times New Roman" w:eastAsia="宋体"/>
                <w:b w:val="0"/>
                <w:color w:val="000000"/>
                <w:sz w:val="18"/>
                <w:szCs w:val="18"/>
                <w:lang w:val="en-US" w:eastAsia="zh-CN"/>
              </w:rPr>
              <w:t>64</w:t>
            </w:r>
          </w:p>
        </w:tc>
        <w:tc>
          <w:tcPr>
            <w:tcW w:w="1537"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pStyle w:val="28"/>
              <w:keepNext w:val="0"/>
              <w:keepLines w:val="0"/>
              <w:pageBreakBefore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b w:val="0"/>
                <w:color w:val="000000"/>
                <w:sz w:val="18"/>
                <w:szCs w:val="18"/>
                <w:lang w:val="en-US" w:eastAsia="zh-CN"/>
              </w:rPr>
            </w:pPr>
            <w:r>
              <w:rPr>
                <w:rFonts w:hint="eastAsia" w:ascii="Times New Roman" w:hAnsi="Times New Roman" w:eastAsia="宋体"/>
                <w:b w:val="0"/>
                <w:color w:val="000000"/>
                <w:sz w:val="18"/>
                <w:szCs w:val="18"/>
                <w:lang w:val="en-US" w:eastAsia="zh-CN"/>
              </w:rPr>
              <w:t>+0.96%</w:t>
            </w:r>
          </w:p>
        </w:tc>
      </w:tr>
    </w:tbl>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auto"/>
          <w:sz w:val="21"/>
          <w:szCs w:val="21"/>
        </w:rPr>
      </w:pPr>
      <w:bookmarkStart w:id="135" w:name="_Toc5596"/>
      <w:bookmarkStart w:id="136" w:name="_Toc5791"/>
    </w:p>
    <w:p>
      <w:pPr>
        <w:pStyle w:val="8"/>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表</w:t>
      </w:r>
      <w:r>
        <w:rPr>
          <w:rFonts w:hint="eastAsia" w:ascii="Times New Roman" w:hAnsi="Times New Roman" w:eastAsia="宋体" w:cs="宋体"/>
          <w:b/>
          <w:bCs/>
          <w:color w:val="auto"/>
          <w:sz w:val="21"/>
          <w:szCs w:val="21"/>
        </w:rPr>
        <w:fldChar w:fldCharType="begin"/>
      </w:r>
      <w:r>
        <w:rPr>
          <w:rFonts w:hint="eastAsia" w:ascii="Times New Roman" w:hAnsi="Times New Roman" w:eastAsia="宋体" w:cs="宋体"/>
          <w:b/>
          <w:bCs/>
          <w:color w:val="auto"/>
          <w:sz w:val="21"/>
          <w:szCs w:val="21"/>
        </w:rPr>
        <w:instrText xml:space="preserve"> SEQ 表 \* ARABIC </w:instrText>
      </w:r>
      <w:r>
        <w:rPr>
          <w:rFonts w:hint="eastAsia" w:ascii="Times New Roman" w:hAnsi="Times New Roman" w:eastAsia="宋体" w:cs="宋体"/>
          <w:b/>
          <w:bCs/>
          <w:color w:val="auto"/>
          <w:sz w:val="21"/>
          <w:szCs w:val="21"/>
        </w:rPr>
        <w:fldChar w:fldCharType="separate"/>
      </w:r>
      <w:r>
        <w:rPr>
          <w:rFonts w:hint="eastAsia" w:ascii="Times New Roman" w:hAnsi="Times New Roman" w:eastAsia="宋体" w:cs="宋体"/>
          <w:b/>
          <w:bCs/>
          <w:color w:val="auto"/>
          <w:sz w:val="21"/>
          <w:szCs w:val="21"/>
        </w:rPr>
        <w:t>6</w:t>
      </w:r>
      <w:r>
        <w:rPr>
          <w:rFonts w:hint="eastAsia" w:ascii="Times New Roman" w:hAnsi="Times New Roman" w:eastAsia="宋体" w:cs="宋体"/>
          <w:b/>
          <w:bCs/>
          <w:color w:val="auto"/>
          <w:sz w:val="21"/>
          <w:szCs w:val="21"/>
        </w:rPr>
        <w:fldChar w:fldCharType="end"/>
      </w:r>
      <w:bookmarkStart w:id="137" w:name="_Toc24700"/>
      <w:r>
        <w:rPr>
          <w:rFonts w:hint="eastAsia" w:ascii="Times New Roman" w:hAnsi="Times New Roman" w:eastAsia="宋体" w:cs="宋体"/>
          <w:b/>
          <w:bCs/>
          <w:color w:val="auto"/>
          <w:sz w:val="21"/>
          <w:szCs w:val="21"/>
          <w:lang w:val="en-US" w:eastAsia="zh-CN"/>
        </w:rPr>
        <w:t xml:space="preserve">  </w:t>
      </w:r>
      <w:r>
        <w:rPr>
          <w:rFonts w:hint="eastAsia" w:ascii="Times New Roman" w:hAnsi="Times New Roman" w:eastAsia="宋体" w:cs="宋体"/>
          <w:b/>
          <w:bCs/>
          <w:color w:val="auto"/>
          <w:sz w:val="21"/>
          <w:szCs w:val="21"/>
        </w:rPr>
        <w:t>近两学年遂宁市中等职业学校生均办学基本指标变化情况</w:t>
      </w:r>
      <w:bookmarkEnd w:id="135"/>
      <w:bookmarkEnd w:id="136"/>
      <w:bookmarkEnd w:id="137"/>
    </w:p>
    <w:tbl>
      <w:tblPr>
        <w:tblStyle w:val="31"/>
        <w:tblW w:w="8356" w:type="dxa"/>
        <w:jc w:val="center"/>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Layout w:type="fixed"/>
        <w:tblCellMar>
          <w:top w:w="0" w:type="dxa"/>
          <w:left w:w="108" w:type="dxa"/>
          <w:bottom w:w="0" w:type="dxa"/>
          <w:right w:w="108" w:type="dxa"/>
        </w:tblCellMar>
      </w:tblPr>
      <w:tblGrid>
        <w:gridCol w:w="915"/>
        <w:gridCol w:w="2746"/>
        <w:gridCol w:w="1155"/>
        <w:gridCol w:w="1282"/>
        <w:gridCol w:w="2258"/>
      </w:tblGrid>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jc w:val="center"/>
        </w:trPr>
        <w:tc>
          <w:tcPr>
            <w:tcW w:w="915"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color w:val="000000"/>
                <w:sz w:val="18"/>
                <w:szCs w:val="18"/>
              </w:rPr>
            </w:pPr>
            <w:r>
              <w:rPr>
                <w:rFonts w:hint="eastAsia" w:ascii="宋体" w:hAnsi="宋体" w:eastAsia="宋体" w:cs="宋体"/>
                <w:b/>
                <w:color w:val="000000"/>
                <w:sz w:val="18"/>
                <w:szCs w:val="18"/>
              </w:rPr>
              <w:t>序号</w:t>
            </w:r>
          </w:p>
        </w:tc>
        <w:tc>
          <w:tcPr>
            <w:tcW w:w="2746"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color w:val="000000"/>
                <w:sz w:val="18"/>
                <w:szCs w:val="18"/>
              </w:rPr>
            </w:pPr>
            <w:r>
              <w:rPr>
                <w:rFonts w:hint="eastAsia" w:ascii="宋体" w:hAnsi="宋体" w:eastAsia="宋体" w:cs="宋体"/>
                <w:b/>
                <w:color w:val="000000"/>
                <w:sz w:val="18"/>
                <w:szCs w:val="18"/>
              </w:rPr>
              <w:t>办学基本指标</w:t>
            </w:r>
          </w:p>
        </w:tc>
        <w:tc>
          <w:tcPr>
            <w:tcW w:w="1155"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color w:val="000000"/>
                <w:kern w:val="2"/>
                <w:sz w:val="18"/>
                <w:szCs w:val="18"/>
                <w:lang w:val="en-US" w:eastAsia="zh-CN" w:bidi="ar-SA"/>
              </w:rPr>
            </w:pPr>
            <w:r>
              <w:rPr>
                <w:rFonts w:ascii="Times New Roman" w:hAnsi="Times New Roman" w:eastAsia="宋体" w:cs="Times New Roman"/>
                <w:b/>
                <w:color w:val="000000"/>
                <w:sz w:val="18"/>
                <w:szCs w:val="18"/>
              </w:rPr>
              <w:t>202</w:t>
            </w:r>
            <w:r>
              <w:rPr>
                <w:rFonts w:hint="eastAsia" w:ascii="Times New Roman" w:hAnsi="Times New Roman" w:eastAsia="宋体" w:cs="Times New Roman"/>
                <w:b/>
                <w:color w:val="000000"/>
                <w:sz w:val="18"/>
                <w:szCs w:val="18"/>
                <w:lang w:val="en-US" w:eastAsia="zh-CN"/>
              </w:rPr>
              <w:t>3</w:t>
            </w:r>
            <w:r>
              <w:rPr>
                <w:rFonts w:hint="eastAsia" w:ascii="宋体" w:hAnsi="宋体" w:eastAsia="宋体" w:cs="宋体"/>
                <w:b/>
                <w:color w:val="000000"/>
                <w:sz w:val="18"/>
                <w:szCs w:val="18"/>
              </w:rPr>
              <w:t>年</w:t>
            </w:r>
          </w:p>
        </w:tc>
        <w:tc>
          <w:tcPr>
            <w:tcW w:w="1282"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宋体" w:hAnsi="宋体" w:eastAsia="宋体" w:cs="宋体"/>
                <w:b/>
                <w:color w:val="000000"/>
                <w:sz w:val="18"/>
                <w:szCs w:val="18"/>
                <w:lang w:val="en-US" w:eastAsia="zh-CN"/>
              </w:rPr>
            </w:pPr>
            <w:r>
              <w:rPr>
                <w:rFonts w:hint="eastAsia" w:ascii="宋体" w:hAnsi="宋体" w:eastAsia="宋体" w:cs="宋体"/>
                <w:b/>
                <w:color w:val="000000"/>
                <w:sz w:val="18"/>
                <w:szCs w:val="18"/>
                <w:lang w:val="en-US" w:eastAsia="zh-CN"/>
              </w:rPr>
              <w:t>2024年</w:t>
            </w:r>
          </w:p>
        </w:tc>
        <w:tc>
          <w:tcPr>
            <w:tcW w:w="2258"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color w:val="000000"/>
                <w:sz w:val="18"/>
                <w:szCs w:val="18"/>
              </w:rPr>
            </w:pPr>
            <w:r>
              <w:rPr>
                <w:rFonts w:hint="eastAsia" w:ascii="宋体" w:hAnsi="宋体" w:eastAsia="宋体" w:cs="宋体"/>
                <w:b/>
                <w:color w:val="000000"/>
                <w:sz w:val="18"/>
                <w:szCs w:val="18"/>
              </w:rPr>
              <w:t>设置标准</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jc w:val="center"/>
        </w:trPr>
        <w:tc>
          <w:tcPr>
            <w:tcW w:w="915"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val="0"/>
                <w:color w:val="000000"/>
                <w:sz w:val="18"/>
                <w:szCs w:val="18"/>
              </w:rPr>
            </w:pPr>
            <w:r>
              <w:rPr>
                <w:rFonts w:ascii="Times New Roman" w:hAnsi="Times New Roman" w:eastAsia="宋体" w:cs="Times New Roman"/>
                <w:b w:val="0"/>
                <w:color w:val="000000"/>
                <w:sz w:val="18"/>
                <w:szCs w:val="18"/>
              </w:rPr>
              <w:t>1</w:t>
            </w:r>
          </w:p>
        </w:tc>
        <w:tc>
          <w:tcPr>
            <w:tcW w:w="2746"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val="0"/>
                <w:color w:val="000000"/>
                <w:sz w:val="18"/>
                <w:szCs w:val="18"/>
              </w:rPr>
            </w:pPr>
            <w:r>
              <w:rPr>
                <w:rFonts w:hint="eastAsia" w:ascii="宋体" w:hAnsi="宋体" w:eastAsia="宋体" w:cs="宋体"/>
                <w:b w:val="0"/>
                <w:color w:val="000000"/>
                <w:sz w:val="18"/>
                <w:szCs w:val="18"/>
              </w:rPr>
              <w:t>生均用地面积（平方米）</w:t>
            </w:r>
          </w:p>
        </w:tc>
        <w:tc>
          <w:tcPr>
            <w:tcW w:w="1155"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b w:val="0"/>
                <w:color w:val="000000"/>
                <w:kern w:val="2"/>
                <w:sz w:val="18"/>
                <w:szCs w:val="18"/>
                <w:lang w:val="en-US" w:eastAsia="zh-CN" w:bidi="ar-SA"/>
              </w:rPr>
            </w:pPr>
            <w:r>
              <w:rPr>
                <w:rFonts w:hint="eastAsia" w:ascii="Times New Roman" w:hAnsi="Times New Roman" w:eastAsia="宋体" w:cs="Times New Roman"/>
                <w:b w:val="0"/>
                <w:color w:val="000000"/>
                <w:sz w:val="18"/>
                <w:szCs w:val="18"/>
              </w:rPr>
              <w:t>39.5</w:t>
            </w:r>
            <w:r>
              <w:rPr>
                <w:rFonts w:hint="eastAsia" w:ascii="Times New Roman" w:hAnsi="Times New Roman" w:eastAsia="宋体" w:cs="Times New Roman"/>
                <w:b w:val="0"/>
                <w:color w:val="000000"/>
                <w:sz w:val="18"/>
                <w:szCs w:val="18"/>
                <w:lang w:val="en-US" w:eastAsia="zh-CN"/>
              </w:rPr>
              <w:t>9</w:t>
            </w:r>
          </w:p>
        </w:tc>
        <w:tc>
          <w:tcPr>
            <w:tcW w:w="1282"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val="0"/>
                <w:color w:val="000000"/>
                <w:sz w:val="18"/>
                <w:szCs w:val="18"/>
                <w:lang w:val="en-US" w:eastAsia="zh-CN"/>
              </w:rPr>
            </w:pPr>
            <w:r>
              <w:rPr>
                <w:rFonts w:hint="eastAsia" w:ascii="宋体" w:hAnsi="宋体" w:eastAsia="宋体" w:cs="宋体"/>
                <w:b w:val="0"/>
                <w:color w:val="000000"/>
                <w:sz w:val="18"/>
                <w:szCs w:val="18"/>
                <w:lang w:val="en-US" w:eastAsia="zh-CN"/>
              </w:rPr>
              <w:t>44.39</w:t>
            </w:r>
          </w:p>
        </w:tc>
        <w:tc>
          <w:tcPr>
            <w:tcW w:w="2258"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val="0"/>
                <w:color w:val="000000"/>
                <w:sz w:val="18"/>
                <w:szCs w:val="18"/>
              </w:rPr>
            </w:pPr>
            <w:r>
              <w:rPr>
                <w:rFonts w:ascii="宋体" w:hAnsi="宋体" w:eastAsia="宋体" w:cs="宋体"/>
                <w:b w:val="0"/>
                <w:color w:val="000000"/>
                <w:sz w:val="18"/>
                <w:szCs w:val="18"/>
              </w:rPr>
              <w:t>≥</w:t>
            </w:r>
            <w:r>
              <w:rPr>
                <w:rFonts w:ascii="Times New Roman" w:hAnsi="Times New Roman" w:eastAsia="宋体" w:cs="Times New Roman"/>
                <w:b w:val="0"/>
                <w:color w:val="000000"/>
                <w:sz w:val="18"/>
                <w:szCs w:val="18"/>
              </w:rPr>
              <w:t>33</w:t>
            </w:r>
            <w:r>
              <w:rPr>
                <w:rFonts w:ascii="宋体" w:hAnsi="宋体" w:eastAsia="宋体" w:cs="宋体"/>
                <w:b w:val="0"/>
                <w:color w:val="000000"/>
                <w:sz w:val="18"/>
                <w:szCs w:val="18"/>
              </w:rPr>
              <w:t>平方米</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jc w:val="center"/>
        </w:trPr>
        <w:tc>
          <w:tcPr>
            <w:tcW w:w="91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val="0"/>
                <w:color w:val="000000"/>
                <w:sz w:val="18"/>
                <w:szCs w:val="18"/>
              </w:rPr>
            </w:pPr>
            <w:r>
              <w:rPr>
                <w:rFonts w:ascii="Times New Roman" w:hAnsi="Times New Roman" w:eastAsia="宋体" w:cs="Times New Roman"/>
                <w:b w:val="0"/>
                <w:color w:val="000000"/>
                <w:sz w:val="18"/>
                <w:szCs w:val="18"/>
              </w:rPr>
              <w:t>2</w:t>
            </w:r>
          </w:p>
        </w:tc>
        <w:tc>
          <w:tcPr>
            <w:tcW w:w="2746"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val="0"/>
                <w:color w:val="000000"/>
                <w:sz w:val="18"/>
                <w:szCs w:val="18"/>
              </w:rPr>
            </w:pPr>
            <w:r>
              <w:rPr>
                <w:rFonts w:hint="eastAsia" w:ascii="宋体" w:hAnsi="宋体" w:eastAsia="宋体" w:cs="宋体"/>
                <w:b w:val="0"/>
                <w:color w:val="000000"/>
                <w:sz w:val="18"/>
                <w:szCs w:val="18"/>
              </w:rPr>
              <w:t>生均校舍建筑面积（平方米）</w:t>
            </w:r>
          </w:p>
        </w:tc>
        <w:tc>
          <w:tcPr>
            <w:tcW w:w="115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宋体" w:hAnsi="宋体" w:eastAsia="宋体" w:cs="宋体"/>
                <w:b w:val="0"/>
                <w:color w:val="000000"/>
                <w:kern w:val="2"/>
                <w:sz w:val="18"/>
                <w:szCs w:val="18"/>
                <w:lang w:val="en-US" w:eastAsia="zh-CN" w:bidi="ar-SA"/>
              </w:rPr>
            </w:pPr>
            <w:r>
              <w:rPr>
                <w:rFonts w:hint="eastAsia" w:ascii="Times New Roman" w:hAnsi="Times New Roman" w:eastAsia="宋体" w:cs="Times New Roman"/>
                <w:b w:val="0"/>
                <w:color w:val="000000"/>
                <w:sz w:val="18"/>
                <w:szCs w:val="18"/>
                <w:lang w:val="en-US" w:eastAsia="zh-CN"/>
              </w:rPr>
              <w:t>24.59</w:t>
            </w:r>
          </w:p>
        </w:tc>
        <w:tc>
          <w:tcPr>
            <w:tcW w:w="1282"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val="0"/>
                <w:color w:val="000000"/>
                <w:sz w:val="18"/>
                <w:szCs w:val="18"/>
                <w:lang w:val="en-US" w:eastAsia="zh-CN"/>
              </w:rPr>
            </w:pPr>
            <w:r>
              <w:rPr>
                <w:rFonts w:hint="eastAsia" w:ascii="宋体" w:hAnsi="宋体" w:eastAsia="宋体" w:cs="宋体"/>
                <w:b w:val="0"/>
                <w:color w:val="000000"/>
                <w:sz w:val="18"/>
                <w:szCs w:val="18"/>
                <w:lang w:val="en-US" w:eastAsia="zh-CN"/>
              </w:rPr>
              <w:t>28.40</w:t>
            </w:r>
          </w:p>
        </w:tc>
        <w:tc>
          <w:tcPr>
            <w:tcW w:w="225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val="0"/>
                <w:color w:val="000000"/>
                <w:sz w:val="18"/>
                <w:szCs w:val="18"/>
              </w:rPr>
            </w:pPr>
            <w:r>
              <w:rPr>
                <w:rFonts w:ascii="宋体" w:hAnsi="宋体" w:eastAsia="宋体" w:cs="宋体"/>
                <w:b w:val="0"/>
                <w:color w:val="000000"/>
                <w:sz w:val="18"/>
                <w:szCs w:val="18"/>
              </w:rPr>
              <w:t>≥</w:t>
            </w:r>
            <w:r>
              <w:rPr>
                <w:rFonts w:ascii="Times New Roman" w:hAnsi="Times New Roman" w:eastAsia="宋体" w:cs="Times New Roman"/>
                <w:b w:val="0"/>
                <w:color w:val="000000"/>
                <w:sz w:val="18"/>
                <w:szCs w:val="18"/>
              </w:rPr>
              <w:t>20</w:t>
            </w:r>
            <w:r>
              <w:rPr>
                <w:rFonts w:ascii="宋体" w:hAnsi="宋体" w:eastAsia="宋体" w:cs="宋体"/>
                <w:b w:val="0"/>
                <w:color w:val="000000"/>
                <w:sz w:val="18"/>
                <w:szCs w:val="18"/>
              </w:rPr>
              <w:t>平方米</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jc w:val="center"/>
        </w:trPr>
        <w:tc>
          <w:tcPr>
            <w:tcW w:w="915"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val="0"/>
                <w:color w:val="000000"/>
                <w:sz w:val="18"/>
                <w:szCs w:val="18"/>
              </w:rPr>
            </w:pPr>
            <w:r>
              <w:rPr>
                <w:rFonts w:ascii="Times New Roman" w:hAnsi="Times New Roman" w:eastAsia="宋体" w:cs="Times New Roman"/>
                <w:b w:val="0"/>
                <w:color w:val="000000"/>
                <w:sz w:val="18"/>
                <w:szCs w:val="18"/>
              </w:rPr>
              <w:t>3</w:t>
            </w:r>
          </w:p>
        </w:tc>
        <w:tc>
          <w:tcPr>
            <w:tcW w:w="2746"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val="0"/>
                <w:color w:val="000000"/>
                <w:sz w:val="18"/>
                <w:szCs w:val="18"/>
              </w:rPr>
            </w:pPr>
            <w:r>
              <w:rPr>
                <w:rFonts w:hint="eastAsia" w:ascii="宋体" w:hAnsi="宋体" w:eastAsia="宋体" w:cs="宋体"/>
                <w:b w:val="0"/>
                <w:color w:val="000000"/>
                <w:sz w:val="18"/>
                <w:szCs w:val="18"/>
              </w:rPr>
              <w:t>生均教学仪器设备值（元）</w:t>
            </w:r>
          </w:p>
        </w:tc>
        <w:tc>
          <w:tcPr>
            <w:tcW w:w="1155"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val="0"/>
                <w:color w:val="000000"/>
                <w:kern w:val="2"/>
                <w:sz w:val="18"/>
                <w:szCs w:val="18"/>
                <w:lang w:val="en-US" w:eastAsia="zh-CN" w:bidi="ar-SA"/>
              </w:rPr>
            </w:pPr>
            <w:r>
              <w:rPr>
                <w:rFonts w:hint="eastAsia" w:ascii="Times New Roman" w:hAnsi="Times New Roman" w:eastAsia="宋体" w:cs="Times New Roman"/>
                <w:b w:val="0"/>
                <w:color w:val="000000"/>
                <w:sz w:val="18"/>
                <w:szCs w:val="18"/>
                <w:lang w:val="en-US" w:eastAsia="zh-CN"/>
              </w:rPr>
              <w:t>11935.99</w:t>
            </w:r>
          </w:p>
        </w:tc>
        <w:tc>
          <w:tcPr>
            <w:tcW w:w="1282"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val="0"/>
                <w:color w:val="000000"/>
                <w:sz w:val="18"/>
                <w:szCs w:val="18"/>
                <w:lang w:val="en-US" w:eastAsia="zh-CN"/>
              </w:rPr>
            </w:pPr>
            <w:r>
              <w:rPr>
                <w:rFonts w:hint="eastAsia" w:ascii="宋体" w:hAnsi="宋体" w:eastAsia="宋体" w:cs="宋体"/>
                <w:b w:val="0"/>
                <w:color w:val="000000"/>
                <w:sz w:val="18"/>
                <w:szCs w:val="18"/>
                <w:lang w:val="en-US" w:eastAsia="zh-CN"/>
              </w:rPr>
              <w:t>10899.86</w:t>
            </w:r>
          </w:p>
        </w:tc>
        <w:tc>
          <w:tcPr>
            <w:tcW w:w="2258"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val="0"/>
                <w:color w:val="000000"/>
                <w:sz w:val="18"/>
                <w:szCs w:val="18"/>
              </w:rPr>
            </w:pPr>
            <w:r>
              <w:rPr>
                <w:rFonts w:hint="eastAsia" w:ascii="宋体" w:hAnsi="宋体" w:eastAsia="宋体" w:cs="宋体"/>
                <w:b w:val="0"/>
                <w:color w:val="000000"/>
                <w:sz w:val="18"/>
                <w:szCs w:val="18"/>
              </w:rPr>
              <w:t>工科类专业和医药类专业≥</w:t>
            </w:r>
            <w:r>
              <w:rPr>
                <w:rFonts w:ascii="Times New Roman" w:hAnsi="Times New Roman" w:eastAsia="宋体" w:cs="Times New Roman"/>
                <w:b w:val="0"/>
                <w:color w:val="000000"/>
                <w:sz w:val="18"/>
                <w:szCs w:val="18"/>
              </w:rPr>
              <w:t>3000</w:t>
            </w:r>
            <w:r>
              <w:rPr>
                <w:rFonts w:hint="eastAsia" w:ascii="宋体" w:hAnsi="宋体" w:eastAsia="宋体" w:cs="宋体"/>
                <w:b w:val="0"/>
                <w:color w:val="000000"/>
                <w:sz w:val="18"/>
                <w:szCs w:val="18"/>
              </w:rPr>
              <w:t>元；其他专业≥</w:t>
            </w:r>
            <w:r>
              <w:rPr>
                <w:rFonts w:ascii="Times New Roman" w:hAnsi="Times New Roman" w:eastAsia="宋体" w:cs="Times New Roman"/>
                <w:b w:val="0"/>
                <w:color w:val="000000"/>
                <w:sz w:val="18"/>
                <w:szCs w:val="18"/>
              </w:rPr>
              <w:t>2500</w:t>
            </w:r>
            <w:r>
              <w:rPr>
                <w:rFonts w:hint="eastAsia" w:ascii="宋体" w:hAnsi="宋体" w:eastAsia="宋体" w:cs="宋体"/>
                <w:b w:val="0"/>
                <w:color w:val="000000"/>
                <w:sz w:val="18"/>
                <w:szCs w:val="18"/>
              </w:rPr>
              <w:t>元</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jc w:val="center"/>
        </w:trPr>
        <w:tc>
          <w:tcPr>
            <w:tcW w:w="91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val="0"/>
                <w:color w:val="000000"/>
                <w:sz w:val="18"/>
                <w:szCs w:val="18"/>
              </w:rPr>
            </w:pPr>
            <w:r>
              <w:rPr>
                <w:rFonts w:ascii="Times New Roman" w:hAnsi="Times New Roman" w:eastAsia="宋体" w:cs="Times New Roman"/>
                <w:b w:val="0"/>
                <w:color w:val="000000"/>
                <w:sz w:val="18"/>
                <w:szCs w:val="18"/>
              </w:rPr>
              <w:t>4</w:t>
            </w:r>
          </w:p>
        </w:tc>
        <w:tc>
          <w:tcPr>
            <w:tcW w:w="2746"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val="0"/>
                <w:color w:val="000000"/>
                <w:sz w:val="18"/>
                <w:szCs w:val="18"/>
              </w:rPr>
            </w:pPr>
            <w:r>
              <w:rPr>
                <w:rFonts w:hint="eastAsia" w:ascii="宋体" w:hAnsi="宋体" w:eastAsia="宋体" w:cs="宋体"/>
                <w:b w:val="0"/>
                <w:color w:val="000000"/>
                <w:sz w:val="18"/>
                <w:szCs w:val="18"/>
              </w:rPr>
              <w:t>生均图书（册）</w:t>
            </w:r>
          </w:p>
        </w:tc>
        <w:tc>
          <w:tcPr>
            <w:tcW w:w="115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val="0"/>
                <w:color w:val="000000"/>
                <w:kern w:val="2"/>
                <w:sz w:val="18"/>
                <w:szCs w:val="18"/>
                <w:lang w:val="en-US" w:eastAsia="zh-CN" w:bidi="ar-SA"/>
              </w:rPr>
            </w:pPr>
            <w:r>
              <w:rPr>
                <w:rFonts w:hint="eastAsia" w:ascii="Times New Roman" w:hAnsi="Times New Roman" w:eastAsia="宋体" w:cs="Times New Roman"/>
                <w:b w:val="0"/>
                <w:color w:val="000000"/>
                <w:sz w:val="18"/>
                <w:szCs w:val="18"/>
                <w:lang w:val="en-US" w:eastAsia="zh-CN"/>
              </w:rPr>
              <w:t>33.68</w:t>
            </w:r>
            <w:r>
              <w:rPr>
                <w:rFonts w:hint="eastAsia" w:ascii="Times New Roman" w:hAnsi="Times New Roman" w:eastAsia="宋体" w:cs="Times New Roman"/>
                <w:b w:val="0"/>
                <w:color w:val="000000"/>
                <w:sz w:val="18"/>
                <w:szCs w:val="18"/>
              </w:rPr>
              <w:t xml:space="preserve"> </w:t>
            </w:r>
          </w:p>
        </w:tc>
        <w:tc>
          <w:tcPr>
            <w:tcW w:w="1282"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val="0"/>
                <w:color w:val="000000"/>
                <w:sz w:val="18"/>
                <w:szCs w:val="18"/>
                <w:lang w:val="en-US" w:eastAsia="zh-CN"/>
              </w:rPr>
            </w:pPr>
            <w:r>
              <w:rPr>
                <w:rFonts w:hint="eastAsia" w:ascii="宋体" w:hAnsi="宋体" w:eastAsia="宋体" w:cs="宋体"/>
                <w:b w:val="0"/>
                <w:color w:val="000000"/>
                <w:sz w:val="18"/>
                <w:szCs w:val="18"/>
                <w:lang w:val="en-US" w:eastAsia="zh-CN"/>
              </w:rPr>
              <w:t>34.89</w:t>
            </w:r>
          </w:p>
        </w:tc>
        <w:tc>
          <w:tcPr>
            <w:tcW w:w="225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val="0"/>
                <w:color w:val="000000"/>
                <w:sz w:val="18"/>
                <w:szCs w:val="18"/>
              </w:rPr>
            </w:pPr>
            <w:r>
              <w:rPr>
                <w:rFonts w:ascii="宋体" w:hAnsi="宋体" w:eastAsia="宋体" w:cs="宋体"/>
                <w:b w:val="0"/>
                <w:color w:val="000000"/>
                <w:sz w:val="18"/>
                <w:szCs w:val="18"/>
              </w:rPr>
              <w:t>≥</w:t>
            </w:r>
            <w:r>
              <w:rPr>
                <w:rFonts w:ascii="Times New Roman" w:hAnsi="Times New Roman" w:eastAsia="宋体" w:cs="Times New Roman"/>
                <w:b w:val="0"/>
                <w:color w:val="000000"/>
                <w:sz w:val="18"/>
                <w:szCs w:val="18"/>
              </w:rPr>
              <w:t>30</w:t>
            </w:r>
            <w:r>
              <w:rPr>
                <w:rFonts w:hint="eastAsia" w:ascii="宋体" w:hAnsi="宋体" w:eastAsia="宋体" w:cs="宋体"/>
                <w:b w:val="0"/>
                <w:color w:val="000000"/>
                <w:sz w:val="18"/>
                <w:szCs w:val="18"/>
              </w:rPr>
              <w:t>册</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jc w:val="center"/>
        </w:trPr>
        <w:tc>
          <w:tcPr>
            <w:tcW w:w="915"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val="0"/>
                <w:color w:val="000000"/>
                <w:sz w:val="18"/>
                <w:szCs w:val="18"/>
              </w:rPr>
            </w:pPr>
            <w:r>
              <w:rPr>
                <w:rFonts w:ascii="Times New Roman" w:hAnsi="Times New Roman" w:eastAsia="宋体" w:cs="Times New Roman"/>
                <w:b w:val="0"/>
                <w:color w:val="000000"/>
                <w:sz w:val="18"/>
                <w:szCs w:val="18"/>
              </w:rPr>
              <w:t>5</w:t>
            </w:r>
          </w:p>
        </w:tc>
        <w:tc>
          <w:tcPr>
            <w:tcW w:w="2746"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val="0"/>
                <w:color w:val="000000"/>
                <w:sz w:val="18"/>
                <w:szCs w:val="18"/>
              </w:rPr>
            </w:pPr>
            <w:r>
              <w:rPr>
                <w:rFonts w:hint="eastAsia" w:ascii="宋体" w:hAnsi="宋体" w:eastAsia="宋体" w:cs="宋体"/>
                <w:b w:val="0"/>
                <w:color w:val="000000"/>
                <w:sz w:val="18"/>
                <w:szCs w:val="18"/>
              </w:rPr>
              <w:t>教学用计算机（台/百生）</w:t>
            </w:r>
          </w:p>
        </w:tc>
        <w:tc>
          <w:tcPr>
            <w:tcW w:w="1155"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宋体" w:hAnsi="宋体" w:eastAsia="宋体" w:cs="宋体"/>
                <w:b w:val="0"/>
                <w:color w:val="000000"/>
                <w:kern w:val="2"/>
                <w:sz w:val="18"/>
                <w:szCs w:val="18"/>
                <w:lang w:val="en-US" w:eastAsia="zh-CN" w:bidi="ar-SA"/>
              </w:rPr>
            </w:pPr>
            <w:r>
              <w:rPr>
                <w:rFonts w:hint="eastAsia" w:ascii="宋体" w:hAnsi="宋体" w:eastAsia="宋体" w:cs="宋体"/>
                <w:b w:val="0"/>
                <w:color w:val="000000"/>
                <w:sz w:val="18"/>
                <w:szCs w:val="18"/>
                <w:lang w:val="en-US" w:eastAsia="zh-CN"/>
              </w:rPr>
              <w:t xml:space="preserve"> </w:t>
            </w:r>
            <w:r>
              <w:rPr>
                <w:rFonts w:hint="eastAsia" w:ascii="Times New Roman" w:hAnsi="Times New Roman" w:eastAsia="宋体" w:cs="Times New Roman"/>
                <w:b w:val="0"/>
                <w:color w:val="000000"/>
                <w:sz w:val="18"/>
                <w:szCs w:val="18"/>
                <w:lang w:val="en-US" w:eastAsia="zh-CN"/>
              </w:rPr>
              <w:t>28.83</w:t>
            </w:r>
          </w:p>
        </w:tc>
        <w:tc>
          <w:tcPr>
            <w:tcW w:w="1282"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val="0"/>
                <w:color w:val="000000"/>
                <w:sz w:val="18"/>
                <w:szCs w:val="18"/>
                <w:lang w:val="en-US" w:eastAsia="zh-CN"/>
              </w:rPr>
            </w:pPr>
            <w:r>
              <w:rPr>
                <w:rFonts w:hint="eastAsia" w:ascii="宋体" w:hAnsi="宋体" w:eastAsia="宋体" w:cs="宋体"/>
                <w:b w:val="0"/>
                <w:color w:val="000000"/>
                <w:sz w:val="18"/>
                <w:szCs w:val="18"/>
                <w:lang w:val="en-US" w:eastAsia="zh-CN"/>
              </w:rPr>
              <w:t>30.70</w:t>
            </w:r>
          </w:p>
        </w:tc>
        <w:tc>
          <w:tcPr>
            <w:tcW w:w="2258"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eastAsia="宋体" w:cs="宋体"/>
                <w:b w:val="0"/>
                <w:color w:val="000000"/>
                <w:sz w:val="18"/>
                <w:szCs w:val="18"/>
              </w:rPr>
            </w:pPr>
            <w:r>
              <w:rPr>
                <w:rFonts w:ascii="宋体" w:hAnsi="宋体" w:eastAsia="宋体" w:cs="宋体"/>
                <w:b w:val="0"/>
                <w:color w:val="000000"/>
                <w:sz w:val="18"/>
                <w:szCs w:val="18"/>
              </w:rPr>
              <w:t>≥</w:t>
            </w:r>
            <w:r>
              <w:rPr>
                <w:rFonts w:ascii="Times New Roman" w:hAnsi="Times New Roman" w:eastAsia="宋体" w:cs="Times New Roman"/>
                <w:b w:val="0"/>
                <w:color w:val="000000"/>
                <w:sz w:val="18"/>
                <w:szCs w:val="18"/>
              </w:rPr>
              <w:t>15</w:t>
            </w:r>
            <w:r>
              <w:rPr>
                <w:rFonts w:hint="eastAsia" w:ascii="宋体" w:hAnsi="宋体" w:eastAsia="宋体" w:cs="宋体"/>
                <w:b w:val="0"/>
                <w:color w:val="000000"/>
                <w:sz w:val="18"/>
                <w:szCs w:val="18"/>
              </w:rPr>
              <w:t>台</w:t>
            </w:r>
          </w:p>
        </w:tc>
      </w:tr>
    </w:tbl>
    <w:p>
      <w:pPr>
        <w:adjustRightInd w:val="0"/>
        <w:spacing w:line="560" w:lineRule="exact"/>
        <w:ind w:firstLine="642" w:firstLineChars="200"/>
        <w:outlineLvl w:val="0"/>
        <w:rPr>
          <w:rFonts w:hint="default" w:ascii="Times New Roman" w:hAnsi="Times New Roman" w:eastAsia="黑体" w:cs="Times New Roman"/>
          <w:b/>
          <w:bCs/>
          <w:color w:val="CE6B2A"/>
          <w:sz w:val="32"/>
          <w:szCs w:val="32"/>
          <w:highlight w:val="none"/>
          <w:lang w:val="en-US" w:eastAsia="zh-CN"/>
        </w:rPr>
      </w:pPr>
      <w:bookmarkStart w:id="138" w:name="_Toc1727"/>
      <w:bookmarkStart w:id="139" w:name="_Toc14474"/>
      <w:bookmarkStart w:id="140" w:name="_Toc91576127"/>
      <w:bookmarkStart w:id="141" w:name="_Toc4205"/>
      <w:bookmarkStart w:id="142" w:name="_Toc101"/>
      <w:bookmarkStart w:id="143" w:name="_Toc31654"/>
      <w:bookmarkStart w:id="144" w:name="_Toc20903"/>
      <w:r>
        <w:rPr>
          <w:rFonts w:ascii="Times New Roman" w:hAnsi="Times New Roman" w:eastAsia="黑体" w:cs="Times New Roman"/>
          <w:b/>
          <w:bCs/>
          <w:color w:val="CE6B2A"/>
          <w:sz w:val="32"/>
          <w:szCs w:val="32"/>
          <w:highlight w:val="none"/>
        </w:rPr>
        <w:t>2</w:t>
      </w:r>
      <w:r>
        <w:rPr>
          <w:rFonts w:hint="eastAsia" w:ascii="Times New Roman" w:hAnsi="Times New Roman" w:eastAsia="黑体" w:cs="Times New Roman"/>
          <w:b/>
          <w:bCs/>
          <w:color w:val="CE6B2A"/>
          <w:sz w:val="32"/>
          <w:szCs w:val="32"/>
          <w:highlight w:val="none"/>
        </w:rPr>
        <w:t xml:space="preserve"> </w:t>
      </w:r>
      <w:bookmarkEnd w:id="138"/>
      <w:bookmarkEnd w:id="139"/>
      <w:bookmarkEnd w:id="140"/>
      <w:bookmarkEnd w:id="141"/>
      <w:bookmarkEnd w:id="142"/>
      <w:bookmarkEnd w:id="143"/>
      <w:r>
        <w:rPr>
          <w:rFonts w:hint="eastAsia" w:ascii="Times New Roman" w:hAnsi="Times New Roman" w:eastAsia="黑体" w:cs="Times New Roman"/>
          <w:b/>
          <w:bCs/>
          <w:color w:val="CE6B2A"/>
          <w:sz w:val="32"/>
          <w:szCs w:val="32"/>
          <w:highlight w:val="none"/>
          <w:lang w:val="en-US" w:eastAsia="zh-CN"/>
        </w:rPr>
        <w:t>人才培养</w:t>
      </w:r>
      <w:bookmarkEnd w:id="144"/>
    </w:p>
    <w:p>
      <w:pPr>
        <w:spacing w:line="560" w:lineRule="exact"/>
        <w:ind w:firstLine="602" w:firstLineChars="200"/>
        <w:outlineLvl w:val="1"/>
        <w:rPr>
          <w:rFonts w:hint="default" w:ascii="Times New Roman" w:hAnsi="Times New Roman" w:eastAsia="楷体" w:cs="Times New Roman"/>
          <w:b/>
          <w:bCs/>
          <w:color w:val="auto"/>
          <w:sz w:val="30"/>
          <w:szCs w:val="30"/>
          <w:highlight w:val="none"/>
          <w:lang w:val="en-US" w:eastAsia="zh-CN"/>
        </w:rPr>
      </w:pPr>
      <w:bookmarkStart w:id="145" w:name="_Toc91576128"/>
      <w:bookmarkStart w:id="146" w:name="_Toc7054"/>
      <w:bookmarkStart w:id="147" w:name="_Toc3862"/>
      <w:bookmarkStart w:id="148" w:name="_Toc11609"/>
      <w:bookmarkStart w:id="149" w:name="_Toc5223"/>
      <w:bookmarkStart w:id="150" w:name="_Toc27663"/>
      <w:r>
        <w:rPr>
          <w:rFonts w:ascii="Times New Roman" w:hAnsi="Times New Roman" w:eastAsia="楷体" w:cs="Times New Roman"/>
          <w:b/>
          <w:bCs/>
          <w:color w:val="auto"/>
          <w:sz w:val="30"/>
          <w:szCs w:val="30"/>
          <w:highlight w:val="none"/>
        </w:rPr>
        <w:t>2</w:t>
      </w:r>
      <w:r>
        <w:rPr>
          <w:rFonts w:hint="eastAsia" w:ascii="Times New Roman" w:hAnsi="Times New Roman" w:eastAsia="楷体" w:cs="Times New Roman"/>
          <w:b/>
          <w:bCs/>
          <w:color w:val="auto"/>
          <w:sz w:val="30"/>
          <w:szCs w:val="30"/>
          <w:highlight w:val="none"/>
        </w:rPr>
        <w:t>.</w:t>
      </w:r>
      <w:r>
        <w:rPr>
          <w:rFonts w:ascii="Times New Roman" w:hAnsi="Times New Roman" w:eastAsia="楷体" w:cs="Times New Roman"/>
          <w:b/>
          <w:bCs/>
          <w:color w:val="auto"/>
          <w:sz w:val="30"/>
          <w:szCs w:val="30"/>
          <w:highlight w:val="none"/>
        </w:rPr>
        <w:t>1</w:t>
      </w:r>
      <w:r>
        <w:rPr>
          <w:rFonts w:hint="eastAsia" w:ascii="Times New Roman" w:hAnsi="Times New Roman" w:eastAsia="楷体" w:cs="Times New Roman"/>
          <w:b/>
          <w:bCs/>
          <w:color w:val="auto"/>
          <w:sz w:val="30"/>
          <w:szCs w:val="30"/>
          <w:highlight w:val="none"/>
        </w:rPr>
        <w:t xml:space="preserve"> </w:t>
      </w:r>
      <w:bookmarkEnd w:id="145"/>
      <w:r>
        <w:rPr>
          <w:rFonts w:hint="eastAsia" w:ascii="Times New Roman" w:hAnsi="Times New Roman" w:eastAsia="楷体" w:cs="Times New Roman"/>
          <w:b/>
          <w:bCs/>
          <w:color w:val="auto"/>
          <w:sz w:val="30"/>
          <w:szCs w:val="30"/>
          <w:highlight w:val="none"/>
        </w:rPr>
        <w:t>党建</w:t>
      </w:r>
      <w:bookmarkEnd w:id="146"/>
      <w:bookmarkEnd w:id="147"/>
      <w:bookmarkEnd w:id="148"/>
      <w:bookmarkEnd w:id="149"/>
      <w:r>
        <w:rPr>
          <w:rFonts w:hint="eastAsia" w:ascii="Times New Roman" w:hAnsi="Times New Roman" w:eastAsia="楷体" w:cs="Times New Roman"/>
          <w:b/>
          <w:bCs/>
          <w:color w:val="auto"/>
          <w:sz w:val="30"/>
          <w:szCs w:val="30"/>
          <w:highlight w:val="none"/>
          <w:lang w:eastAsia="zh-CN"/>
        </w:rPr>
        <w:t>工作</w:t>
      </w:r>
      <w:bookmarkEnd w:id="150"/>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bookmarkStart w:id="151" w:name="_Toc12978"/>
      <w:bookmarkStart w:id="152" w:name="_Toc29679"/>
      <w:bookmarkStart w:id="153" w:name="_Toc25171"/>
      <w:bookmarkStart w:id="154" w:name="_Toc6181"/>
      <w:r>
        <w:rPr>
          <w:rFonts w:hint="eastAsia" w:ascii="Times New Roman" w:hAnsi="Times New Roman" w:eastAsia="宋体" w:cs="仿宋"/>
          <w:color w:val="auto"/>
          <w:sz w:val="24"/>
          <w:szCs w:val="24"/>
          <w:highlight w:val="none"/>
          <w:lang w:val="en-US" w:eastAsia="zh-CN"/>
        </w:rPr>
        <w:t>2024年，遂宁市中等职业教育以习近平新时代中国特色社会主义思想为根本遵循，全面贯彻落实党的二十届三中全会精神、全国教育大会精神、省委十二届六次全会精神、市委八届十次全会精神，持续增强党组织的政治引领力和组织凝聚力，切实发挥党建在推动改革、引领业务中的强大“助推器”作用，为职业教育事业的高质量发展提供了坚强的政治和组织保障。</w:t>
      </w:r>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2</w:t>
      </w:r>
      <w:r>
        <w:rPr>
          <w:rFonts w:hint="eastAsia"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1</w:t>
      </w:r>
      <w:r>
        <w:rPr>
          <w:rFonts w:hint="eastAsia" w:ascii="Times New Roman" w:hAnsi="Times New Roman" w:eastAsia="宋体" w:cs="Times New Roman"/>
          <w:b/>
          <w:bCs/>
          <w:color w:val="auto"/>
          <w:sz w:val="28"/>
          <w:szCs w:val="28"/>
          <w:highlight w:val="none"/>
        </w:rPr>
        <w:t>.</w:t>
      </w:r>
      <w:r>
        <w:rPr>
          <w:rFonts w:ascii="Times New Roman" w:hAnsi="Times New Roman" w:eastAsia="宋体" w:cs="Times New Roman"/>
          <w:b/>
          <w:bCs/>
          <w:color w:val="auto"/>
          <w:sz w:val="28"/>
          <w:szCs w:val="28"/>
          <w:highlight w:val="none"/>
        </w:rPr>
        <w:t>1</w:t>
      </w:r>
      <w:r>
        <w:rPr>
          <w:rFonts w:hint="eastAsia" w:ascii="Times New Roman" w:hAnsi="Times New Roman" w:eastAsia="宋体" w:cs="Times New Roman"/>
          <w:b/>
          <w:bCs/>
          <w:color w:val="auto"/>
          <w:sz w:val="28"/>
          <w:szCs w:val="28"/>
          <w:highlight w:val="none"/>
        </w:rPr>
        <w:t xml:space="preserve"> </w:t>
      </w:r>
      <w:r>
        <w:rPr>
          <w:rFonts w:hint="eastAsia" w:ascii="Times New Roman" w:hAnsi="Times New Roman" w:eastAsia="宋体" w:cs="Times New Roman"/>
          <w:b/>
          <w:bCs/>
          <w:color w:val="auto"/>
          <w:sz w:val="28"/>
          <w:szCs w:val="28"/>
          <w:highlight w:val="none"/>
          <w:lang w:val="en-US" w:eastAsia="zh-CN"/>
        </w:rPr>
        <w:t>思想建设</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b w:val="0"/>
          <w:bCs w:val="0"/>
          <w:color w:val="auto"/>
          <w:sz w:val="24"/>
          <w:szCs w:val="24"/>
          <w:highlight w:val="none"/>
          <w:lang w:val="en-US" w:eastAsia="zh-CN"/>
        </w:rPr>
        <w:t>一是抓实政治理</w:t>
      </w:r>
      <w:r>
        <w:rPr>
          <w:rFonts w:hint="eastAsia" w:ascii="Times New Roman" w:hAnsi="Times New Roman" w:eastAsia="宋体" w:cs="仿宋"/>
          <w:color w:val="auto"/>
          <w:sz w:val="24"/>
          <w:szCs w:val="24"/>
          <w:highlight w:val="none"/>
          <w:lang w:val="en-US" w:eastAsia="zh-CN"/>
        </w:rPr>
        <w:t>论学习。进一步深入学习领会习近平总书记关于全面加强党的纪律建设的重要论述，深刻理解把握新修订的《中国共产党纪律处分条例》，狠抓党员干部理论学习，通过采取个人自学、集中学习、问题研讨等方式，引导党员干部深学笃用习近平新时代中国特色社会主义思想，深刻领悟“两个确立”的决定性意义，进一步增强了“四个意识”，坚定“四个自信”，做到“两个维护”。今年，领导干部开展对党的二十届三中全会精神、省委十二届六次全会精神宣讲活动2场次，党组理论学习中心组专题学习3次。二是推进党员学习教育。2024年7月依托市委党校开展全市职教系统党组织书记、党员专题培训班，不定期举办党务干部业务培训班。</w:t>
      </w:r>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2</w:t>
      </w:r>
      <w:r>
        <w:rPr>
          <w:rFonts w:hint="eastAsia"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1</w:t>
      </w:r>
      <w:r>
        <w:rPr>
          <w:rFonts w:hint="eastAsia"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2</w:t>
      </w:r>
      <w:r>
        <w:rPr>
          <w:rFonts w:hint="eastAsia" w:ascii="Times New Roman" w:hAnsi="Times New Roman" w:eastAsia="宋体" w:cs="Times New Roman"/>
          <w:b/>
          <w:bCs/>
          <w:color w:val="auto"/>
          <w:sz w:val="28"/>
          <w:szCs w:val="28"/>
          <w:highlight w:val="none"/>
        </w:rPr>
        <w:t xml:space="preserve"> </w:t>
      </w:r>
      <w:r>
        <w:rPr>
          <w:rFonts w:hint="eastAsia" w:ascii="Times New Roman" w:hAnsi="Times New Roman" w:eastAsia="宋体" w:cs="Times New Roman"/>
          <w:b/>
          <w:bCs/>
          <w:color w:val="auto"/>
          <w:sz w:val="28"/>
          <w:szCs w:val="28"/>
          <w:highlight w:val="none"/>
          <w:lang w:val="en-US" w:eastAsia="zh-CN"/>
        </w:rPr>
        <w:t>组织建设</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b w:val="0"/>
          <w:bCs w:val="0"/>
          <w:color w:val="auto"/>
          <w:sz w:val="24"/>
          <w:szCs w:val="24"/>
          <w:highlight w:val="none"/>
          <w:lang w:val="en-US" w:eastAsia="zh-CN"/>
        </w:rPr>
        <w:t>一是持续推</w:t>
      </w:r>
      <w:r>
        <w:rPr>
          <w:rFonts w:hint="eastAsia" w:ascii="Times New Roman" w:hAnsi="Times New Roman" w:eastAsia="宋体" w:cs="仿宋"/>
          <w:color w:val="auto"/>
          <w:sz w:val="24"/>
          <w:szCs w:val="24"/>
          <w:highlight w:val="none"/>
          <w:lang w:val="en-US" w:eastAsia="zh-CN"/>
        </w:rPr>
        <w:t>进中小学校党组织领导的校长负责制改革。加强组织领导和统筹协调，督促指导学校建立健全议事决策制度、完善协调运行机制，修订完成党组织会议、校长办公会议等议事规则，建立书记、校长经常性沟通机制。二是完善学校党组织体系。科学合理设置学校党组织，全市设置为党委、党总支的学校，全部实现党组织书记、校长分设，完成率100%；党组织设置为党支部的学校，全部实现党组织书记、校长“一肩挑”，完成率100%；实行“一肩挑”的学校全部配备专职副书记，配备率100%。三是规范基本党务。健全教育工委、学校党委、基层党支部三级联动管理模式，严格换届选举和任期制度，紧密结合教育教学落实“三会一课”、组织生活会、民主评议党员等制度，扎实开展主题党日活动，推动党务工作整体提升。</w:t>
      </w:r>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2</w:t>
      </w:r>
      <w:r>
        <w:rPr>
          <w:rFonts w:hint="eastAsia"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1</w:t>
      </w:r>
      <w:r>
        <w:rPr>
          <w:rFonts w:hint="eastAsia"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3</w:t>
      </w:r>
      <w:r>
        <w:rPr>
          <w:rFonts w:hint="eastAsia" w:ascii="Times New Roman" w:hAnsi="Times New Roman" w:eastAsia="宋体" w:cs="Times New Roman"/>
          <w:b/>
          <w:bCs/>
          <w:color w:val="auto"/>
          <w:sz w:val="28"/>
          <w:szCs w:val="28"/>
          <w:highlight w:val="none"/>
        </w:rPr>
        <w:t xml:space="preserve"> </w:t>
      </w:r>
      <w:r>
        <w:rPr>
          <w:rFonts w:hint="eastAsia" w:ascii="Times New Roman" w:hAnsi="Times New Roman" w:eastAsia="宋体" w:cs="Times New Roman"/>
          <w:b/>
          <w:bCs/>
          <w:color w:val="auto"/>
          <w:sz w:val="28"/>
          <w:szCs w:val="28"/>
          <w:highlight w:val="none"/>
          <w:lang w:val="en-US" w:eastAsia="zh-CN"/>
        </w:rPr>
        <w:t>作风建设</w:t>
      </w:r>
    </w:p>
    <w:p>
      <w:pPr>
        <w:keepNext w:val="0"/>
        <w:keepLines w:val="0"/>
        <w:pageBreakBefore w:val="0"/>
        <w:widowControl w:val="0"/>
        <w:kinsoku/>
        <w:wordWrap/>
        <w:overflowPunct/>
        <w:topLinePunct w:val="0"/>
        <w:autoSpaceDE/>
        <w:autoSpaceDN/>
        <w:bidi w:val="0"/>
        <w:adjustRightInd/>
        <w:snapToGrid/>
        <w:spacing w:after="157" w:afterLines="50" w:line="560" w:lineRule="exact"/>
        <w:ind w:firstLine="480" w:firstLineChars="200"/>
        <w:textAlignment w:val="auto"/>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b w:val="0"/>
          <w:bCs w:val="0"/>
          <w:color w:val="auto"/>
          <w:sz w:val="24"/>
          <w:szCs w:val="24"/>
          <w:highlight w:val="none"/>
          <w:lang w:val="en-US" w:eastAsia="zh-CN"/>
        </w:rPr>
        <w:t>一是加强学</w:t>
      </w:r>
      <w:r>
        <w:rPr>
          <w:rFonts w:hint="eastAsia" w:ascii="Times New Roman" w:hAnsi="Times New Roman" w:eastAsia="宋体" w:cs="仿宋"/>
          <w:color w:val="auto"/>
          <w:sz w:val="24"/>
          <w:szCs w:val="24"/>
          <w:highlight w:val="none"/>
          <w:lang w:val="en-US" w:eastAsia="zh-CN"/>
        </w:rPr>
        <w:t>校纪委建设。加强纪检工作力量，进一步建立健全纪检工作制度机制，明确工作职责和责任清单，强化信息公开，主动接受群众监督。强化日常监督检查，加强廉政风险排查，做好廉政档案填报工作。二是深化清廉学校建设。组织召开全市教体系统深化清廉学校建设工作推进会议，制定印发《市委教育工作领导小组关于持续深化清廉学校建设工作的实施方案》《市委教育工委关于做好近期清廉学校建设重点工作的通知》《市委教育工委关于开展深化清廉学校建设专项督查工作的通知》等文件，统筹安排部署，深入推进清廉学校建设。三是开展专项治理工作。印发《陈伐严重违纪违法案突出问题专项整治工作任务分工方案》，建立专项整治工作领导小组和工作专班，聚焦项目补助资金审核监管、公职人员违规借贷获取大额回报等问题，开展两轮自查核查工作，开展警示教育和全覆盖谈心谈话，举一反三推动系统施治、标本兼治。</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1"/>
        <w:gridCol w:w="42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51" w:type="dxa"/>
          </w:tcPr>
          <w:p>
            <w:pPr>
              <w:pStyle w:val="29"/>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vertAlign w:val="baseline"/>
              </w:rPr>
            </w:pPr>
            <w:r>
              <w:rPr>
                <w:rFonts w:hint="eastAsia" w:ascii="Times New Roman" w:hAnsi="Times New Roman"/>
                <w:sz w:val="28"/>
                <w:szCs w:val="28"/>
              </w:rPr>
              <w:drawing>
                <wp:inline distT="0" distB="0" distL="0" distR="0">
                  <wp:extent cx="2585720" cy="1757045"/>
                  <wp:effectExtent l="0" t="0" r="5080" b="8255"/>
                  <wp:docPr id="73" name="图片 8" descr="C:/Users/HUAWEI/Desktop/图片5.png图片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图片 8" descr="C:/Users/HUAWEI/Desktop/图片5.png图片5"/>
                          <pic:cNvPicPr>
                            <a:picLocks noChangeAspect="true"/>
                          </pic:cNvPicPr>
                        </pic:nvPicPr>
                        <pic:blipFill>
                          <a:blip r:embed="rId19"/>
                          <a:srcRect t="4273" b="4273"/>
                          <a:stretch>
                            <a:fillRect/>
                          </a:stretch>
                        </pic:blipFill>
                        <pic:spPr>
                          <a:xfrm>
                            <a:off x="0" y="0"/>
                            <a:ext cx="2585720" cy="1757045"/>
                          </a:xfrm>
                          <a:prstGeom prst="rect">
                            <a:avLst/>
                          </a:prstGeom>
                        </pic:spPr>
                      </pic:pic>
                    </a:graphicData>
                  </a:graphic>
                </wp:inline>
              </w:drawing>
            </w:r>
          </w:p>
        </w:tc>
        <w:tc>
          <w:tcPr>
            <w:tcW w:w="4271" w:type="dxa"/>
          </w:tcPr>
          <w:p>
            <w:pPr>
              <w:pStyle w:val="29"/>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vertAlign w:val="baseline"/>
              </w:rPr>
            </w:pPr>
            <w:r>
              <w:rPr>
                <w:rFonts w:hint="eastAsia" w:ascii="Times New Roman" w:hAnsi="Times New Roman"/>
                <w:sz w:val="28"/>
                <w:szCs w:val="28"/>
              </w:rPr>
              <w:drawing>
                <wp:inline distT="0" distB="0" distL="0" distR="0">
                  <wp:extent cx="2603500" cy="1757045"/>
                  <wp:effectExtent l="0" t="0" r="0" b="8255"/>
                  <wp:docPr id="20" name="图片 0" descr="C:/Users/HUAWEI/Desktop/图片4.png图片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0" descr="C:/Users/HUAWEI/Desktop/图片4.png图片4"/>
                          <pic:cNvPicPr>
                            <a:picLocks noChangeAspect="true"/>
                          </pic:cNvPicPr>
                        </pic:nvPicPr>
                        <pic:blipFill>
                          <a:blip r:embed="rId20"/>
                          <a:srcRect t="3073" b="3073"/>
                          <a:stretch>
                            <a:fillRect/>
                          </a:stretch>
                        </pic:blipFill>
                        <pic:spPr>
                          <a:xfrm>
                            <a:off x="0" y="0"/>
                            <a:ext cx="2603500" cy="17570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vAlign w:val="center"/>
          </w:tcPr>
          <w:p>
            <w:pPr>
              <w:pStyle w:val="8"/>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rPr>
                <w:rFonts w:hint="default" w:ascii="Times New Roman" w:hAnsi="Times New Roman"/>
                <w:vertAlign w:val="baseline"/>
                <w:lang w:val="en-US"/>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5</w:t>
            </w:r>
            <w:r>
              <w:rPr>
                <w:rFonts w:hint="eastAsia" w:ascii="Times New Roman" w:hAnsi="Times New Roman" w:eastAsia="楷体" w:cs="楷体"/>
                <w:sz w:val="24"/>
                <w:szCs w:val="24"/>
              </w:rPr>
              <w:fldChar w:fldCharType="end"/>
            </w:r>
            <w:bookmarkStart w:id="155" w:name="_Toc3224"/>
            <w:bookmarkStart w:id="156" w:name="_Toc26722"/>
            <w:bookmarkStart w:id="157" w:name="_Toc16984"/>
            <w:r>
              <w:rPr>
                <w:rFonts w:hint="eastAsia" w:ascii="Times New Roman" w:hAnsi="Times New Roman" w:eastAsia="楷体" w:cs="楷体"/>
                <w:sz w:val="24"/>
                <w:szCs w:val="24"/>
                <w:lang w:eastAsia="zh-CN"/>
              </w:rPr>
              <w:t xml:space="preserve"> </w:t>
            </w:r>
            <w:bookmarkEnd w:id="155"/>
            <w:bookmarkEnd w:id="156"/>
            <w:r>
              <w:rPr>
                <w:rFonts w:hint="eastAsia" w:ascii="Times New Roman" w:hAnsi="Times New Roman" w:eastAsia="楷体" w:cs="楷体"/>
                <w:sz w:val="24"/>
                <w:szCs w:val="24"/>
                <w:lang w:val="en-US" w:eastAsia="zh-CN"/>
              </w:rPr>
              <w:t>贯彻党的二十届三中全会精神研讨交流座谈会</w:t>
            </w:r>
            <w:bookmarkEnd w:id="157"/>
          </w:p>
        </w:tc>
      </w:tr>
    </w:tbl>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楷体" w:cs="楷体"/>
          <w:sz w:val="24"/>
          <w:szCs w:val="24"/>
        </w:rPr>
      </w:pPr>
    </w:p>
    <w:p>
      <w:pPr>
        <w:pStyle w:val="2"/>
        <w:rPr>
          <w:rFonts w:hint="eastAsia" w:ascii="Times New Roman" w:hAnsi="Times New Roman" w:eastAsia="楷体" w:cs="楷体"/>
          <w:sz w:val="24"/>
          <w:szCs w:val="24"/>
        </w:rPr>
      </w:pPr>
    </w:p>
    <w:p>
      <w:pPr>
        <w:pStyle w:val="2"/>
        <w:rPr>
          <w:rFonts w:hint="eastAsia" w:ascii="Times New Roman" w:hAnsi="Times New Roman" w:eastAsia="楷体" w:cs="楷体"/>
          <w:sz w:val="24"/>
          <w:szCs w:val="24"/>
        </w:rPr>
      </w:pPr>
    </w:p>
    <w:p>
      <w:pPr>
        <w:pStyle w:val="2"/>
        <w:rPr>
          <w:rFonts w:hint="eastAsia" w:ascii="Times New Roman" w:hAnsi="Times New Roman" w:eastAsia="楷体" w:cs="楷体"/>
          <w:sz w:val="24"/>
          <w:szCs w:val="24"/>
        </w:rPr>
      </w:pPr>
    </w:p>
    <w:p>
      <w:pPr>
        <w:pStyle w:val="8"/>
        <w:keepNext w:val="0"/>
        <w:keepLines w:val="0"/>
        <w:pageBreakBefore w:val="0"/>
        <w:widowControl w:val="0"/>
        <w:kinsoku/>
        <w:wordWrap/>
        <w:overflowPunct/>
        <w:topLinePunct w:val="0"/>
        <w:autoSpaceDE/>
        <w:autoSpaceDN/>
        <w:bidi w:val="0"/>
        <w:adjustRightInd w:val="0"/>
        <w:snapToGrid w:val="0"/>
        <w:spacing w:line="480" w:lineRule="exact"/>
        <w:contextualSpacing/>
        <w:jc w:val="left"/>
        <w:textAlignment w:val="auto"/>
        <w:outlineLvl w:val="2"/>
        <w:rPr>
          <w:rFonts w:hint="eastAsia" w:ascii="黑体" w:hAnsi="黑体" w:eastAsia="黑体" w:cs="黑体"/>
          <w:b/>
          <w:bCs/>
          <w:color w:val="C55A11" w:themeColor="accent2" w:themeShade="BF"/>
          <w:sz w:val="24"/>
          <w:szCs w:val="24"/>
          <w:lang w:eastAsia="zh-CN"/>
        </w:rPr>
      </w:pPr>
      <w:r>
        <w:rPr>
          <w:rFonts w:hint="eastAsia" w:ascii="黑体" w:hAnsi="黑体" w:eastAsia="黑体" w:cs="黑体"/>
          <w:b/>
          <w:bCs/>
          <w:color w:val="C55A11" w:themeColor="accent2" w:themeShade="BF"/>
          <w:sz w:val="24"/>
          <w:szCs w:val="24"/>
          <w:lang w:eastAsia="zh-CN"/>
        </w:rPr>
        <w:t>【案例</w:t>
      </w:r>
      <w:r>
        <w:rPr>
          <w:rFonts w:hint="eastAsia" w:ascii="黑体" w:hAnsi="黑体" w:eastAsia="黑体" w:cs="黑体"/>
          <w:b/>
          <w:bCs/>
          <w:color w:val="C55A11" w:themeColor="accent2" w:themeShade="BF"/>
          <w:sz w:val="24"/>
          <w:szCs w:val="24"/>
          <w:lang w:eastAsia="zh-CN"/>
        </w:rPr>
        <w:fldChar w:fldCharType="begin"/>
      </w:r>
      <w:r>
        <w:rPr>
          <w:rFonts w:hint="eastAsia" w:ascii="黑体" w:hAnsi="黑体" w:eastAsia="黑体" w:cs="黑体"/>
          <w:b/>
          <w:bCs/>
          <w:color w:val="C55A11" w:themeColor="accent2" w:themeShade="BF"/>
          <w:sz w:val="24"/>
          <w:szCs w:val="24"/>
          <w:lang w:eastAsia="zh-CN"/>
        </w:rPr>
        <w:instrText xml:space="preserve"> SEQ 案例 \* ARABIC </w:instrText>
      </w:r>
      <w:r>
        <w:rPr>
          <w:rFonts w:hint="eastAsia" w:ascii="黑体" w:hAnsi="黑体" w:eastAsia="黑体" w:cs="黑体"/>
          <w:b/>
          <w:bCs/>
          <w:color w:val="C55A11" w:themeColor="accent2" w:themeShade="BF"/>
          <w:sz w:val="24"/>
          <w:szCs w:val="24"/>
          <w:lang w:eastAsia="zh-CN"/>
        </w:rPr>
        <w:fldChar w:fldCharType="separate"/>
      </w:r>
      <w:r>
        <w:rPr>
          <w:rFonts w:hint="eastAsia" w:ascii="黑体" w:hAnsi="黑体" w:eastAsia="黑体" w:cs="黑体"/>
          <w:b/>
          <w:bCs/>
          <w:color w:val="C55A11" w:themeColor="accent2" w:themeShade="BF"/>
          <w:sz w:val="24"/>
          <w:szCs w:val="24"/>
          <w:lang w:eastAsia="zh-CN"/>
        </w:rPr>
        <w:t>1</w:t>
      </w:r>
      <w:r>
        <w:rPr>
          <w:rFonts w:hint="eastAsia" w:ascii="黑体" w:hAnsi="黑体" w:eastAsia="黑体" w:cs="黑体"/>
          <w:b/>
          <w:bCs/>
          <w:color w:val="C55A11" w:themeColor="accent2" w:themeShade="BF"/>
          <w:sz w:val="24"/>
          <w:szCs w:val="24"/>
          <w:lang w:eastAsia="zh-CN"/>
        </w:rPr>
        <w:fldChar w:fldCharType="end"/>
      </w:r>
      <w:bookmarkStart w:id="158" w:name="_Toc10933"/>
      <w:r>
        <w:rPr>
          <w:rFonts w:hint="eastAsia" w:ascii="黑体" w:hAnsi="黑体" w:eastAsia="黑体" w:cs="黑体"/>
          <w:b/>
          <w:bCs/>
          <w:color w:val="C55A11" w:themeColor="accent2" w:themeShade="BF"/>
          <w:sz w:val="24"/>
          <w:szCs w:val="24"/>
          <w:lang w:val="en-US" w:eastAsia="zh-CN"/>
        </w:rPr>
        <w:t>】</w:t>
      </w:r>
      <w:r>
        <w:rPr>
          <w:rFonts w:hint="eastAsia" w:ascii="黑体" w:hAnsi="黑体" w:eastAsia="黑体" w:cs="黑体"/>
          <w:b/>
          <w:bCs/>
          <w:color w:val="C55A11" w:themeColor="accent2" w:themeShade="BF"/>
          <w:sz w:val="24"/>
          <w:szCs w:val="24"/>
          <w:lang w:eastAsia="zh-CN"/>
        </w:rPr>
        <w:t>建设学习型支部，助力五星名校建设</w:t>
      </w:r>
      <w:bookmarkEnd w:id="158"/>
    </w:p>
    <w:p>
      <w:pPr>
        <w:pStyle w:val="8"/>
        <w:keepNext w:val="0"/>
        <w:keepLines w:val="0"/>
        <w:pageBreakBefore w:val="0"/>
        <w:widowControl w:val="0"/>
        <w:kinsoku/>
        <w:wordWrap/>
        <w:overflowPunct/>
        <w:topLinePunct w:val="0"/>
        <w:autoSpaceDE/>
        <w:autoSpaceDN/>
        <w:bidi w:val="0"/>
        <w:adjustRightInd w:val="0"/>
        <w:snapToGrid w:val="0"/>
        <w:spacing w:line="480" w:lineRule="exact"/>
        <w:contextualSpacing/>
        <w:jc w:val="right"/>
        <w:textAlignment w:val="auto"/>
        <w:outlineLvl w:val="2"/>
        <w:rPr>
          <w:rFonts w:hint="eastAsia" w:ascii="黑体" w:hAnsi="黑体" w:eastAsia="黑体" w:cs="黑体"/>
          <w:b/>
          <w:bCs/>
          <w:color w:val="C55A11" w:themeColor="accent2" w:themeShade="BF"/>
          <w:sz w:val="24"/>
          <w:szCs w:val="24"/>
          <w:lang w:val="en-US" w:eastAsia="zh-CN"/>
        </w:rPr>
      </w:pPr>
      <w:r>
        <w:rPr>
          <w:rFonts w:hint="eastAsia" w:ascii="黑体" w:hAnsi="黑体" w:eastAsia="黑体" w:cs="黑体"/>
          <w:b/>
          <w:bCs/>
          <w:color w:val="C55A11" w:themeColor="accent2" w:themeShade="BF"/>
          <w:sz w:val="24"/>
          <w:szCs w:val="24"/>
          <w:lang w:val="en-US" w:eastAsia="zh-CN"/>
        </w:rPr>
        <w:t>——四川省射洪市职业中专学校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射洪市职业中专学校第四支部落实贯彻上级方针和要求，切实落实学校党委提出的《关于创建特色战斗堡垒支部的决定》，将第四支部打造为学习型特色战斗堡垒支部，为学校五星名校建设打下坚实的人才基础。</w:t>
      </w:r>
    </w:p>
    <w:p>
      <w:pPr>
        <w:keepNext w:val="0"/>
        <w:keepLines w:val="0"/>
        <w:pageBreakBefore w:val="0"/>
        <w:widowControl w:val="0"/>
        <w:kinsoku/>
        <w:wordWrap/>
        <w:overflowPunct/>
        <w:topLinePunct w:val="0"/>
        <w:autoSpaceDE/>
        <w:autoSpaceDN/>
        <w:bidi w:val="0"/>
        <w:adjustRightInd/>
        <w:snapToGrid/>
        <w:spacing w:line="440" w:lineRule="exact"/>
        <w:ind w:firstLine="481"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一、注重正确思想引领，确立前行方向</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支部把办好职业教育，提升教育教学质量贯彻到了“学习”和“教育”中，用党的思想以及创新理论帮助广大党员教师凝心铸魂，固本培元。要求广大教师把学习效果转化为教书育人的能力，牢固树立“团队协作”“终身学习”和“服务意识”等三种理念。培养党员干部四种能力：“系统思考”能力、“团队学习”能力、“不断创新”能力、“自我超越”能力；要求教师党员争当“五个模范”：学习模范，师德模范，劳动模范，守纪模范，工作模范。</w:t>
      </w:r>
    </w:p>
    <w:p>
      <w:pPr>
        <w:keepNext w:val="0"/>
        <w:keepLines w:val="0"/>
        <w:pageBreakBefore w:val="0"/>
        <w:widowControl w:val="0"/>
        <w:kinsoku/>
        <w:wordWrap/>
        <w:overflowPunct/>
        <w:topLinePunct w:val="0"/>
        <w:autoSpaceDE/>
        <w:autoSpaceDN/>
        <w:bidi w:val="0"/>
        <w:adjustRightInd/>
        <w:snapToGrid/>
        <w:spacing w:line="440" w:lineRule="exact"/>
        <w:ind w:firstLine="481"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二、重温党的基本理论，夯实事业之基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落实“三会一课”制度和主题党日活动，认真组织全体党员、干部认真学习新党章，党内法规制度以及党的基本知识、基本理论。围绕党的性质、宗旨、纲领、党的组织原则、作风、优良传统、先进性标准，结合党执政的基本经验等内容进行学习。结合自身岗位特点，加强业务学习，为党为国培育“筑梦人”。坚持集中统一学与自主灵活学兼顾，必学和选学相结合，检查与考核并重，使得学习有制度，运行有保障，学习不流于形式。</w:t>
      </w:r>
    </w:p>
    <w:p>
      <w:pPr>
        <w:pStyle w:val="8"/>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color w:val="FF0000"/>
          <w:kern w:val="2"/>
          <w:sz w:val="21"/>
          <w:szCs w:val="21"/>
          <w:highlight w:val="yellow"/>
          <w:lang w:val="en-US" w:eastAsia="zh-CN" w:bidi="ar-SA"/>
        </w:rPr>
      </w:pPr>
      <w:r>
        <w:rPr>
          <w:rFonts w:hint="eastAsia" w:ascii="宋体" w:hAnsi="宋体" w:eastAsia="宋体" w:cs="宋体"/>
          <w:b/>
          <w:bCs/>
          <w:color w:val="FF0000"/>
          <w:kern w:val="2"/>
          <w:sz w:val="21"/>
          <w:szCs w:val="21"/>
          <w:highlight w:val="none"/>
          <w:lang w:val="en-US" w:eastAsia="zh-CN" w:bidi="ar-SA"/>
        </w:rPr>
        <w:drawing>
          <wp:inline distT="0" distB="0" distL="114300" distR="114300">
            <wp:extent cx="2509520" cy="1515745"/>
            <wp:effectExtent l="0" t="0" r="5080" b="8255"/>
            <wp:docPr id="55" name="图片 55" descr="76917_1735195928_h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5" descr="76917_1735195928_hd"/>
                    <pic:cNvPicPr>
                      <a:picLocks noChangeAspect="true"/>
                    </pic:cNvPicPr>
                  </pic:nvPicPr>
                  <pic:blipFill>
                    <a:blip r:embed="rId21"/>
                    <a:stretch>
                      <a:fillRect/>
                    </a:stretch>
                  </pic:blipFill>
                  <pic:spPr>
                    <a:xfrm>
                      <a:off x="0" y="0"/>
                      <a:ext cx="2509520" cy="1515745"/>
                    </a:xfrm>
                    <a:prstGeom prst="rect">
                      <a:avLst/>
                    </a:prstGeom>
                  </pic:spPr>
                </pic:pic>
              </a:graphicData>
            </a:graphic>
          </wp:inline>
        </w:drawing>
      </w:r>
      <w:r>
        <w:rPr>
          <w:rFonts w:hint="eastAsia" w:ascii="宋体" w:hAnsi="宋体" w:eastAsia="宋体" w:cs="宋体"/>
          <w:b/>
          <w:bCs/>
          <w:color w:val="FF0000"/>
          <w:kern w:val="2"/>
          <w:sz w:val="21"/>
          <w:szCs w:val="21"/>
          <w:highlight w:val="none"/>
          <w:lang w:val="en-US" w:eastAsia="zh-CN" w:bidi="ar-SA"/>
        </w:rPr>
        <w:t xml:space="preserve"> </w:t>
      </w:r>
      <w:r>
        <w:rPr>
          <w:rFonts w:hint="default" w:ascii="宋体" w:hAnsi="宋体" w:eastAsia="宋体" w:cs="宋体"/>
          <w:b/>
          <w:bCs/>
          <w:color w:val="FF0000"/>
          <w:kern w:val="2"/>
          <w:sz w:val="21"/>
          <w:szCs w:val="21"/>
          <w:highlight w:val="none"/>
          <w:lang w:val="en-US" w:eastAsia="zh-CN" w:bidi="ar-SA"/>
        </w:rPr>
        <w:drawing>
          <wp:inline distT="0" distB="0" distL="114300" distR="114300">
            <wp:extent cx="2498725" cy="1515745"/>
            <wp:effectExtent l="0" t="0" r="3175" b="8255"/>
            <wp:docPr id="56" name="图片 56" descr="76915_1735195901_h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56" descr="76915_1735195901_hd"/>
                    <pic:cNvPicPr>
                      <a:picLocks noChangeAspect="true"/>
                    </pic:cNvPicPr>
                  </pic:nvPicPr>
                  <pic:blipFill>
                    <a:blip r:embed="rId22"/>
                    <a:stretch>
                      <a:fillRect/>
                    </a:stretch>
                  </pic:blipFill>
                  <pic:spPr>
                    <a:xfrm>
                      <a:off x="0" y="0"/>
                      <a:ext cx="2498725" cy="1515745"/>
                    </a:xfrm>
                    <a:prstGeom prst="rect">
                      <a:avLst/>
                    </a:prstGeom>
                  </pic:spPr>
                </pic:pic>
              </a:graphicData>
            </a:graphic>
          </wp:inline>
        </w:drawing>
      </w:r>
    </w:p>
    <w:p>
      <w:pPr>
        <w:pStyle w:val="8"/>
        <w:keepNext w:val="0"/>
        <w:keepLines w:val="0"/>
        <w:pageBreakBefore w:val="0"/>
        <w:widowControl w:val="0"/>
        <w:kinsoku/>
        <w:wordWrap/>
        <w:overflowPunct/>
        <w:topLinePunct w:val="0"/>
        <w:autoSpaceDE/>
        <w:autoSpaceDN/>
        <w:bidi w:val="0"/>
        <w:adjustRightInd/>
        <w:snapToGrid/>
        <w:spacing w:after="63" w:afterLines="20" w:line="240" w:lineRule="auto"/>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6</w:t>
      </w:r>
      <w:r>
        <w:rPr>
          <w:rFonts w:hint="eastAsia" w:ascii="Times New Roman" w:hAnsi="Times New Roman" w:eastAsia="楷体" w:cs="楷体"/>
          <w:sz w:val="24"/>
          <w:szCs w:val="24"/>
        </w:rPr>
        <w:fldChar w:fldCharType="end"/>
      </w:r>
      <w:bookmarkStart w:id="159" w:name="_Toc14067"/>
      <w:r>
        <w:rPr>
          <w:rFonts w:hint="eastAsia" w:ascii="Times New Roman" w:hAnsi="Times New Roman" w:eastAsia="楷体" w:cs="楷体"/>
          <w:sz w:val="24"/>
          <w:szCs w:val="24"/>
          <w:lang w:val="en-US" w:eastAsia="zh-CN"/>
        </w:rPr>
        <w:t xml:space="preserve"> 党员活动现场</w:t>
      </w:r>
      <w:bookmarkEnd w:id="159"/>
    </w:p>
    <w:p>
      <w:pPr>
        <w:keepNext w:val="0"/>
        <w:keepLines w:val="0"/>
        <w:pageBreakBefore w:val="0"/>
        <w:widowControl w:val="0"/>
        <w:kinsoku/>
        <w:wordWrap/>
        <w:overflowPunct/>
        <w:topLinePunct w:val="0"/>
        <w:autoSpaceDE/>
        <w:autoSpaceDN/>
        <w:bidi w:val="0"/>
        <w:adjustRightInd/>
        <w:snapToGrid/>
        <w:spacing w:line="440" w:lineRule="exact"/>
        <w:ind w:firstLine="481"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三、搭建更高学习平台，开阔党员视野</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组织安排二十余人次参加国、省、市开展业务培训；派遣党员干部到发达地方和职业教育优秀地域等考察学习，经验交流；积极参与省、国家、世界级技能大赛；指导教学能力大赛并取得辉煌业绩；组织老师外出“取经”，学习先进经验；聘请专家，“请进来”指导，学习提高。</w:t>
      </w:r>
    </w:p>
    <w:p>
      <w:pPr>
        <w:spacing w:line="560" w:lineRule="exact"/>
        <w:ind w:firstLine="602" w:firstLineChars="200"/>
        <w:outlineLvl w:val="1"/>
        <w:rPr>
          <w:rFonts w:hint="default" w:ascii="Times New Roman" w:hAnsi="Times New Roman" w:eastAsia="楷体" w:cs="Times New Roman"/>
          <w:b/>
          <w:bCs/>
          <w:color w:val="auto"/>
          <w:sz w:val="30"/>
          <w:szCs w:val="30"/>
          <w:highlight w:val="none"/>
          <w:lang w:val="en-US" w:eastAsia="zh-CN"/>
        </w:rPr>
      </w:pPr>
      <w:bookmarkStart w:id="160" w:name="_Toc16956"/>
      <w:r>
        <w:rPr>
          <w:rFonts w:ascii="Times New Roman" w:hAnsi="Times New Roman" w:eastAsia="楷体" w:cs="Times New Roman"/>
          <w:b/>
          <w:bCs/>
          <w:color w:val="auto"/>
          <w:sz w:val="30"/>
          <w:szCs w:val="30"/>
          <w:highlight w:val="none"/>
        </w:rPr>
        <w:t>2</w:t>
      </w:r>
      <w:r>
        <w:rPr>
          <w:rFonts w:hint="eastAsia" w:ascii="Times New Roman" w:hAnsi="Times New Roman" w:eastAsia="楷体" w:cs="Times New Roman"/>
          <w:b/>
          <w:bCs/>
          <w:color w:val="auto"/>
          <w:sz w:val="30"/>
          <w:szCs w:val="30"/>
          <w:highlight w:val="none"/>
        </w:rPr>
        <w:t>.</w:t>
      </w:r>
      <w:r>
        <w:rPr>
          <w:rFonts w:ascii="Times New Roman" w:hAnsi="Times New Roman" w:eastAsia="楷体" w:cs="Times New Roman"/>
          <w:b/>
          <w:bCs/>
          <w:color w:val="auto"/>
          <w:sz w:val="30"/>
          <w:szCs w:val="30"/>
          <w:highlight w:val="none"/>
        </w:rPr>
        <w:t>2</w:t>
      </w:r>
      <w:r>
        <w:rPr>
          <w:rFonts w:hint="eastAsia" w:ascii="Times New Roman" w:hAnsi="Times New Roman" w:eastAsia="楷体" w:cs="Times New Roman"/>
          <w:b/>
          <w:bCs/>
          <w:color w:val="auto"/>
          <w:sz w:val="30"/>
          <w:szCs w:val="30"/>
          <w:highlight w:val="none"/>
        </w:rPr>
        <w:t xml:space="preserve"> </w:t>
      </w:r>
      <w:r>
        <w:rPr>
          <w:rFonts w:hint="eastAsia" w:ascii="Times New Roman" w:hAnsi="Times New Roman" w:eastAsia="楷体" w:cs="Times New Roman"/>
          <w:b/>
          <w:bCs/>
          <w:color w:val="auto"/>
          <w:sz w:val="30"/>
          <w:szCs w:val="30"/>
          <w:highlight w:val="none"/>
          <w:lang w:val="en-US" w:eastAsia="zh-CN"/>
        </w:rPr>
        <w:t>立</w:t>
      </w:r>
      <w:r>
        <w:rPr>
          <w:rFonts w:hint="eastAsia" w:ascii="Times New Roman" w:hAnsi="Times New Roman" w:eastAsia="楷体" w:cs="Times New Roman"/>
          <w:b/>
          <w:bCs/>
          <w:color w:val="auto"/>
          <w:sz w:val="30"/>
          <w:szCs w:val="30"/>
          <w:highlight w:val="none"/>
        </w:rPr>
        <w:t>德</w:t>
      </w:r>
      <w:bookmarkEnd w:id="151"/>
      <w:bookmarkEnd w:id="152"/>
      <w:bookmarkEnd w:id="153"/>
      <w:bookmarkEnd w:id="154"/>
      <w:r>
        <w:rPr>
          <w:rFonts w:hint="eastAsia" w:ascii="Times New Roman" w:hAnsi="Times New Roman" w:eastAsia="楷体" w:cs="Times New Roman"/>
          <w:b/>
          <w:bCs/>
          <w:color w:val="auto"/>
          <w:sz w:val="30"/>
          <w:szCs w:val="30"/>
          <w:highlight w:val="none"/>
          <w:lang w:val="en-US" w:eastAsia="zh-CN"/>
        </w:rPr>
        <w:t>树人</w:t>
      </w:r>
      <w:bookmarkEnd w:id="160"/>
      <w:r>
        <w:rPr>
          <w:rFonts w:hint="eastAsia" w:ascii="Times New Roman" w:hAnsi="Times New Roman" w:eastAsia="楷体" w:cs="Times New Roman"/>
          <w:b/>
          <w:bCs/>
          <w:color w:val="auto"/>
          <w:sz w:val="30"/>
          <w:szCs w:val="30"/>
          <w:highlight w:val="none"/>
          <w:lang w:val="en-US" w:eastAsia="zh-CN"/>
        </w:rPr>
        <w:t xml:space="preserve"> </w:t>
      </w:r>
    </w:p>
    <w:p>
      <w:pPr>
        <w:spacing w:line="560" w:lineRule="exact"/>
        <w:ind w:firstLine="562" w:firstLineChars="200"/>
        <w:outlineLvl w:val="2"/>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2</w:t>
      </w:r>
      <w:r>
        <w:rPr>
          <w:rFonts w:hint="eastAsia" w:ascii="Times New Roman" w:hAnsi="Times New Roman" w:eastAsia="宋体" w:cs="Times New Roman"/>
          <w:b/>
          <w:bCs/>
          <w:color w:val="auto"/>
          <w:sz w:val="28"/>
          <w:szCs w:val="28"/>
          <w:highlight w:val="none"/>
        </w:rPr>
        <w:t>.</w:t>
      </w:r>
      <w:r>
        <w:rPr>
          <w:rFonts w:ascii="Times New Roman" w:hAnsi="Times New Roman" w:eastAsia="宋体" w:cs="Times New Roman"/>
          <w:b/>
          <w:bCs/>
          <w:color w:val="auto"/>
          <w:sz w:val="28"/>
          <w:szCs w:val="28"/>
          <w:highlight w:val="none"/>
        </w:rPr>
        <w:t>2</w:t>
      </w:r>
      <w:r>
        <w:rPr>
          <w:rFonts w:hint="eastAsia" w:ascii="Times New Roman" w:hAnsi="Times New Roman" w:eastAsia="宋体" w:cs="Times New Roman"/>
          <w:b/>
          <w:bCs/>
          <w:color w:val="auto"/>
          <w:sz w:val="28"/>
          <w:szCs w:val="28"/>
          <w:highlight w:val="none"/>
        </w:rPr>
        <w:t>.</w:t>
      </w:r>
      <w:r>
        <w:rPr>
          <w:rFonts w:ascii="Times New Roman" w:hAnsi="Times New Roman" w:eastAsia="宋体" w:cs="Times New Roman"/>
          <w:b/>
          <w:bCs/>
          <w:color w:val="auto"/>
          <w:sz w:val="28"/>
          <w:szCs w:val="28"/>
          <w:highlight w:val="none"/>
        </w:rPr>
        <w:t>1</w:t>
      </w:r>
      <w:r>
        <w:rPr>
          <w:rFonts w:hint="eastAsia" w:ascii="Times New Roman" w:hAnsi="Times New Roman" w:eastAsia="宋体" w:cs="Times New Roman"/>
          <w:b/>
          <w:bCs/>
          <w:color w:val="auto"/>
          <w:sz w:val="28"/>
          <w:szCs w:val="28"/>
          <w:highlight w:val="none"/>
        </w:rPr>
        <w:t xml:space="preserve"> 思想政治</w:t>
      </w:r>
      <w:r>
        <w:rPr>
          <w:rFonts w:hint="eastAsia" w:ascii="Times New Roman" w:hAnsi="Times New Roman" w:eastAsia="宋体" w:cs="Times New Roman"/>
          <w:b/>
          <w:bCs/>
          <w:color w:val="auto"/>
          <w:sz w:val="28"/>
          <w:szCs w:val="28"/>
          <w:highlight w:val="none"/>
          <w:lang w:eastAsia="zh-CN"/>
        </w:rPr>
        <w:t>课程</w:t>
      </w:r>
      <w:r>
        <w:rPr>
          <w:rFonts w:hint="eastAsia" w:ascii="Times New Roman" w:hAnsi="Times New Roman" w:eastAsia="宋体" w:cs="Times New Roman"/>
          <w:b/>
          <w:bCs/>
          <w:color w:val="auto"/>
          <w:sz w:val="28"/>
          <w:szCs w:val="28"/>
          <w:highlight w:val="none"/>
        </w:rPr>
        <w:t>实施情况</w:t>
      </w:r>
    </w:p>
    <w:p>
      <w:pPr>
        <w:spacing w:line="560" w:lineRule="exact"/>
        <w:ind w:firstLine="480" w:firstLineChars="200"/>
        <w:rPr>
          <w:rFonts w:hint="eastAsia" w:ascii="Times New Roman" w:hAnsi="Times New Roman" w:eastAsia="宋体" w:cs="仿宋"/>
          <w:color w:val="auto"/>
          <w:sz w:val="24"/>
          <w:szCs w:val="24"/>
          <w:highlight w:val="none"/>
        </w:rPr>
      </w:pPr>
      <w:r>
        <w:rPr>
          <w:rFonts w:hint="eastAsia" w:ascii="Times New Roman" w:hAnsi="Times New Roman" w:eastAsia="宋体" w:cs="仿宋"/>
          <w:color w:val="auto"/>
          <w:sz w:val="24"/>
          <w:szCs w:val="24"/>
          <w:highlight w:val="none"/>
        </w:rPr>
        <w:t>加强</w:t>
      </w:r>
      <w:r>
        <w:rPr>
          <w:rFonts w:hint="eastAsia" w:ascii="Times New Roman" w:hAnsi="Times New Roman" w:eastAsia="宋体" w:cs="仿宋"/>
          <w:color w:val="auto"/>
          <w:sz w:val="24"/>
          <w:szCs w:val="24"/>
          <w:highlight w:val="none"/>
          <w:lang w:val="en-US" w:eastAsia="zh-CN"/>
        </w:rPr>
        <w:t>对全市中职学校</w:t>
      </w:r>
      <w:r>
        <w:rPr>
          <w:rFonts w:hint="eastAsia" w:ascii="Times New Roman" w:hAnsi="Times New Roman" w:eastAsia="宋体" w:cs="仿宋"/>
          <w:color w:val="auto"/>
          <w:sz w:val="24"/>
          <w:szCs w:val="24"/>
          <w:highlight w:val="none"/>
        </w:rPr>
        <w:t>德育工作统筹规划，</w:t>
      </w:r>
      <w:r>
        <w:rPr>
          <w:rFonts w:hint="eastAsia" w:ascii="Times New Roman" w:hAnsi="Times New Roman" w:eastAsia="宋体" w:cs="仿宋"/>
          <w:color w:val="auto"/>
          <w:sz w:val="24"/>
          <w:szCs w:val="24"/>
          <w:highlight w:val="none"/>
          <w:lang w:eastAsia="zh-CN"/>
        </w:rPr>
        <w:t>全面深化课程改革，建立健全综合协调、充满活力的育人体制机制，建立多元评价机制，坚持</w:t>
      </w:r>
      <w:r>
        <w:rPr>
          <w:rFonts w:hint="eastAsia" w:ascii="Times New Roman" w:hAnsi="Times New Roman" w:eastAsia="宋体" w:cs="仿宋"/>
          <w:color w:val="auto"/>
          <w:sz w:val="24"/>
          <w:szCs w:val="24"/>
          <w:highlight w:val="none"/>
        </w:rPr>
        <w:t>以</w:t>
      </w:r>
      <w:r>
        <w:rPr>
          <w:rFonts w:hint="eastAsia" w:ascii="Times New Roman" w:hAnsi="Times New Roman" w:eastAsia="宋体" w:cs="仿宋"/>
          <w:color w:val="auto"/>
          <w:sz w:val="24"/>
          <w:szCs w:val="24"/>
          <w:highlight w:val="none"/>
          <w:lang w:eastAsia="zh-CN"/>
        </w:rPr>
        <w:t>《</w:t>
      </w:r>
      <w:r>
        <w:rPr>
          <w:rFonts w:hint="eastAsia" w:ascii="Times New Roman" w:hAnsi="Times New Roman" w:eastAsia="宋体" w:cs="仿宋"/>
          <w:color w:val="auto"/>
          <w:sz w:val="24"/>
          <w:szCs w:val="24"/>
          <w:highlight w:val="none"/>
        </w:rPr>
        <w:t>习近平新时代中国特色社会主义</w:t>
      </w:r>
      <w:r>
        <w:rPr>
          <w:rFonts w:hint="eastAsia" w:ascii="Times New Roman" w:hAnsi="Times New Roman" w:eastAsia="宋体" w:cs="仿宋"/>
          <w:color w:val="auto"/>
          <w:sz w:val="24"/>
          <w:szCs w:val="24"/>
          <w:highlight w:val="none"/>
          <w:lang w:val="en-US" w:eastAsia="zh-CN"/>
        </w:rPr>
        <w:t>思想学生读本（高中）</w:t>
      </w:r>
      <w:r>
        <w:rPr>
          <w:rFonts w:hint="eastAsia" w:ascii="Times New Roman" w:hAnsi="Times New Roman" w:eastAsia="宋体" w:cs="仿宋"/>
          <w:color w:val="auto"/>
          <w:sz w:val="24"/>
          <w:szCs w:val="24"/>
          <w:highlight w:val="none"/>
          <w:lang w:eastAsia="zh-CN"/>
        </w:rPr>
        <w:t>》《</w:t>
      </w:r>
      <w:r>
        <w:rPr>
          <w:rFonts w:hint="eastAsia" w:ascii="Times New Roman" w:hAnsi="Times New Roman" w:eastAsia="宋体" w:cs="仿宋"/>
          <w:color w:val="auto"/>
          <w:sz w:val="24"/>
          <w:szCs w:val="24"/>
          <w:highlight w:val="none"/>
        </w:rPr>
        <w:t>心理健康与职业生涯</w:t>
      </w:r>
      <w:r>
        <w:rPr>
          <w:rFonts w:hint="eastAsia" w:ascii="Times New Roman" w:hAnsi="Times New Roman" w:eastAsia="宋体" w:cs="仿宋"/>
          <w:color w:val="auto"/>
          <w:sz w:val="24"/>
          <w:szCs w:val="24"/>
          <w:highlight w:val="none"/>
          <w:lang w:eastAsia="zh-CN"/>
        </w:rPr>
        <w:t>》《</w:t>
      </w:r>
      <w:r>
        <w:rPr>
          <w:rFonts w:hint="eastAsia" w:ascii="Times New Roman" w:hAnsi="Times New Roman" w:eastAsia="宋体" w:cs="仿宋"/>
          <w:color w:val="auto"/>
          <w:sz w:val="24"/>
          <w:szCs w:val="24"/>
          <w:highlight w:val="none"/>
        </w:rPr>
        <w:t>哲学与人生</w:t>
      </w:r>
      <w:r>
        <w:rPr>
          <w:rFonts w:hint="eastAsia" w:ascii="Times New Roman" w:hAnsi="Times New Roman" w:eastAsia="宋体" w:cs="仿宋"/>
          <w:color w:val="auto"/>
          <w:sz w:val="24"/>
          <w:szCs w:val="24"/>
          <w:highlight w:val="none"/>
          <w:lang w:eastAsia="zh-CN"/>
        </w:rPr>
        <w:t>》《</w:t>
      </w:r>
      <w:r>
        <w:rPr>
          <w:rFonts w:hint="eastAsia" w:ascii="Times New Roman" w:hAnsi="Times New Roman" w:eastAsia="宋体" w:cs="仿宋"/>
          <w:color w:val="auto"/>
          <w:sz w:val="24"/>
          <w:szCs w:val="24"/>
          <w:highlight w:val="none"/>
        </w:rPr>
        <w:t>职业道德与法治</w:t>
      </w:r>
      <w:r>
        <w:rPr>
          <w:rFonts w:hint="eastAsia" w:ascii="Times New Roman" w:hAnsi="Times New Roman" w:eastAsia="宋体" w:cs="仿宋"/>
          <w:color w:val="auto"/>
          <w:sz w:val="24"/>
          <w:szCs w:val="24"/>
          <w:highlight w:val="none"/>
          <w:lang w:eastAsia="zh-CN"/>
        </w:rPr>
        <w:t>》</w:t>
      </w:r>
      <w:r>
        <w:rPr>
          <w:rFonts w:hint="eastAsia" w:ascii="Times New Roman" w:hAnsi="Times New Roman" w:eastAsia="宋体" w:cs="仿宋"/>
          <w:color w:val="auto"/>
          <w:sz w:val="24"/>
          <w:szCs w:val="24"/>
          <w:highlight w:val="none"/>
        </w:rPr>
        <w:t>等思想政治课程为主阵地，</w:t>
      </w:r>
      <w:r>
        <w:rPr>
          <w:rFonts w:hint="eastAsia" w:ascii="Times New Roman" w:hAnsi="Times New Roman" w:eastAsia="宋体" w:cs="仿宋"/>
          <w:color w:val="auto"/>
          <w:sz w:val="24"/>
          <w:szCs w:val="24"/>
          <w:highlight w:val="none"/>
          <w:lang w:eastAsia="zh-CN"/>
        </w:rPr>
        <w:t>做到“三开一用一确保”，即</w:t>
      </w:r>
      <w:r>
        <w:rPr>
          <w:rFonts w:hint="eastAsia" w:ascii="Times New Roman" w:hAnsi="Times New Roman" w:eastAsia="宋体" w:cs="仿宋"/>
          <w:color w:val="auto"/>
          <w:sz w:val="24"/>
          <w:szCs w:val="24"/>
          <w:highlight w:val="none"/>
        </w:rPr>
        <w:t>开齐思想政治课程，开足思想政治课时，</w:t>
      </w:r>
      <w:r>
        <w:rPr>
          <w:rFonts w:hint="eastAsia" w:ascii="Times New Roman" w:hAnsi="Times New Roman" w:eastAsia="宋体" w:cs="仿宋"/>
          <w:color w:val="auto"/>
          <w:sz w:val="24"/>
          <w:szCs w:val="24"/>
          <w:highlight w:val="none"/>
          <w:lang w:eastAsia="zh-CN"/>
        </w:rPr>
        <w:t>开好</w:t>
      </w:r>
      <w:r>
        <w:rPr>
          <w:rFonts w:hint="eastAsia" w:ascii="Times New Roman" w:hAnsi="Times New Roman" w:eastAsia="宋体" w:cs="仿宋"/>
          <w:color w:val="auto"/>
          <w:sz w:val="24"/>
          <w:szCs w:val="24"/>
          <w:highlight w:val="none"/>
        </w:rPr>
        <w:t>思想政治</w:t>
      </w:r>
      <w:r>
        <w:rPr>
          <w:rFonts w:hint="eastAsia" w:ascii="Times New Roman" w:hAnsi="Times New Roman" w:eastAsia="宋体" w:cs="仿宋"/>
          <w:color w:val="auto"/>
          <w:sz w:val="24"/>
          <w:szCs w:val="24"/>
          <w:highlight w:val="none"/>
          <w:lang w:eastAsia="zh-CN"/>
        </w:rPr>
        <w:t>课程，用好统编教材，确保人才培养规格。</w:t>
      </w:r>
      <w:r>
        <w:rPr>
          <w:rFonts w:hint="eastAsia" w:ascii="Times New Roman" w:hAnsi="Times New Roman" w:eastAsia="宋体" w:cs="仿宋"/>
          <w:color w:val="auto"/>
          <w:sz w:val="24"/>
          <w:szCs w:val="24"/>
          <w:highlight w:val="none"/>
        </w:rPr>
        <w:t>同时在公共基础课、专业课教学和实践教学中做实、做细课程思政，把历史、公共艺术课程纳入必修课程，把“爱国教育”“职业素养”“大国工匠”纳入德育工作重要内容，</w:t>
      </w:r>
      <w:r>
        <w:rPr>
          <w:rFonts w:hint="eastAsia" w:ascii="Times New Roman" w:hAnsi="Times New Roman" w:eastAsia="宋体" w:cs="仿宋"/>
          <w:color w:val="auto"/>
          <w:sz w:val="24"/>
          <w:szCs w:val="24"/>
          <w:highlight w:val="none"/>
          <w:lang w:eastAsia="zh-CN"/>
        </w:rPr>
        <w:t>加强师德师风建设，融入德育内容，</w:t>
      </w:r>
      <w:r>
        <w:rPr>
          <w:rFonts w:hint="eastAsia" w:ascii="Times New Roman" w:hAnsi="Times New Roman" w:eastAsia="宋体" w:cs="仿宋"/>
          <w:color w:val="auto"/>
          <w:sz w:val="24"/>
          <w:szCs w:val="24"/>
          <w:highlight w:val="none"/>
        </w:rPr>
        <w:t>把加强学生德育工作与培养职业道德、提高技术技能水平</w:t>
      </w:r>
      <w:r>
        <w:rPr>
          <w:rFonts w:hint="eastAsia" w:ascii="Times New Roman" w:hAnsi="Times New Roman" w:eastAsia="宋体" w:cs="仿宋"/>
          <w:color w:val="auto"/>
          <w:sz w:val="24"/>
          <w:szCs w:val="24"/>
          <w:highlight w:val="none"/>
          <w:lang w:eastAsia="zh-CN"/>
        </w:rPr>
        <w:t>有机</w:t>
      </w:r>
      <w:r>
        <w:rPr>
          <w:rFonts w:hint="eastAsia" w:ascii="Times New Roman" w:hAnsi="Times New Roman" w:eastAsia="宋体" w:cs="仿宋"/>
          <w:color w:val="auto"/>
          <w:sz w:val="24"/>
          <w:szCs w:val="24"/>
          <w:highlight w:val="none"/>
        </w:rPr>
        <w:t>融合，把加强文化教育与提升学生素养相</w:t>
      </w:r>
      <w:r>
        <w:rPr>
          <w:rFonts w:hint="eastAsia" w:ascii="Times New Roman" w:hAnsi="Times New Roman" w:eastAsia="宋体" w:cs="仿宋"/>
          <w:color w:val="auto"/>
          <w:sz w:val="24"/>
          <w:szCs w:val="24"/>
          <w:highlight w:val="none"/>
          <w:lang w:eastAsia="zh-CN"/>
        </w:rPr>
        <w:t>结合</w:t>
      </w:r>
      <w:r>
        <w:rPr>
          <w:rFonts w:hint="eastAsia" w:ascii="Times New Roman" w:hAnsi="Times New Roman" w:eastAsia="宋体" w:cs="仿宋"/>
          <w:color w:val="auto"/>
          <w:sz w:val="24"/>
          <w:szCs w:val="24"/>
          <w:highlight w:val="none"/>
        </w:rPr>
        <w:t>。</w:t>
      </w:r>
    </w:p>
    <w:p>
      <w:pPr>
        <w:spacing w:line="560" w:lineRule="exact"/>
        <w:ind w:firstLine="562" w:firstLineChars="200"/>
        <w:outlineLvl w:val="2"/>
        <w:rPr>
          <w:rFonts w:ascii="Times New Roman" w:hAnsi="Times New Roman" w:eastAsia="宋体" w:cs="Times New Roman"/>
          <w:b/>
          <w:bCs/>
          <w:color w:val="auto"/>
          <w:sz w:val="28"/>
          <w:szCs w:val="28"/>
          <w:highlight w:val="none"/>
        </w:rPr>
      </w:pPr>
      <w:bookmarkStart w:id="161" w:name="_Toc22653"/>
      <w:bookmarkStart w:id="162" w:name="_Toc6012"/>
      <w:bookmarkStart w:id="163" w:name="_Toc4027"/>
      <w:r>
        <w:rPr>
          <w:rFonts w:ascii="Times New Roman" w:hAnsi="Times New Roman" w:eastAsia="宋体" w:cs="Times New Roman"/>
          <w:b/>
          <w:bCs/>
          <w:color w:val="auto"/>
          <w:sz w:val="28"/>
          <w:szCs w:val="28"/>
          <w:highlight w:val="none"/>
        </w:rPr>
        <w:t>2</w:t>
      </w:r>
      <w:r>
        <w:rPr>
          <w:rFonts w:hint="eastAsia" w:ascii="Times New Roman" w:hAnsi="Times New Roman" w:eastAsia="宋体" w:cs="Times New Roman"/>
          <w:b/>
          <w:bCs/>
          <w:color w:val="auto"/>
          <w:sz w:val="28"/>
          <w:szCs w:val="28"/>
          <w:highlight w:val="none"/>
        </w:rPr>
        <w:t>.</w:t>
      </w:r>
      <w:r>
        <w:rPr>
          <w:rFonts w:ascii="Times New Roman" w:hAnsi="Times New Roman" w:eastAsia="宋体" w:cs="Times New Roman"/>
          <w:b/>
          <w:bCs/>
          <w:color w:val="auto"/>
          <w:sz w:val="28"/>
          <w:szCs w:val="28"/>
          <w:highlight w:val="none"/>
        </w:rPr>
        <w:t>2</w:t>
      </w:r>
      <w:r>
        <w:rPr>
          <w:rFonts w:hint="eastAsia"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2</w:t>
      </w:r>
      <w:r>
        <w:rPr>
          <w:rFonts w:hint="eastAsia" w:ascii="Times New Roman" w:hAnsi="Times New Roman" w:eastAsia="宋体" w:cs="Times New Roman"/>
          <w:b/>
          <w:bCs/>
          <w:color w:val="auto"/>
          <w:sz w:val="28"/>
          <w:szCs w:val="28"/>
          <w:highlight w:val="none"/>
        </w:rPr>
        <w:t xml:space="preserve"> 德育主题教育活动</w:t>
      </w:r>
    </w:p>
    <w:p>
      <w:pPr>
        <w:spacing w:line="560" w:lineRule="exact"/>
        <w:ind w:firstLine="480" w:firstLineChars="200"/>
        <w:rPr>
          <w:rFonts w:hint="eastAsia" w:ascii="Times New Roman" w:hAnsi="Times New Roman" w:eastAsia="宋体" w:cs="仿宋"/>
          <w:color w:val="auto"/>
          <w:sz w:val="24"/>
          <w:szCs w:val="24"/>
          <w:highlight w:val="none"/>
        </w:rPr>
      </w:pPr>
      <w:r>
        <w:rPr>
          <w:rFonts w:hint="eastAsia" w:ascii="Times New Roman" w:hAnsi="Times New Roman" w:eastAsia="宋体" w:cs="仿宋"/>
          <w:color w:val="auto"/>
          <w:sz w:val="24"/>
          <w:szCs w:val="24"/>
          <w:highlight w:val="none"/>
        </w:rPr>
        <w:t>立德树人</w:t>
      </w:r>
      <w:r>
        <w:rPr>
          <w:rFonts w:hint="eastAsia" w:ascii="Times New Roman" w:hAnsi="Times New Roman" w:eastAsia="宋体" w:cs="仿宋"/>
          <w:color w:val="auto"/>
          <w:sz w:val="24"/>
          <w:szCs w:val="24"/>
          <w:highlight w:val="none"/>
          <w:lang w:eastAsia="zh-CN"/>
        </w:rPr>
        <w:t>是发展中国特色社会主义教育事业的核心所在，是培养德智体美</w:t>
      </w:r>
      <w:r>
        <w:rPr>
          <w:rFonts w:hint="eastAsia" w:ascii="Times New Roman" w:hAnsi="Times New Roman" w:eastAsia="宋体" w:cs="仿宋"/>
          <w:color w:val="auto"/>
          <w:sz w:val="24"/>
          <w:szCs w:val="24"/>
          <w:highlight w:val="none"/>
          <w:lang w:val="en-US" w:eastAsia="zh-CN"/>
        </w:rPr>
        <w:t>劳</w:t>
      </w:r>
      <w:r>
        <w:rPr>
          <w:rFonts w:hint="eastAsia" w:ascii="Times New Roman" w:hAnsi="Times New Roman" w:eastAsia="宋体" w:cs="仿宋"/>
          <w:color w:val="auto"/>
          <w:sz w:val="24"/>
          <w:szCs w:val="24"/>
          <w:highlight w:val="none"/>
          <w:lang w:eastAsia="zh-CN"/>
        </w:rPr>
        <w:t>全面发展的社会主义建设者和接班人的本质要求。</w:t>
      </w:r>
      <w:r>
        <w:rPr>
          <w:rFonts w:hint="eastAsia" w:ascii="Times New Roman" w:hAnsi="Times New Roman" w:eastAsia="宋体" w:cs="仿宋"/>
          <w:color w:val="auto"/>
          <w:sz w:val="24"/>
          <w:szCs w:val="24"/>
          <w:highlight w:val="none"/>
        </w:rPr>
        <w:t>遂宁市各中职校开</w:t>
      </w:r>
      <w:r>
        <w:rPr>
          <w:rFonts w:hint="eastAsia" w:ascii="Times New Roman" w:hAnsi="Times New Roman" w:eastAsia="宋体" w:cs="仿宋"/>
          <w:color w:val="auto"/>
          <w:sz w:val="24"/>
          <w:szCs w:val="24"/>
          <w:highlight w:val="none"/>
          <w:lang w:val="en-US" w:eastAsia="zh-CN"/>
        </w:rPr>
        <w:t>展</w:t>
      </w:r>
      <w:r>
        <w:rPr>
          <w:rFonts w:hint="eastAsia" w:ascii="Times New Roman" w:hAnsi="Times New Roman" w:eastAsia="宋体" w:cs="仿宋"/>
          <w:color w:val="auto"/>
          <w:sz w:val="24"/>
          <w:szCs w:val="24"/>
          <w:highlight w:val="none"/>
          <w:lang w:eastAsia="zh-CN"/>
        </w:rPr>
        <w:t>形式多样</w:t>
      </w:r>
      <w:r>
        <w:rPr>
          <w:rFonts w:hint="eastAsia" w:ascii="Times New Roman" w:hAnsi="Times New Roman" w:eastAsia="宋体" w:cs="仿宋"/>
          <w:color w:val="auto"/>
          <w:sz w:val="24"/>
          <w:szCs w:val="24"/>
          <w:highlight w:val="none"/>
        </w:rPr>
        <w:t>、丰富多彩的社团活动和第二课堂活动，极大丰富了学生校园文化活动。各中职学校共有社团</w:t>
      </w:r>
      <w:r>
        <w:rPr>
          <w:rFonts w:hint="eastAsia" w:ascii="Times New Roman" w:hAnsi="Times New Roman" w:eastAsia="宋体" w:cs="仿宋"/>
          <w:color w:val="auto"/>
          <w:sz w:val="24"/>
          <w:szCs w:val="24"/>
          <w:highlight w:val="none"/>
          <w:lang w:val="en-US" w:eastAsia="zh-CN"/>
        </w:rPr>
        <w:t>52</w:t>
      </w:r>
      <w:r>
        <w:rPr>
          <w:rFonts w:hint="eastAsia" w:ascii="Times New Roman" w:hAnsi="Times New Roman" w:eastAsia="宋体" w:cs="仿宋"/>
          <w:color w:val="auto"/>
          <w:sz w:val="24"/>
          <w:szCs w:val="24"/>
          <w:highlight w:val="none"/>
        </w:rPr>
        <w:t>个，开展社团常规活动</w:t>
      </w:r>
      <w:r>
        <w:rPr>
          <w:rFonts w:hint="eastAsia" w:ascii="Times New Roman" w:hAnsi="Times New Roman" w:eastAsia="宋体" w:cs="仿宋"/>
          <w:color w:val="auto"/>
          <w:sz w:val="24"/>
          <w:szCs w:val="24"/>
          <w:highlight w:val="none"/>
          <w:lang w:val="en-US" w:eastAsia="zh-CN"/>
        </w:rPr>
        <w:t>550</w:t>
      </w:r>
      <w:r>
        <w:rPr>
          <w:rFonts w:hint="eastAsia" w:ascii="Times New Roman" w:hAnsi="Times New Roman" w:eastAsia="宋体" w:cs="仿宋"/>
          <w:color w:val="auto"/>
          <w:sz w:val="24"/>
          <w:szCs w:val="24"/>
          <w:highlight w:val="none"/>
        </w:rPr>
        <w:t>次，累计</w:t>
      </w:r>
      <w:r>
        <w:rPr>
          <w:rFonts w:hint="default" w:ascii="Times New Roman" w:hAnsi="Times New Roman" w:eastAsia="宋体" w:cs="仿宋"/>
          <w:color w:val="auto"/>
          <w:sz w:val="24"/>
          <w:szCs w:val="24"/>
          <w:highlight w:val="none"/>
        </w:rPr>
        <w:t>1</w:t>
      </w:r>
      <w:r>
        <w:rPr>
          <w:rFonts w:hint="eastAsia" w:ascii="Times New Roman" w:hAnsi="Times New Roman" w:eastAsia="宋体" w:cs="仿宋"/>
          <w:color w:val="auto"/>
          <w:sz w:val="24"/>
          <w:szCs w:val="24"/>
          <w:highlight w:val="none"/>
          <w:lang w:val="en-US" w:eastAsia="zh-CN"/>
        </w:rPr>
        <w:t>.5</w:t>
      </w:r>
      <w:r>
        <w:rPr>
          <w:rFonts w:hint="eastAsia" w:ascii="Times New Roman" w:hAnsi="Times New Roman" w:eastAsia="宋体" w:cs="仿宋"/>
          <w:color w:val="auto"/>
          <w:sz w:val="24"/>
          <w:szCs w:val="24"/>
          <w:highlight w:val="none"/>
          <w:lang w:eastAsia="zh-CN"/>
        </w:rPr>
        <w:t>万</w:t>
      </w:r>
      <w:r>
        <w:rPr>
          <w:rFonts w:hint="eastAsia" w:ascii="Times New Roman" w:hAnsi="Times New Roman" w:eastAsia="宋体" w:cs="仿宋"/>
          <w:color w:val="auto"/>
          <w:sz w:val="24"/>
          <w:szCs w:val="24"/>
          <w:highlight w:val="none"/>
        </w:rPr>
        <w:t>余人参加。另外，各中职学校举办主题鲜明的校园文化活动</w:t>
      </w:r>
      <w:r>
        <w:rPr>
          <w:rFonts w:hint="eastAsia" w:ascii="Times New Roman" w:hAnsi="Times New Roman" w:eastAsia="宋体" w:cs="仿宋"/>
          <w:color w:val="auto"/>
          <w:sz w:val="24"/>
          <w:szCs w:val="24"/>
          <w:highlight w:val="none"/>
          <w:lang w:val="en-US" w:eastAsia="zh-CN"/>
        </w:rPr>
        <w:t>60</w:t>
      </w:r>
      <w:r>
        <w:rPr>
          <w:rFonts w:hint="eastAsia" w:ascii="Times New Roman" w:hAnsi="Times New Roman" w:eastAsia="宋体" w:cs="仿宋"/>
          <w:color w:val="auto"/>
          <w:sz w:val="24"/>
          <w:szCs w:val="24"/>
          <w:highlight w:val="none"/>
        </w:rPr>
        <w:t>余次，活动形式包括演讲</w:t>
      </w:r>
      <w:r>
        <w:rPr>
          <w:rFonts w:hint="eastAsia" w:ascii="Times New Roman" w:hAnsi="Times New Roman" w:eastAsia="宋体" w:cs="仿宋"/>
          <w:color w:val="auto"/>
          <w:sz w:val="24"/>
          <w:szCs w:val="24"/>
          <w:highlight w:val="none"/>
          <w:lang w:eastAsia="zh-CN"/>
        </w:rPr>
        <w:t>比赛</w:t>
      </w:r>
      <w:r>
        <w:rPr>
          <w:rFonts w:hint="eastAsia" w:ascii="Times New Roman" w:hAnsi="Times New Roman" w:eastAsia="宋体" w:cs="仿宋"/>
          <w:color w:val="auto"/>
          <w:sz w:val="24"/>
          <w:szCs w:val="24"/>
          <w:highlight w:val="none"/>
        </w:rPr>
        <w:t>、朗诵、</w:t>
      </w:r>
      <w:r>
        <w:rPr>
          <w:rFonts w:hint="eastAsia" w:ascii="Times New Roman" w:hAnsi="Times New Roman" w:eastAsia="宋体" w:cs="仿宋"/>
          <w:color w:val="auto"/>
          <w:sz w:val="24"/>
          <w:szCs w:val="24"/>
          <w:highlight w:val="none"/>
          <w:lang w:eastAsia="zh-CN"/>
        </w:rPr>
        <w:t>征文、拉练、听报告</w:t>
      </w:r>
      <w:r>
        <w:rPr>
          <w:rFonts w:hint="eastAsia" w:ascii="Times New Roman" w:hAnsi="Times New Roman" w:eastAsia="宋体" w:cs="仿宋"/>
          <w:color w:val="auto"/>
          <w:sz w:val="24"/>
          <w:szCs w:val="24"/>
          <w:highlight w:val="none"/>
        </w:rPr>
        <w:t>等，如：“入团仪式”“青春</w:t>
      </w:r>
      <w:r>
        <w:rPr>
          <w:rFonts w:hint="eastAsia" w:ascii="Times New Roman" w:hAnsi="Times New Roman" w:eastAsia="宋体" w:cs="仿宋"/>
          <w:color w:val="auto"/>
          <w:sz w:val="24"/>
          <w:szCs w:val="24"/>
          <w:highlight w:val="none"/>
          <w:lang w:eastAsia="zh-CN"/>
        </w:rPr>
        <w:t>向党</w:t>
      </w:r>
      <w:r>
        <w:rPr>
          <w:rFonts w:hint="eastAsia" w:ascii="Times New Roman" w:hAnsi="Times New Roman" w:eastAsia="宋体" w:cs="仿宋"/>
          <w:color w:val="auto"/>
          <w:sz w:val="24"/>
          <w:szCs w:val="24"/>
          <w:highlight w:val="none"/>
          <w:lang w:val="en-US" w:eastAsia="zh-CN"/>
        </w:rPr>
        <w:t xml:space="preserve"> </w:t>
      </w:r>
      <w:r>
        <w:rPr>
          <w:rFonts w:hint="eastAsia" w:ascii="Times New Roman" w:hAnsi="Times New Roman" w:eastAsia="宋体" w:cs="仿宋"/>
          <w:color w:val="auto"/>
          <w:sz w:val="24"/>
          <w:szCs w:val="24"/>
          <w:highlight w:val="none"/>
          <w:lang w:eastAsia="zh-CN"/>
        </w:rPr>
        <w:t>强国有我</w:t>
      </w:r>
      <w:r>
        <w:rPr>
          <w:rFonts w:hint="eastAsia" w:ascii="Times New Roman" w:hAnsi="Times New Roman" w:eastAsia="宋体" w:cs="仿宋"/>
          <w:color w:val="auto"/>
          <w:sz w:val="24"/>
          <w:szCs w:val="24"/>
          <w:highlight w:val="none"/>
        </w:rPr>
        <w:t>”合唱比赛、经典诵读比赛、“</w:t>
      </w:r>
      <w:r>
        <w:rPr>
          <w:rFonts w:hint="eastAsia" w:ascii="Times New Roman" w:hAnsi="Times New Roman" w:eastAsia="宋体" w:cs="仿宋"/>
          <w:color w:val="auto"/>
          <w:sz w:val="24"/>
          <w:szCs w:val="24"/>
          <w:highlight w:val="none"/>
          <w:lang w:eastAsia="zh-CN"/>
        </w:rPr>
        <w:t>我爱家乡</w:t>
      </w:r>
      <w:r>
        <w:rPr>
          <w:rFonts w:hint="eastAsia" w:ascii="Times New Roman" w:hAnsi="Times New Roman" w:eastAsia="宋体" w:cs="仿宋"/>
          <w:color w:val="auto"/>
          <w:sz w:val="24"/>
          <w:szCs w:val="24"/>
          <w:highlight w:val="none"/>
        </w:rPr>
        <w:t>”</w:t>
      </w:r>
      <w:r>
        <w:rPr>
          <w:rFonts w:hint="eastAsia" w:ascii="Times New Roman" w:hAnsi="Times New Roman" w:eastAsia="宋体" w:cs="仿宋"/>
          <w:color w:val="auto"/>
          <w:sz w:val="24"/>
          <w:szCs w:val="24"/>
          <w:highlight w:val="none"/>
          <w:lang w:eastAsia="zh-CN"/>
        </w:rPr>
        <w:t>书法</w:t>
      </w:r>
      <w:r>
        <w:rPr>
          <w:rFonts w:hint="eastAsia" w:ascii="Times New Roman" w:hAnsi="Times New Roman" w:eastAsia="宋体" w:cs="仿宋"/>
          <w:color w:val="auto"/>
          <w:sz w:val="24"/>
          <w:szCs w:val="24"/>
          <w:highlight w:val="none"/>
        </w:rPr>
        <w:t>展、“永远跟党走</w:t>
      </w:r>
      <w:r>
        <w:rPr>
          <w:rFonts w:hint="eastAsia" w:ascii="Times New Roman" w:hAnsi="Times New Roman" w:eastAsia="宋体" w:cs="仿宋"/>
          <w:color w:val="auto"/>
          <w:sz w:val="24"/>
          <w:szCs w:val="24"/>
          <w:highlight w:val="none"/>
          <w:lang w:val="en-US" w:eastAsia="zh-CN"/>
        </w:rPr>
        <w:t xml:space="preserve"> </w:t>
      </w:r>
      <w:r>
        <w:rPr>
          <w:rFonts w:hint="eastAsia" w:ascii="Times New Roman" w:hAnsi="Times New Roman" w:eastAsia="宋体" w:cs="仿宋"/>
          <w:color w:val="auto"/>
          <w:sz w:val="24"/>
          <w:szCs w:val="24"/>
          <w:highlight w:val="none"/>
        </w:rPr>
        <w:t>奋斗新征程”</w:t>
      </w:r>
      <w:r>
        <w:rPr>
          <w:rFonts w:hint="eastAsia" w:ascii="Times New Roman" w:hAnsi="Times New Roman" w:eastAsia="宋体" w:cs="仿宋"/>
          <w:color w:val="auto"/>
          <w:sz w:val="24"/>
          <w:szCs w:val="24"/>
          <w:highlight w:val="none"/>
          <w:lang w:eastAsia="zh-CN"/>
        </w:rPr>
        <w:t>汇报</w:t>
      </w:r>
      <w:r>
        <w:rPr>
          <w:rFonts w:hint="eastAsia" w:ascii="Times New Roman" w:hAnsi="Times New Roman" w:eastAsia="宋体" w:cs="仿宋"/>
          <w:color w:val="auto"/>
          <w:sz w:val="24"/>
          <w:szCs w:val="24"/>
          <w:highlight w:val="none"/>
        </w:rPr>
        <w:t>展演、“学习</w:t>
      </w:r>
      <w:r>
        <w:rPr>
          <w:rFonts w:hint="eastAsia" w:ascii="Times New Roman" w:hAnsi="Times New Roman" w:eastAsia="宋体" w:cs="仿宋"/>
          <w:color w:val="auto"/>
          <w:sz w:val="24"/>
          <w:szCs w:val="24"/>
          <w:highlight w:val="none"/>
          <w:lang w:eastAsia="zh-CN"/>
        </w:rPr>
        <w:t>党的</w:t>
      </w:r>
      <w:r>
        <w:rPr>
          <w:rFonts w:hint="eastAsia" w:ascii="Times New Roman" w:hAnsi="Times New Roman" w:eastAsia="宋体" w:cs="仿宋"/>
          <w:color w:val="auto"/>
          <w:sz w:val="24"/>
          <w:szCs w:val="24"/>
          <w:highlight w:val="none"/>
        </w:rPr>
        <w:t>二十大</w:t>
      </w:r>
      <w:r>
        <w:rPr>
          <w:rFonts w:hint="eastAsia" w:ascii="Times New Roman" w:hAnsi="Times New Roman" w:eastAsia="宋体" w:cs="仿宋"/>
          <w:color w:val="auto"/>
          <w:sz w:val="24"/>
          <w:szCs w:val="24"/>
          <w:highlight w:val="none"/>
          <w:lang w:val="en-US" w:eastAsia="zh-CN"/>
        </w:rPr>
        <w:t xml:space="preserve"> </w:t>
      </w:r>
      <w:r>
        <w:rPr>
          <w:rFonts w:hint="eastAsia" w:ascii="Times New Roman" w:hAnsi="Times New Roman" w:eastAsia="宋体" w:cs="仿宋"/>
          <w:color w:val="auto"/>
          <w:sz w:val="24"/>
          <w:szCs w:val="24"/>
          <w:highlight w:val="none"/>
        </w:rPr>
        <w:t>红色党史我来讲”短视频征集、“青春心向党</w:t>
      </w:r>
      <w:r>
        <w:rPr>
          <w:rFonts w:hint="eastAsia" w:ascii="Times New Roman" w:hAnsi="Times New Roman" w:eastAsia="宋体" w:cs="仿宋"/>
          <w:color w:val="auto"/>
          <w:sz w:val="24"/>
          <w:szCs w:val="24"/>
          <w:highlight w:val="none"/>
          <w:lang w:val="en-US" w:eastAsia="zh-CN"/>
        </w:rPr>
        <w:t xml:space="preserve"> </w:t>
      </w:r>
      <w:r>
        <w:rPr>
          <w:rFonts w:hint="eastAsia" w:ascii="Times New Roman" w:hAnsi="Times New Roman" w:eastAsia="宋体" w:cs="仿宋"/>
          <w:color w:val="auto"/>
          <w:sz w:val="24"/>
          <w:szCs w:val="24"/>
          <w:highlight w:val="none"/>
        </w:rPr>
        <w:t>唱响新征程”校园歌手大赛、主题征文比赛、校园微演讲等。通过开展学生喜闻乐见的活动，既传递了积极向上的青春正能量，又增强了学生的自我认同感和自信心。通过这些丰富多彩的校园文化活动，使得遂宁市中职学校德育管理</w:t>
      </w:r>
      <w:r>
        <w:rPr>
          <w:rFonts w:hint="eastAsia" w:ascii="Times New Roman" w:hAnsi="Times New Roman" w:eastAsia="宋体" w:cs="仿宋"/>
          <w:color w:val="auto"/>
          <w:sz w:val="24"/>
          <w:szCs w:val="24"/>
          <w:highlight w:val="none"/>
          <w:lang w:val="en-US" w:eastAsia="zh-CN"/>
        </w:rPr>
        <w:t>更上</w:t>
      </w:r>
      <w:r>
        <w:rPr>
          <w:rFonts w:hint="eastAsia" w:ascii="Times New Roman" w:hAnsi="Times New Roman" w:eastAsia="宋体" w:cs="仿宋"/>
          <w:color w:val="auto"/>
          <w:sz w:val="24"/>
          <w:szCs w:val="24"/>
          <w:highlight w:val="none"/>
        </w:rPr>
        <w:t>新台阶。</w:t>
      </w:r>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eastAsia="zh-CN"/>
        </w:rPr>
      </w:pPr>
      <w:r>
        <w:rPr>
          <w:rFonts w:ascii="Times New Roman" w:hAnsi="Times New Roman" w:eastAsia="宋体" w:cs="Times New Roman"/>
          <w:b/>
          <w:bCs/>
          <w:color w:val="auto"/>
          <w:sz w:val="28"/>
          <w:szCs w:val="28"/>
          <w:highlight w:val="none"/>
        </w:rPr>
        <w:t>2</w:t>
      </w:r>
      <w:r>
        <w:rPr>
          <w:rFonts w:hint="eastAsia" w:ascii="Times New Roman" w:hAnsi="Times New Roman" w:eastAsia="宋体" w:cs="Times New Roman"/>
          <w:b/>
          <w:bCs/>
          <w:color w:val="auto"/>
          <w:sz w:val="28"/>
          <w:szCs w:val="28"/>
          <w:highlight w:val="none"/>
        </w:rPr>
        <w:t>.</w:t>
      </w:r>
      <w:r>
        <w:rPr>
          <w:rFonts w:ascii="Times New Roman" w:hAnsi="Times New Roman" w:eastAsia="宋体" w:cs="Times New Roman"/>
          <w:b/>
          <w:bCs/>
          <w:color w:val="auto"/>
          <w:sz w:val="28"/>
          <w:szCs w:val="28"/>
          <w:highlight w:val="none"/>
        </w:rPr>
        <w:t>2</w:t>
      </w:r>
      <w:r>
        <w:rPr>
          <w:rFonts w:hint="eastAsia"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3</w:t>
      </w:r>
      <w:r>
        <w:rPr>
          <w:rFonts w:hint="eastAsia" w:ascii="Times New Roman" w:hAnsi="Times New Roman" w:eastAsia="宋体" w:cs="Times New Roman"/>
          <w:b/>
          <w:bCs/>
          <w:color w:val="auto"/>
          <w:sz w:val="28"/>
          <w:szCs w:val="28"/>
          <w:highlight w:val="none"/>
        </w:rPr>
        <w:t xml:space="preserve"> </w:t>
      </w:r>
      <w:r>
        <w:rPr>
          <w:rFonts w:hint="eastAsia" w:ascii="Times New Roman" w:hAnsi="Times New Roman" w:eastAsia="宋体" w:cs="Times New Roman"/>
          <w:b/>
          <w:bCs/>
          <w:color w:val="auto"/>
          <w:sz w:val="28"/>
          <w:szCs w:val="28"/>
          <w:highlight w:val="none"/>
          <w:lang w:val="en-US" w:eastAsia="zh-CN"/>
        </w:rPr>
        <w:t>加强</w:t>
      </w:r>
      <w:r>
        <w:rPr>
          <w:rFonts w:hint="eastAsia" w:ascii="Times New Roman" w:hAnsi="Times New Roman" w:eastAsia="宋体" w:cs="Times New Roman"/>
          <w:b/>
          <w:bCs/>
          <w:color w:val="auto"/>
          <w:sz w:val="28"/>
          <w:szCs w:val="28"/>
          <w:highlight w:val="none"/>
          <w:lang w:eastAsia="zh-CN"/>
        </w:rPr>
        <w:t>心理健康教育</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全市9所中职学校建有心理健康团体辅导室、沙盘室、宣泄室等心理健康教育专用教室15个，心理健康专兼职教师480余人（含班主任和思政教师）。中职学校在每年开学前通过心理健康筛查系统，对每个学生进行心理健康测评，筛选出红色预警、黄色预警的学生。</w:t>
      </w:r>
    </w:p>
    <w:p>
      <w:pPr>
        <w:spacing w:line="560" w:lineRule="exact"/>
        <w:ind w:firstLine="480" w:firstLineChars="200"/>
        <w:rPr>
          <w:rFonts w:hint="eastAsia" w:ascii="Times New Roman" w:hAnsi="Times New Roman" w:eastAsia="宋体" w:cs="仿宋"/>
          <w:color w:val="auto"/>
          <w:sz w:val="24"/>
          <w:szCs w:val="24"/>
          <w:highlight w:val="none"/>
          <w:lang w:eastAsia="zh-CN"/>
        </w:rPr>
      </w:pPr>
      <w:r>
        <w:rPr>
          <w:rFonts w:hint="eastAsia" w:ascii="Times New Roman" w:hAnsi="Times New Roman" w:eastAsia="宋体" w:cs="仿宋"/>
          <w:color w:val="auto"/>
          <w:sz w:val="24"/>
          <w:szCs w:val="24"/>
          <w:highlight w:val="none"/>
          <w:lang w:val="en-US" w:eastAsia="zh-CN"/>
        </w:rPr>
        <w:t>一是</w:t>
      </w:r>
      <w:r>
        <w:rPr>
          <w:rFonts w:hint="eastAsia" w:ascii="Times New Roman" w:hAnsi="Times New Roman" w:eastAsia="宋体" w:cs="仿宋"/>
          <w:color w:val="auto"/>
          <w:sz w:val="24"/>
          <w:szCs w:val="24"/>
          <w:highlight w:val="none"/>
          <w:lang w:eastAsia="zh-CN"/>
        </w:rPr>
        <w:t>建立</w:t>
      </w:r>
      <w:r>
        <w:rPr>
          <w:rFonts w:hint="eastAsia" w:ascii="Times New Roman" w:hAnsi="Times New Roman" w:eastAsia="宋体" w:cs="仿宋"/>
          <w:color w:val="auto"/>
          <w:sz w:val="24"/>
          <w:szCs w:val="24"/>
          <w:highlight w:val="none"/>
        </w:rPr>
        <w:t>心理健康</w:t>
      </w:r>
      <w:r>
        <w:rPr>
          <w:rFonts w:hint="eastAsia" w:ascii="Times New Roman" w:hAnsi="Times New Roman" w:eastAsia="宋体" w:cs="仿宋"/>
          <w:color w:val="auto"/>
          <w:sz w:val="24"/>
          <w:szCs w:val="24"/>
          <w:highlight w:val="none"/>
          <w:lang w:eastAsia="zh-CN"/>
        </w:rPr>
        <w:t>辅导档案。对</w:t>
      </w:r>
      <w:r>
        <w:rPr>
          <w:rFonts w:hint="eastAsia" w:ascii="Times New Roman" w:hAnsi="Times New Roman" w:eastAsia="宋体" w:cs="仿宋"/>
          <w:color w:val="auto"/>
          <w:sz w:val="24"/>
          <w:szCs w:val="24"/>
          <w:highlight w:val="none"/>
          <w:lang w:val="en-US" w:eastAsia="zh-CN"/>
        </w:rPr>
        <w:t>红色预警、黄色预警的学生班主任建立一生一策帮扶档案，定期开展个别辅导，给予更多的人文关心、关怀。二是畅通心理健康咨询路径。</w:t>
      </w:r>
      <w:r>
        <w:rPr>
          <w:rFonts w:hint="eastAsia" w:ascii="Times New Roman" w:hAnsi="Times New Roman" w:eastAsia="宋体" w:cs="仿宋"/>
          <w:color w:val="auto"/>
          <w:sz w:val="24"/>
          <w:szCs w:val="24"/>
          <w:highlight w:val="none"/>
        </w:rPr>
        <w:t>开通心语信箱预约、班主任或心理委员中介预约、心理中心官方QQ预约等心理咨询路径</w:t>
      </w:r>
      <w:r>
        <w:rPr>
          <w:rFonts w:hint="eastAsia" w:ascii="Times New Roman" w:hAnsi="Times New Roman" w:eastAsia="宋体" w:cs="仿宋"/>
          <w:color w:val="auto"/>
          <w:sz w:val="24"/>
          <w:szCs w:val="24"/>
          <w:highlight w:val="none"/>
          <w:lang w:eastAsia="zh-CN"/>
        </w:rPr>
        <w:t>。</w:t>
      </w:r>
      <w:r>
        <w:rPr>
          <w:rFonts w:hint="eastAsia" w:ascii="Times New Roman" w:hAnsi="Times New Roman" w:eastAsia="宋体" w:cs="仿宋"/>
          <w:color w:val="auto"/>
          <w:sz w:val="24"/>
          <w:szCs w:val="24"/>
          <w:highlight w:val="none"/>
          <w:lang w:val="en-US" w:eastAsia="zh-CN"/>
        </w:rPr>
        <w:t>三是开展心理健康团体辅导。</w:t>
      </w:r>
      <w:r>
        <w:rPr>
          <w:rFonts w:hint="eastAsia" w:ascii="Times New Roman" w:hAnsi="Times New Roman" w:eastAsia="宋体" w:cs="仿宋"/>
          <w:color w:val="auto"/>
          <w:sz w:val="24"/>
          <w:szCs w:val="24"/>
          <w:highlight w:val="none"/>
          <w:lang w:eastAsia="zh-CN"/>
        </w:rPr>
        <w:t>定期开展</w:t>
      </w:r>
      <w:r>
        <w:rPr>
          <w:rFonts w:hint="eastAsia" w:ascii="Times New Roman" w:hAnsi="Times New Roman" w:eastAsia="宋体" w:cs="仿宋"/>
          <w:color w:val="auto"/>
          <w:sz w:val="24"/>
          <w:szCs w:val="24"/>
          <w:highlight w:val="none"/>
        </w:rPr>
        <w:t>心理委员团辅</w:t>
      </w:r>
      <w:r>
        <w:rPr>
          <w:rFonts w:hint="eastAsia" w:ascii="Times New Roman" w:hAnsi="Times New Roman" w:eastAsia="宋体" w:cs="仿宋"/>
          <w:color w:val="auto"/>
          <w:sz w:val="24"/>
          <w:szCs w:val="24"/>
          <w:highlight w:val="none"/>
          <w:lang w:eastAsia="zh-CN"/>
        </w:rPr>
        <w:t>，职业院校</w:t>
      </w:r>
      <w:r>
        <w:rPr>
          <w:rFonts w:hint="eastAsia" w:ascii="Times New Roman" w:hAnsi="Times New Roman" w:eastAsia="宋体" w:cs="仿宋"/>
          <w:color w:val="auto"/>
          <w:sz w:val="24"/>
          <w:szCs w:val="24"/>
          <w:highlight w:val="none"/>
        </w:rPr>
        <w:t>成立心理委员社团</w:t>
      </w:r>
      <w:r>
        <w:rPr>
          <w:rFonts w:hint="eastAsia" w:ascii="Times New Roman" w:hAnsi="Times New Roman" w:eastAsia="宋体" w:cs="仿宋"/>
          <w:color w:val="auto"/>
          <w:sz w:val="24"/>
          <w:szCs w:val="24"/>
          <w:highlight w:val="none"/>
          <w:lang w:eastAsia="zh-CN"/>
        </w:rPr>
        <w:t>，</w:t>
      </w:r>
      <w:r>
        <w:rPr>
          <w:rFonts w:hint="eastAsia" w:ascii="Times New Roman" w:hAnsi="Times New Roman" w:eastAsia="宋体" w:cs="仿宋"/>
          <w:color w:val="auto"/>
          <w:sz w:val="24"/>
          <w:szCs w:val="24"/>
          <w:highlight w:val="none"/>
          <w:lang w:val="en-US" w:eastAsia="zh-CN"/>
        </w:rPr>
        <w:t>按照相关或相近问题、相同性别、相关心理品质开展同质类团辅。</w:t>
      </w:r>
      <w:r>
        <w:rPr>
          <w:rFonts w:hint="eastAsia" w:ascii="Times New Roman" w:hAnsi="Times New Roman" w:eastAsia="宋体" w:cs="仿宋"/>
          <w:color w:val="auto"/>
          <w:sz w:val="24"/>
          <w:szCs w:val="24"/>
          <w:highlight w:val="none"/>
          <w:lang w:eastAsia="zh-CN"/>
        </w:rPr>
        <w:t>优选广播内容</w:t>
      </w:r>
      <w:r>
        <w:rPr>
          <w:rFonts w:hint="eastAsia" w:ascii="Times New Roman" w:hAnsi="Times New Roman" w:eastAsia="宋体" w:cs="仿宋"/>
          <w:color w:val="auto"/>
          <w:sz w:val="24"/>
          <w:szCs w:val="24"/>
          <w:highlight w:val="none"/>
          <w:lang w:val="en-US" w:eastAsia="zh-CN"/>
        </w:rPr>
        <w:t>在</w:t>
      </w:r>
      <w:r>
        <w:rPr>
          <w:rFonts w:hint="eastAsia" w:ascii="Times New Roman" w:hAnsi="Times New Roman" w:eastAsia="宋体" w:cs="仿宋"/>
          <w:color w:val="auto"/>
          <w:sz w:val="24"/>
          <w:szCs w:val="24"/>
          <w:highlight w:val="none"/>
        </w:rPr>
        <w:t>全校播放，让全校师生</w:t>
      </w:r>
      <w:r>
        <w:rPr>
          <w:rFonts w:hint="eastAsia" w:ascii="Times New Roman" w:hAnsi="Times New Roman" w:eastAsia="宋体" w:cs="仿宋"/>
          <w:color w:val="auto"/>
          <w:sz w:val="24"/>
          <w:szCs w:val="24"/>
          <w:highlight w:val="none"/>
          <w:lang w:val="en-US" w:eastAsia="zh-CN"/>
        </w:rPr>
        <w:t>进行全域心理团辅</w:t>
      </w:r>
      <w:r>
        <w:rPr>
          <w:rFonts w:hint="eastAsia" w:ascii="Times New Roman" w:hAnsi="Times New Roman" w:eastAsia="宋体" w:cs="仿宋"/>
          <w:color w:val="auto"/>
          <w:sz w:val="24"/>
          <w:szCs w:val="24"/>
          <w:highlight w:val="none"/>
        </w:rPr>
        <w:t>。</w:t>
      </w:r>
      <w:r>
        <w:rPr>
          <w:rFonts w:hint="eastAsia" w:ascii="Times New Roman" w:hAnsi="Times New Roman" w:eastAsia="宋体" w:cs="仿宋"/>
          <w:color w:val="auto"/>
          <w:sz w:val="24"/>
          <w:szCs w:val="24"/>
          <w:highlight w:val="none"/>
          <w:lang w:val="en-US" w:eastAsia="zh-CN"/>
        </w:rPr>
        <w:t>四是制作心理健康专题课程。</w:t>
      </w:r>
      <w:r>
        <w:rPr>
          <w:rFonts w:hint="eastAsia" w:ascii="Times New Roman" w:hAnsi="Times New Roman" w:eastAsia="宋体" w:cs="仿宋"/>
          <w:color w:val="auto"/>
          <w:sz w:val="24"/>
          <w:szCs w:val="24"/>
          <w:highlight w:val="none"/>
          <w:lang w:eastAsia="zh-CN"/>
        </w:rPr>
        <w:t>针对中职学校</w:t>
      </w:r>
      <w:r>
        <w:rPr>
          <w:rFonts w:hint="eastAsia" w:ascii="Times New Roman" w:hAnsi="Times New Roman" w:eastAsia="宋体" w:cs="仿宋"/>
          <w:color w:val="auto"/>
          <w:sz w:val="24"/>
          <w:szCs w:val="24"/>
          <w:highlight w:val="none"/>
        </w:rPr>
        <w:t>离异</w:t>
      </w:r>
      <w:r>
        <w:rPr>
          <w:rFonts w:hint="eastAsia" w:ascii="Times New Roman" w:hAnsi="Times New Roman" w:eastAsia="宋体" w:cs="仿宋"/>
          <w:color w:val="auto"/>
          <w:sz w:val="24"/>
          <w:szCs w:val="24"/>
          <w:highlight w:val="none"/>
          <w:lang w:val="en-US" w:eastAsia="zh-CN"/>
        </w:rPr>
        <w:t>家庭学生</w:t>
      </w:r>
      <w:r>
        <w:rPr>
          <w:rFonts w:hint="eastAsia" w:ascii="Times New Roman" w:hAnsi="Times New Roman" w:eastAsia="宋体" w:cs="仿宋"/>
          <w:color w:val="auto"/>
          <w:sz w:val="24"/>
          <w:szCs w:val="24"/>
          <w:highlight w:val="none"/>
          <w:lang w:eastAsia="zh-CN"/>
        </w:rPr>
        <w:t>或</w:t>
      </w:r>
      <w:r>
        <w:rPr>
          <w:rFonts w:hint="eastAsia" w:ascii="Times New Roman" w:hAnsi="Times New Roman" w:eastAsia="宋体" w:cs="仿宋"/>
          <w:color w:val="auto"/>
          <w:sz w:val="24"/>
          <w:szCs w:val="24"/>
          <w:highlight w:val="none"/>
        </w:rPr>
        <w:t>留守</w:t>
      </w:r>
      <w:r>
        <w:rPr>
          <w:rFonts w:hint="eastAsia" w:ascii="Times New Roman" w:hAnsi="Times New Roman" w:eastAsia="宋体" w:cs="仿宋"/>
          <w:color w:val="auto"/>
          <w:sz w:val="24"/>
          <w:szCs w:val="24"/>
          <w:highlight w:val="none"/>
          <w:lang w:val="en-US" w:eastAsia="zh-CN"/>
        </w:rPr>
        <w:t>学生多</w:t>
      </w:r>
      <w:r>
        <w:rPr>
          <w:rFonts w:hint="eastAsia" w:ascii="Times New Roman" w:hAnsi="Times New Roman" w:eastAsia="宋体" w:cs="仿宋"/>
          <w:color w:val="auto"/>
          <w:sz w:val="24"/>
          <w:szCs w:val="24"/>
          <w:highlight w:val="none"/>
        </w:rPr>
        <w:t>，缺少父母陪伴和</w:t>
      </w:r>
      <w:r>
        <w:rPr>
          <w:rFonts w:hint="eastAsia" w:ascii="Times New Roman" w:hAnsi="Times New Roman" w:eastAsia="宋体" w:cs="仿宋"/>
          <w:color w:val="auto"/>
          <w:sz w:val="24"/>
          <w:szCs w:val="24"/>
          <w:highlight w:val="none"/>
          <w:lang w:eastAsia="zh-CN"/>
        </w:rPr>
        <w:t>关爱</w:t>
      </w:r>
      <w:r>
        <w:rPr>
          <w:rFonts w:hint="eastAsia" w:ascii="Times New Roman" w:hAnsi="Times New Roman" w:eastAsia="宋体" w:cs="仿宋"/>
          <w:color w:val="auto"/>
          <w:sz w:val="24"/>
          <w:szCs w:val="24"/>
          <w:highlight w:val="none"/>
        </w:rPr>
        <w:t>，部分学生认为被父母抛弃，对周围人不信任，在人际交往上退缩，不能妥善处理人际关系，甚至采取暴力手段伤害自己或他人</w:t>
      </w:r>
      <w:r>
        <w:rPr>
          <w:rFonts w:hint="eastAsia" w:ascii="Times New Roman" w:hAnsi="Times New Roman" w:eastAsia="宋体" w:cs="仿宋"/>
          <w:color w:val="auto"/>
          <w:sz w:val="24"/>
          <w:szCs w:val="24"/>
          <w:highlight w:val="none"/>
          <w:lang w:eastAsia="zh-CN"/>
        </w:rPr>
        <w:t>这些问题</w:t>
      </w:r>
      <w:r>
        <w:rPr>
          <w:rFonts w:hint="eastAsia" w:ascii="Times New Roman" w:hAnsi="Times New Roman" w:eastAsia="宋体" w:cs="仿宋"/>
          <w:color w:val="auto"/>
          <w:sz w:val="24"/>
          <w:szCs w:val="24"/>
          <w:highlight w:val="none"/>
        </w:rPr>
        <w:t>，</w:t>
      </w:r>
      <w:r>
        <w:rPr>
          <w:rFonts w:hint="eastAsia" w:ascii="Times New Roman" w:hAnsi="Times New Roman" w:eastAsia="宋体" w:cs="仿宋"/>
          <w:color w:val="auto"/>
          <w:sz w:val="24"/>
          <w:szCs w:val="24"/>
          <w:highlight w:val="none"/>
          <w:lang w:eastAsia="zh-CN"/>
        </w:rPr>
        <w:t>学</w:t>
      </w:r>
      <w:r>
        <w:rPr>
          <w:rFonts w:hint="eastAsia" w:ascii="Times New Roman" w:hAnsi="Times New Roman" w:eastAsia="宋体" w:cs="仿宋"/>
          <w:color w:val="auto"/>
          <w:sz w:val="24"/>
          <w:szCs w:val="24"/>
          <w:highlight w:val="none"/>
        </w:rPr>
        <w:t>校</w:t>
      </w:r>
      <w:r>
        <w:rPr>
          <w:rFonts w:hint="eastAsia" w:ascii="Times New Roman" w:hAnsi="Times New Roman" w:eastAsia="宋体" w:cs="仿宋"/>
          <w:color w:val="auto"/>
          <w:sz w:val="24"/>
          <w:szCs w:val="24"/>
          <w:highlight w:val="none"/>
          <w:lang w:eastAsia="zh-CN"/>
        </w:rPr>
        <w:t>心理咨询师制作专题课件</w:t>
      </w:r>
      <w:r>
        <w:rPr>
          <w:rFonts w:hint="eastAsia" w:ascii="Times New Roman" w:hAnsi="Times New Roman" w:eastAsia="宋体" w:cs="仿宋"/>
          <w:color w:val="auto"/>
          <w:sz w:val="24"/>
          <w:szCs w:val="24"/>
          <w:highlight w:val="none"/>
        </w:rPr>
        <w:t>开展</w:t>
      </w:r>
      <w:r>
        <w:rPr>
          <w:rFonts w:hint="eastAsia" w:ascii="Times New Roman" w:hAnsi="Times New Roman" w:eastAsia="宋体" w:cs="仿宋"/>
          <w:color w:val="auto"/>
          <w:sz w:val="24"/>
          <w:szCs w:val="24"/>
          <w:highlight w:val="none"/>
          <w:lang w:eastAsia="zh-CN"/>
        </w:rPr>
        <w:t>心理健康集体辅导。</w:t>
      </w:r>
      <w:r>
        <w:rPr>
          <w:rFonts w:hint="eastAsia" w:ascii="Times New Roman" w:hAnsi="Times New Roman" w:eastAsia="宋体" w:cs="仿宋"/>
          <w:color w:val="auto"/>
          <w:sz w:val="24"/>
          <w:szCs w:val="24"/>
          <w:highlight w:val="none"/>
          <w:lang w:val="en-US" w:eastAsia="zh-CN"/>
        </w:rPr>
        <w:t>五是组织开展心理健康活动。通过</w:t>
      </w:r>
      <w:r>
        <w:rPr>
          <w:rFonts w:hint="eastAsia" w:ascii="Times New Roman" w:hAnsi="Times New Roman" w:eastAsia="宋体" w:cs="仿宋"/>
          <w:color w:val="auto"/>
          <w:sz w:val="24"/>
          <w:szCs w:val="24"/>
          <w:highlight w:val="none"/>
          <w:lang w:eastAsia="zh-CN"/>
        </w:rPr>
        <w:t>举办心理健康讲座、 心理剧表演、召开心理健康主题班会、开展心理拓展训练、开展心理知识竞赛、心理电影赏析等活动进行引导，塑造健康心理。</w:t>
      </w:r>
    </w:p>
    <w:p>
      <w:pPr>
        <w:keepNext w:val="0"/>
        <w:keepLines w:val="0"/>
        <w:pageBreakBefore w:val="0"/>
        <w:widowControl/>
        <w:kinsoku/>
        <w:wordWrap/>
        <w:overflowPunct/>
        <w:topLinePunct w:val="0"/>
        <w:autoSpaceDE/>
        <w:autoSpaceDN/>
        <w:bidi w:val="0"/>
        <w:adjustRightInd/>
        <w:snapToGrid/>
        <w:spacing w:line="240" w:lineRule="atLeast"/>
        <w:ind w:firstLine="480" w:firstLineChars="200"/>
        <w:jc w:val="left"/>
        <w:textAlignment w:val="auto"/>
        <w:rPr>
          <w:rFonts w:hint="eastAsia" w:ascii="宋体" w:hAnsi="宋体" w:eastAsia="宋体" w:cs="宋体"/>
          <w:color w:val="auto"/>
          <w:kern w:val="0"/>
          <w:sz w:val="24"/>
          <w:szCs w:val="24"/>
          <w:lang w:eastAsia="zh-CN" w:bidi="ar"/>
        </w:rPr>
      </w:pPr>
    </w:p>
    <w:bookmarkEnd w:id="161"/>
    <w:bookmarkEnd w:id="162"/>
    <w:bookmarkEnd w:id="163"/>
    <w:p>
      <w:pPr>
        <w:pStyle w:val="8"/>
        <w:keepNext w:val="0"/>
        <w:keepLines w:val="0"/>
        <w:pageBreakBefore w:val="0"/>
        <w:widowControl w:val="0"/>
        <w:kinsoku/>
        <w:wordWrap/>
        <w:overflowPunct/>
        <w:topLinePunct w:val="0"/>
        <w:autoSpaceDE/>
        <w:autoSpaceDN/>
        <w:bidi w:val="0"/>
        <w:adjustRightInd w:val="0"/>
        <w:snapToGrid w:val="0"/>
        <w:spacing w:line="480" w:lineRule="exact"/>
        <w:contextualSpacing/>
        <w:jc w:val="left"/>
        <w:textAlignment w:val="auto"/>
        <w:outlineLvl w:val="2"/>
        <w:rPr>
          <w:rFonts w:hint="eastAsia" w:ascii="黑体" w:hAnsi="黑体" w:eastAsia="黑体" w:cs="黑体"/>
          <w:b/>
          <w:bCs/>
          <w:color w:val="C55A11" w:themeColor="accent2" w:themeShade="BF"/>
          <w:sz w:val="24"/>
          <w:szCs w:val="24"/>
          <w:lang w:val="en-US" w:eastAsia="zh-CN"/>
        </w:rPr>
      </w:pPr>
      <w:bookmarkStart w:id="164" w:name="_Toc6196"/>
      <w:bookmarkStart w:id="165" w:name="_Toc5014"/>
      <w:bookmarkStart w:id="166" w:name="_Toc18646"/>
      <w:r>
        <w:rPr>
          <w:rFonts w:hint="eastAsia" w:ascii="黑体" w:hAnsi="黑体" w:eastAsia="黑体" w:cs="黑体"/>
          <w:b/>
          <w:bCs/>
          <w:color w:val="C55A11" w:themeColor="accent2" w:themeShade="BF"/>
          <w:sz w:val="24"/>
          <w:szCs w:val="24"/>
          <w:lang w:eastAsia="zh-CN"/>
        </w:rPr>
        <w:t>【案例</w:t>
      </w:r>
      <w:r>
        <w:rPr>
          <w:rFonts w:hint="eastAsia" w:ascii="黑体" w:hAnsi="黑体" w:eastAsia="黑体" w:cs="黑体"/>
          <w:b/>
          <w:bCs/>
          <w:color w:val="C55A11" w:themeColor="accent2" w:themeShade="BF"/>
          <w:sz w:val="24"/>
          <w:szCs w:val="24"/>
          <w:lang w:eastAsia="zh-CN"/>
        </w:rPr>
        <w:fldChar w:fldCharType="begin"/>
      </w:r>
      <w:r>
        <w:rPr>
          <w:rFonts w:hint="eastAsia" w:ascii="黑体" w:hAnsi="黑体" w:eastAsia="黑体" w:cs="黑体"/>
          <w:b/>
          <w:bCs/>
          <w:color w:val="C55A11" w:themeColor="accent2" w:themeShade="BF"/>
          <w:sz w:val="24"/>
          <w:szCs w:val="24"/>
          <w:lang w:eastAsia="zh-CN"/>
        </w:rPr>
        <w:instrText xml:space="preserve"> SEQ 案例 \* ARABIC </w:instrText>
      </w:r>
      <w:r>
        <w:rPr>
          <w:rFonts w:hint="eastAsia" w:ascii="黑体" w:hAnsi="黑体" w:eastAsia="黑体" w:cs="黑体"/>
          <w:b/>
          <w:bCs/>
          <w:color w:val="C55A11" w:themeColor="accent2" w:themeShade="BF"/>
          <w:sz w:val="24"/>
          <w:szCs w:val="24"/>
          <w:lang w:eastAsia="zh-CN"/>
        </w:rPr>
        <w:fldChar w:fldCharType="separate"/>
      </w:r>
      <w:r>
        <w:rPr>
          <w:rFonts w:hint="eastAsia" w:ascii="黑体" w:hAnsi="黑体" w:eastAsia="黑体" w:cs="黑体"/>
          <w:b/>
          <w:bCs/>
          <w:color w:val="C55A11" w:themeColor="accent2" w:themeShade="BF"/>
          <w:sz w:val="24"/>
          <w:szCs w:val="24"/>
          <w:lang w:eastAsia="zh-CN"/>
        </w:rPr>
        <w:t>2</w:t>
      </w:r>
      <w:r>
        <w:rPr>
          <w:rFonts w:hint="eastAsia" w:ascii="黑体" w:hAnsi="黑体" w:eastAsia="黑体" w:cs="黑体"/>
          <w:b/>
          <w:bCs/>
          <w:color w:val="C55A11" w:themeColor="accent2" w:themeShade="BF"/>
          <w:sz w:val="24"/>
          <w:szCs w:val="24"/>
          <w:lang w:eastAsia="zh-CN"/>
        </w:rPr>
        <w:fldChar w:fldCharType="end"/>
      </w:r>
      <w:bookmarkStart w:id="167" w:name="_Toc22894"/>
      <w:r>
        <w:rPr>
          <w:rFonts w:hint="eastAsia" w:ascii="黑体" w:hAnsi="黑体" w:eastAsia="黑体" w:cs="黑体"/>
          <w:b/>
          <w:bCs/>
          <w:color w:val="C55A11" w:themeColor="accent2" w:themeShade="BF"/>
          <w:sz w:val="24"/>
          <w:szCs w:val="24"/>
          <w:lang w:eastAsia="zh-CN"/>
        </w:rPr>
        <w:t>】</w:t>
      </w:r>
      <w:r>
        <w:rPr>
          <w:rFonts w:hint="eastAsia" w:ascii="黑体" w:hAnsi="黑体" w:eastAsia="黑体" w:cs="黑体"/>
          <w:b/>
          <w:bCs/>
          <w:color w:val="C55A11" w:themeColor="accent2" w:themeShade="BF"/>
          <w:sz w:val="24"/>
          <w:szCs w:val="24"/>
          <w:lang w:val="en-US" w:eastAsia="zh-CN"/>
        </w:rPr>
        <w:t>构建“一二三四”行动范式  完善中职学校心育服务体系</w:t>
      </w:r>
      <w:bookmarkEnd w:id="167"/>
    </w:p>
    <w:p>
      <w:pPr>
        <w:pStyle w:val="8"/>
        <w:keepNext w:val="0"/>
        <w:keepLines w:val="0"/>
        <w:pageBreakBefore w:val="0"/>
        <w:widowControl w:val="0"/>
        <w:kinsoku/>
        <w:wordWrap/>
        <w:overflowPunct/>
        <w:topLinePunct w:val="0"/>
        <w:autoSpaceDE/>
        <w:autoSpaceDN/>
        <w:bidi w:val="0"/>
        <w:adjustRightInd w:val="0"/>
        <w:snapToGrid w:val="0"/>
        <w:spacing w:line="480" w:lineRule="exact"/>
        <w:contextualSpacing/>
        <w:jc w:val="right"/>
        <w:textAlignment w:val="auto"/>
        <w:outlineLvl w:val="2"/>
        <w:rPr>
          <w:rFonts w:hint="eastAsia" w:ascii="黑体" w:hAnsi="黑体" w:eastAsia="黑体" w:cs="黑体"/>
          <w:b/>
          <w:bCs/>
          <w:color w:val="C55A11" w:themeColor="accent2" w:themeShade="BF"/>
          <w:sz w:val="24"/>
          <w:szCs w:val="24"/>
          <w:lang w:val="en-US" w:eastAsia="zh-CN"/>
        </w:rPr>
      </w:pPr>
      <w:r>
        <w:rPr>
          <w:rFonts w:hint="eastAsia" w:ascii="黑体" w:hAnsi="黑体" w:eastAsia="黑体" w:cs="黑体"/>
          <w:b/>
          <w:bCs/>
          <w:color w:val="C55A11" w:themeColor="accent2" w:themeShade="BF"/>
          <w:sz w:val="24"/>
          <w:szCs w:val="24"/>
          <w:lang w:val="en-US" w:eastAsia="zh-CN"/>
        </w:rPr>
        <w:t>——遂宁市船山职业技术学校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遂宁市船山职业技术学校以践行“德心融合”为努力方向，秉承“预防为主，干预为辅，全面普及普查，全员育心”的方针，形成“一二三四”（即一个前提、两条渠道、三大阵地、四股合力）的心理健康教育行动范式。</w:t>
      </w:r>
    </w:p>
    <w:p>
      <w:pPr>
        <w:keepNext w:val="0"/>
        <w:keepLines w:val="0"/>
        <w:pageBreakBefore w:val="0"/>
        <w:widowControl w:val="0"/>
        <w:kinsoku/>
        <w:wordWrap/>
        <w:overflowPunct/>
        <w:topLinePunct w:val="0"/>
        <w:autoSpaceDE/>
        <w:autoSpaceDN/>
        <w:bidi w:val="0"/>
        <w:adjustRightInd/>
        <w:snapToGrid/>
        <w:spacing w:line="440" w:lineRule="exact"/>
        <w:ind w:firstLine="481"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一、夯实心理普查，做细心育必备前提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坚持“早发现、早干预”原则，定期开展心理普查，对预警对象、教职工和转校新生三类重点人群及时予以心理干预和心理疏导。一是建立“一生一策”心理档案，密切关注预警个案学生的发展，学校联合家庭共同采取有效的特别防护与干预措施。二是开展教职员工关爱工程。引导教职工学会自我觉察、觉知，掌握基本心理调适技能，保持健康心理状态，营造浓厚的心育氛围。三是实行转校新生“心”办法。入学时加强心理筛查，准确把握新生心理困扰问题，把好进校第一关。</w:t>
      </w:r>
    </w:p>
    <w:p>
      <w:pPr>
        <w:keepNext w:val="0"/>
        <w:keepLines w:val="0"/>
        <w:pageBreakBefore w:val="0"/>
        <w:widowControl w:val="0"/>
        <w:kinsoku/>
        <w:wordWrap/>
        <w:overflowPunct/>
        <w:topLinePunct w:val="0"/>
        <w:autoSpaceDE/>
        <w:autoSpaceDN/>
        <w:bidi w:val="0"/>
        <w:adjustRightInd/>
        <w:snapToGrid/>
        <w:spacing w:line="440" w:lineRule="exact"/>
        <w:ind w:firstLine="481"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二、坚持个辅+团辅，畅通心育两条渠道</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一是细致开展线上线下的一对一特色个体咨询。开通多条心理咨询路径——心语信箱预约、班主任或心理委员中介预约、心理中心官方QQ预约等。二是定期深入开展三类心理健康团体辅导。设立心理委员，成立心理委员社团。每月召开2次心理委员例会、1次心理委员专题培训，加强心理委员专业能力提升。按照相关或相近问题、相同性别、相关心理品质开展同质类团辅，如关爱女童青春期团辅、积极心理品质团辅。</w:t>
      </w:r>
    </w:p>
    <w:p>
      <w:pPr>
        <w:keepNext w:val="0"/>
        <w:keepLines w:val="0"/>
        <w:pageBreakBefore w:val="0"/>
        <w:widowControl w:val="0"/>
        <w:kinsoku/>
        <w:wordWrap/>
        <w:overflowPunct/>
        <w:topLinePunct w:val="0"/>
        <w:autoSpaceDE/>
        <w:autoSpaceDN/>
        <w:bidi w:val="0"/>
        <w:adjustRightInd/>
        <w:snapToGrid/>
        <w:spacing w:line="440" w:lineRule="exact"/>
        <w:ind w:firstLine="481"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三、围绕课堂、家庭、医院，构筑心育三大阵地</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一是以课堂为主阵地，上好每一堂课。学校将心理健康纳入常规教学，学校抓住课堂主阵地实施五育健心工程，达到“五育并举、身心两健”的德育目标。</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二是加强家校合作，共建育人环境。学校很好地区分家庭和学校的功能定位，把学生五育的事情交给学校，把后勤保障交给家长，协调育人。三是加强医教协同，强化危机干预。利用现有资源进行心理干预，而对于严重或危机的个例，则通过转介专业医疗机构以提升对学生心理干预的有效性。</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1"/>
        <w:gridCol w:w="42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51" w:type="dxa"/>
          </w:tcPr>
          <w:p>
            <w:pPr>
              <w:pStyle w:val="29"/>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vertAlign w:val="baseline"/>
              </w:rPr>
            </w:pPr>
            <w:r>
              <w:rPr>
                <w:rFonts w:hint="eastAsia" w:ascii="Times New Roman" w:hAnsi="Times New Roman"/>
                <w:sz w:val="28"/>
                <w:szCs w:val="28"/>
              </w:rPr>
              <w:drawing>
                <wp:inline distT="0" distB="0" distL="0" distR="0">
                  <wp:extent cx="2585720" cy="1757045"/>
                  <wp:effectExtent l="0" t="0" r="5080" b="8255"/>
                  <wp:docPr id="74" name="图片 8" descr="C:/Users/HUAWEI/Desktop/图片6.png图片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 name="图片 8" descr="C:/Users/HUAWEI/Desktop/图片6.png图片6"/>
                          <pic:cNvPicPr>
                            <a:picLocks noChangeAspect="true"/>
                          </pic:cNvPicPr>
                        </pic:nvPicPr>
                        <pic:blipFill>
                          <a:blip r:embed="rId23"/>
                          <a:srcRect t="4654" b="4654"/>
                          <a:stretch>
                            <a:fillRect/>
                          </a:stretch>
                        </pic:blipFill>
                        <pic:spPr>
                          <a:xfrm>
                            <a:off x="0" y="0"/>
                            <a:ext cx="2585720" cy="1757045"/>
                          </a:xfrm>
                          <a:prstGeom prst="rect">
                            <a:avLst/>
                          </a:prstGeom>
                        </pic:spPr>
                      </pic:pic>
                    </a:graphicData>
                  </a:graphic>
                </wp:inline>
              </w:drawing>
            </w:r>
          </w:p>
        </w:tc>
        <w:tc>
          <w:tcPr>
            <w:tcW w:w="4271" w:type="dxa"/>
          </w:tcPr>
          <w:p>
            <w:pPr>
              <w:pStyle w:val="29"/>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vertAlign w:val="baseline"/>
              </w:rPr>
            </w:pPr>
            <w:r>
              <w:rPr>
                <w:rFonts w:hint="eastAsia" w:ascii="Times New Roman" w:hAnsi="Times New Roman"/>
                <w:sz w:val="28"/>
                <w:szCs w:val="28"/>
              </w:rPr>
              <w:drawing>
                <wp:inline distT="0" distB="0" distL="0" distR="0">
                  <wp:extent cx="2603500" cy="1757045"/>
                  <wp:effectExtent l="0" t="0" r="0" b="8255"/>
                  <wp:docPr id="75" name="图片 0" descr="C:/Users/HUAWEI/Desktop/图片7.png图片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 name="图片 0" descr="C:/Users/HUAWEI/Desktop/图片7.png图片7"/>
                          <pic:cNvPicPr>
                            <a:picLocks noChangeAspect="true"/>
                          </pic:cNvPicPr>
                        </pic:nvPicPr>
                        <pic:blipFill>
                          <a:blip r:embed="rId24"/>
                          <a:srcRect t="2927" b="2927"/>
                          <a:stretch>
                            <a:fillRect/>
                          </a:stretch>
                        </pic:blipFill>
                        <pic:spPr>
                          <a:xfrm>
                            <a:off x="0" y="0"/>
                            <a:ext cx="2603500" cy="17570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vAlign w:val="center"/>
          </w:tcPr>
          <w:p>
            <w:pPr>
              <w:pStyle w:val="8"/>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rPr>
                <w:rFonts w:hint="default" w:ascii="Times New Roman" w:hAnsi="Times New Roman"/>
                <w:vertAlign w:val="baseline"/>
                <w:lang w:val="en-US"/>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7</w:t>
            </w:r>
            <w:r>
              <w:rPr>
                <w:rFonts w:hint="eastAsia" w:ascii="Times New Roman" w:hAnsi="Times New Roman" w:eastAsia="楷体" w:cs="楷体"/>
                <w:sz w:val="24"/>
                <w:szCs w:val="24"/>
              </w:rPr>
              <w:fldChar w:fldCharType="end"/>
            </w:r>
            <w:bookmarkStart w:id="168" w:name="_Toc23302"/>
            <w:r>
              <w:rPr>
                <w:rFonts w:hint="eastAsia" w:ascii="Times New Roman" w:hAnsi="Times New Roman" w:eastAsia="楷体" w:cs="楷体"/>
                <w:sz w:val="24"/>
                <w:szCs w:val="24"/>
                <w:lang w:eastAsia="zh-CN"/>
              </w:rPr>
              <w:t xml:space="preserve"> </w:t>
            </w:r>
            <w:r>
              <w:rPr>
                <w:rFonts w:hint="eastAsia" w:ascii="Times New Roman" w:hAnsi="Times New Roman" w:eastAsia="楷体" w:cs="楷体"/>
                <w:sz w:val="24"/>
                <w:szCs w:val="24"/>
                <w:lang w:val="en-US" w:eastAsia="zh-CN"/>
              </w:rPr>
              <w:t>开展心理健康教育活动</w:t>
            </w:r>
            <w:bookmarkEnd w:id="168"/>
          </w:p>
        </w:tc>
      </w:tr>
    </w:tbl>
    <w:p>
      <w:pPr>
        <w:pStyle w:val="2"/>
        <w:keepNext w:val="0"/>
        <w:keepLines w:val="0"/>
        <w:pageBreakBefore w:val="0"/>
        <w:widowControl w:val="0"/>
        <w:kinsoku/>
        <w:wordWrap/>
        <w:overflowPunct/>
        <w:topLinePunct w:val="0"/>
        <w:autoSpaceDE/>
        <w:autoSpaceDN/>
        <w:bidi w:val="0"/>
        <w:adjustRightInd/>
        <w:snapToGrid/>
        <w:spacing w:after="0" w:line="1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1"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四、聚焦生生、师生、校企、校社，形成心育四股合力</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一是借助心理委员的力量，形成生生合力。心育老师指导各班级的心理委员组成心理委员社团，积极宣传普及心理健康教育知识，形成生生合力共进的良好班级心育氛围。二是借助德育活动载体的力量，形成师生合力。学校将学生心理健康教育贯穿德育思政工作全过程，融入教育教学、管理服务和学生成长各环节，纳入“三全育人”大格局，德心融合，营造教育氛围。三是借助专业机构的力量，形成校企合力。一方面运用专业手段及时发现需要心理干预的学生；另一方面对确需帮助的学生借助专业力量进行干预；再强化学生的职业生涯规划。四是借助社会各种平台的力量，形成校社合力。学校将线上和线下宣传手段相结合，通过各类媒介，加大对学生心理健康教育政策方针、青少年心理健康教育前沿动态信息以及研究成果的宣传与推广，让更多群体可以意识到职校学生心理健康教育的重要性，让社会知道，除了关注学生学习之外，学生身心健康，尤其是心理健康，形成全社会都重视的意识和有效应对突发心理事件的举措。</w:t>
      </w:r>
    </w:p>
    <w:p>
      <w:pPr>
        <w:pStyle w:val="8"/>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宋体" w:hAnsi="宋体" w:eastAsia="宋体" w:cs="宋体"/>
          <w:b/>
          <w:bCs/>
          <w:color w:val="FF0000"/>
          <w:kern w:val="2"/>
          <w:sz w:val="21"/>
          <w:szCs w:val="21"/>
          <w:highlight w:val="yellow"/>
          <w:lang w:val="en-US" w:eastAsia="zh-CN" w:bidi="ar-SA"/>
        </w:rPr>
      </w:pPr>
    </w:p>
    <w:p>
      <w:pPr>
        <w:spacing w:line="560" w:lineRule="exact"/>
        <w:ind w:firstLine="602" w:firstLineChars="200"/>
        <w:outlineLvl w:val="1"/>
        <w:rPr>
          <w:rFonts w:hint="eastAsia" w:ascii="Times New Roman" w:hAnsi="Times New Roman" w:eastAsia="楷体" w:cs="Times New Roman"/>
          <w:b/>
          <w:bCs/>
          <w:color w:val="auto"/>
          <w:sz w:val="30"/>
          <w:szCs w:val="30"/>
          <w:highlight w:val="none"/>
        </w:rPr>
      </w:pPr>
      <w:bookmarkStart w:id="169" w:name="_Toc20468"/>
      <w:r>
        <w:rPr>
          <w:rFonts w:ascii="Times New Roman" w:hAnsi="Times New Roman" w:eastAsia="楷体" w:cs="Times New Roman"/>
          <w:b/>
          <w:bCs/>
          <w:color w:val="auto"/>
          <w:sz w:val="30"/>
          <w:szCs w:val="30"/>
          <w:highlight w:val="none"/>
        </w:rPr>
        <w:t>2</w:t>
      </w:r>
      <w:r>
        <w:rPr>
          <w:rFonts w:hint="eastAsia" w:ascii="Times New Roman" w:hAnsi="Times New Roman" w:eastAsia="楷体" w:cs="Times New Roman"/>
          <w:b/>
          <w:bCs/>
          <w:color w:val="auto"/>
          <w:sz w:val="30"/>
          <w:szCs w:val="30"/>
          <w:highlight w:val="none"/>
        </w:rPr>
        <w:t>.</w:t>
      </w:r>
      <w:r>
        <w:rPr>
          <w:rFonts w:hint="eastAsia" w:ascii="Times New Roman" w:hAnsi="Times New Roman" w:eastAsia="楷体" w:cs="Times New Roman"/>
          <w:b/>
          <w:bCs/>
          <w:color w:val="auto"/>
          <w:sz w:val="30"/>
          <w:szCs w:val="30"/>
          <w:highlight w:val="none"/>
          <w:lang w:val="en-US" w:eastAsia="zh-CN"/>
        </w:rPr>
        <w:t xml:space="preserve">3 </w:t>
      </w:r>
      <w:r>
        <w:rPr>
          <w:rFonts w:hint="eastAsia" w:ascii="Times New Roman" w:hAnsi="Times New Roman" w:eastAsia="楷体" w:cs="Times New Roman"/>
          <w:b/>
          <w:bCs/>
          <w:color w:val="auto"/>
          <w:sz w:val="30"/>
          <w:szCs w:val="30"/>
          <w:highlight w:val="none"/>
        </w:rPr>
        <w:t>学生素质</w:t>
      </w:r>
      <w:bookmarkEnd w:id="169"/>
    </w:p>
    <w:p>
      <w:pPr>
        <w:spacing w:line="560" w:lineRule="exact"/>
        <w:ind w:firstLine="562" w:firstLineChars="200"/>
        <w:outlineLvl w:val="2"/>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2</w:t>
      </w:r>
      <w:r>
        <w:rPr>
          <w:rFonts w:hint="eastAsia"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3</w:t>
      </w:r>
      <w:r>
        <w:rPr>
          <w:rFonts w:hint="eastAsia" w:ascii="Times New Roman" w:hAnsi="Times New Roman" w:eastAsia="宋体" w:cs="Times New Roman"/>
          <w:b/>
          <w:bCs/>
          <w:color w:val="auto"/>
          <w:sz w:val="28"/>
          <w:szCs w:val="28"/>
          <w:highlight w:val="none"/>
        </w:rPr>
        <w:t>.</w:t>
      </w:r>
      <w:r>
        <w:rPr>
          <w:rFonts w:ascii="Times New Roman" w:hAnsi="Times New Roman" w:eastAsia="宋体" w:cs="Times New Roman"/>
          <w:b/>
          <w:bCs/>
          <w:color w:val="auto"/>
          <w:sz w:val="28"/>
          <w:szCs w:val="28"/>
          <w:highlight w:val="none"/>
        </w:rPr>
        <w:t>1</w:t>
      </w:r>
      <w:r>
        <w:rPr>
          <w:rFonts w:hint="eastAsia" w:ascii="Times New Roman" w:hAnsi="Times New Roman" w:eastAsia="宋体" w:cs="Times New Roman"/>
          <w:b/>
          <w:bCs/>
          <w:color w:val="auto"/>
          <w:sz w:val="28"/>
          <w:szCs w:val="28"/>
          <w:highlight w:val="none"/>
          <w:lang w:val="en-US" w:eastAsia="zh-CN"/>
        </w:rPr>
        <w:t xml:space="preserve"> </w:t>
      </w:r>
      <w:r>
        <w:rPr>
          <w:rFonts w:hint="eastAsia" w:ascii="Times New Roman" w:hAnsi="Times New Roman" w:eastAsia="宋体" w:cs="Times New Roman"/>
          <w:b/>
          <w:bCs/>
          <w:color w:val="auto"/>
          <w:sz w:val="28"/>
          <w:szCs w:val="28"/>
          <w:highlight w:val="none"/>
        </w:rPr>
        <w:t>学生思想政治状况</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default" w:ascii="Times New Roman" w:hAnsi="Times New Roman" w:eastAsia="宋体" w:cs="仿宋"/>
          <w:color w:val="auto"/>
          <w:sz w:val="24"/>
          <w:szCs w:val="24"/>
          <w:highlight w:val="none"/>
          <w:lang w:val="en-US" w:eastAsia="zh-CN"/>
        </w:rPr>
        <w:t>202</w:t>
      </w:r>
      <w:r>
        <w:rPr>
          <w:rFonts w:hint="eastAsia" w:ascii="Times New Roman" w:hAnsi="Times New Roman" w:eastAsia="宋体" w:cs="仿宋"/>
          <w:color w:val="auto"/>
          <w:sz w:val="24"/>
          <w:szCs w:val="24"/>
          <w:highlight w:val="none"/>
          <w:lang w:val="en-US" w:eastAsia="zh-CN"/>
        </w:rPr>
        <w:t>4年遂宁市各中职学校坚持立德树人为根本任务，高度重视学生思想政治教育，组织学生认真学习习近平新时代中国特色社会主义思想，坚决拥护共产党的领导，组织形式多样的校园文化活动和鼓励中职学生各级各类比赛，将思想道德要求融入各类型文化活动，开齐、开足、开好思想政治课程，课堂中融入课程思政，帮助学生树立了正确的世界观、人生观、价值观。</w:t>
      </w:r>
    </w:p>
    <w:p>
      <w:pPr>
        <w:spacing w:line="560" w:lineRule="exact"/>
        <w:ind w:firstLine="562" w:firstLineChars="200"/>
        <w:outlineLvl w:val="2"/>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2</w:t>
      </w:r>
      <w:r>
        <w:rPr>
          <w:rFonts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3</w:t>
      </w:r>
      <w:r>
        <w:rPr>
          <w:rFonts w:ascii="Times New Roman" w:hAnsi="Times New Roman" w:eastAsia="宋体" w:cs="Times New Roman"/>
          <w:b/>
          <w:bCs/>
          <w:color w:val="auto"/>
          <w:sz w:val="28"/>
          <w:szCs w:val="28"/>
          <w:highlight w:val="none"/>
        </w:rPr>
        <w:t>.</w:t>
      </w:r>
      <w:r>
        <w:rPr>
          <w:rFonts w:hint="default" w:ascii="Times New Roman" w:hAnsi="Times New Roman" w:eastAsia="宋体" w:cs="Times New Roman"/>
          <w:b/>
          <w:bCs/>
          <w:color w:val="auto"/>
          <w:sz w:val="28"/>
          <w:szCs w:val="28"/>
          <w:highlight w:val="none"/>
        </w:rPr>
        <w:t>2</w:t>
      </w:r>
      <w:r>
        <w:rPr>
          <w:rFonts w:ascii="Times New Roman" w:hAnsi="Times New Roman" w:eastAsia="宋体" w:cs="Times New Roman"/>
          <w:b/>
          <w:bCs/>
          <w:color w:val="auto"/>
          <w:sz w:val="28"/>
          <w:szCs w:val="28"/>
          <w:highlight w:val="none"/>
        </w:rPr>
        <w:t xml:space="preserve"> 学生基本素质评价</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遂宁市各中等职业学校重视学生的素质教育，加强对学生体质、技能等多方面的培养和测评，使学生德、智、体、美、劳得到全面发展。学生基本素质评价见表7。</w:t>
      </w:r>
    </w:p>
    <w:p>
      <w:pPr>
        <w:pStyle w:val="8"/>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eastAsia" w:ascii="宋体" w:hAnsi="宋体" w:eastAsia="宋体" w:cs="宋体"/>
          <w:b/>
          <w:bCs/>
          <w:color w:val="auto"/>
          <w:sz w:val="21"/>
          <w:szCs w:val="21"/>
          <w:highlight w:val="none"/>
        </w:rPr>
      </w:pPr>
      <w:bookmarkStart w:id="170" w:name="_Toc17670"/>
      <w:r>
        <w:rPr>
          <w:rFonts w:hint="eastAsia" w:ascii="Times New Roman" w:hAnsi="Times New Roman" w:eastAsia="宋体" w:cs="宋体"/>
          <w:b/>
          <w:bCs/>
          <w:color w:val="auto"/>
          <w:sz w:val="21"/>
          <w:szCs w:val="21"/>
        </w:rPr>
        <w:t>表</w:t>
      </w:r>
      <w:r>
        <w:rPr>
          <w:rFonts w:hint="eastAsia" w:ascii="Times New Roman" w:hAnsi="Times New Roman" w:eastAsia="宋体" w:cs="宋体"/>
          <w:b/>
          <w:bCs/>
          <w:color w:val="auto"/>
          <w:sz w:val="21"/>
          <w:szCs w:val="21"/>
        </w:rPr>
        <w:fldChar w:fldCharType="begin"/>
      </w:r>
      <w:r>
        <w:rPr>
          <w:rFonts w:hint="eastAsia" w:ascii="Times New Roman" w:hAnsi="Times New Roman" w:eastAsia="宋体" w:cs="宋体"/>
          <w:b/>
          <w:bCs/>
          <w:color w:val="auto"/>
          <w:sz w:val="21"/>
          <w:szCs w:val="21"/>
        </w:rPr>
        <w:instrText xml:space="preserve"> SEQ 表 \* ARABIC </w:instrText>
      </w:r>
      <w:r>
        <w:rPr>
          <w:rFonts w:hint="eastAsia" w:ascii="Times New Roman" w:hAnsi="Times New Roman" w:eastAsia="宋体" w:cs="宋体"/>
          <w:b/>
          <w:bCs/>
          <w:color w:val="auto"/>
          <w:sz w:val="21"/>
          <w:szCs w:val="21"/>
        </w:rPr>
        <w:fldChar w:fldCharType="separate"/>
      </w:r>
      <w:r>
        <w:rPr>
          <w:rFonts w:hint="eastAsia" w:ascii="Times New Roman" w:hAnsi="Times New Roman" w:eastAsia="宋体" w:cs="宋体"/>
          <w:b/>
          <w:bCs/>
          <w:color w:val="auto"/>
          <w:sz w:val="21"/>
          <w:szCs w:val="21"/>
        </w:rPr>
        <w:t>7</w:t>
      </w:r>
      <w:r>
        <w:rPr>
          <w:rFonts w:hint="eastAsia" w:ascii="Times New Roman" w:hAnsi="Times New Roman" w:eastAsia="宋体" w:cs="宋体"/>
          <w:b/>
          <w:bCs/>
          <w:color w:val="auto"/>
          <w:sz w:val="21"/>
          <w:szCs w:val="21"/>
        </w:rPr>
        <w:fldChar w:fldCharType="end"/>
      </w:r>
      <w:bookmarkStart w:id="171" w:name="_Toc21868"/>
      <w:r>
        <w:rPr>
          <w:rFonts w:hint="eastAsia" w:ascii="Times New Roman" w:hAnsi="Times New Roman" w:eastAsia="宋体" w:cs="宋体"/>
          <w:b/>
          <w:bCs/>
          <w:color w:val="auto"/>
          <w:sz w:val="21"/>
          <w:szCs w:val="21"/>
          <w:lang w:val="en-US" w:eastAsia="zh-CN"/>
        </w:rPr>
        <w:t xml:space="preserve">  </w:t>
      </w:r>
      <w:r>
        <w:rPr>
          <w:rFonts w:hint="eastAsia" w:ascii="宋体" w:hAnsi="宋体" w:eastAsia="宋体" w:cs="宋体"/>
          <w:b/>
          <w:bCs/>
          <w:color w:val="auto"/>
          <w:sz w:val="21"/>
          <w:szCs w:val="21"/>
          <w:highlight w:val="none"/>
        </w:rPr>
        <w:t>学生基本素质评价指标</w:t>
      </w:r>
      <w:bookmarkEnd w:id="170"/>
      <w:bookmarkEnd w:id="171"/>
    </w:p>
    <w:tbl>
      <w:tblPr>
        <w:tblStyle w:val="80"/>
        <w:tblW w:w="4913" w:type="pct"/>
        <w:jc w:val="center"/>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Layout w:type="fixed"/>
        <w:tblCellMar>
          <w:top w:w="0" w:type="dxa"/>
          <w:left w:w="108" w:type="dxa"/>
          <w:bottom w:w="0" w:type="dxa"/>
          <w:right w:w="108" w:type="dxa"/>
        </w:tblCellMar>
      </w:tblPr>
      <w:tblGrid>
        <w:gridCol w:w="1886"/>
        <w:gridCol w:w="2149"/>
        <w:gridCol w:w="2185"/>
        <w:gridCol w:w="2154"/>
      </w:tblGrid>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499" w:hRule="atLeast"/>
          <w:jc w:val="center"/>
        </w:trPr>
        <w:tc>
          <w:tcPr>
            <w:tcW w:w="1886"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spacing w:line="360" w:lineRule="auto"/>
              <w:jc w:val="center"/>
              <w:rPr>
                <w:rFonts w:ascii="Times New Roman" w:hAnsi="Times New Roman" w:eastAsia="宋体" w:cs="宋体"/>
                <w:b/>
                <w:bCs/>
                <w:color w:val="000000"/>
                <w:sz w:val="18"/>
                <w:szCs w:val="18"/>
              </w:rPr>
            </w:pPr>
            <w:r>
              <w:rPr>
                <w:rFonts w:hint="eastAsia" w:ascii="Times New Roman" w:hAnsi="Times New Roman" w:eastAsia="宋体" w:cs="宋体"/>
                <w:b/>
                <w:bCs w:val="0"/>
                <w:color w:val="000000"/>
                <w:sz w:val="18"/>
                <w:szCs w:val="18"/>
              </w:rPr>
              <w:t>学年</w:t>
            </w:r>
          </w:p>
        </w:tc>
        <w:tc>
          <w:tcPr>
            <w:tcW w:w="2149"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pStyle w:val="25"/>
              <w:spacing w:line="360" w:lineRule="auto"/>
              <w:ind w:left="-4" w:leftChars="-13" w:hanging="23" w:hangingChars="13"/>
              <w:jc w:val="center"/>
              <w:rPr>
                <w:rFonts w:ascii="Times New Roman" w:hAnsi="Times New Roman"/>
                <w:b/>
                <w:bCs/>
                <w:color w:val="000000"/>
                <w:kern w:val="2"/>
                <w:sz w:val="18"/>
                <w:szCs w:val="18"/>
              </w:rPr>
            </w:pPr>
            <w:r>
              <w:rPr>
                <w:rFonts w:hint="eastAsia" w:ascii="Times New Roman" w:hAnsi="Times New Roman"/>
                <w:b/>
                <w:bCs w:val="0"/>
                <w:color w:val="000000"/>
                <w:kern w:val="2"/>
                <w:sz w:val="18"/>
                <w:szCs w:val="18"/>
              </w:rPr>
              <w:t>文化课合格率</w:t>
            </w:r>
          </w:p>
        </w:tc>
        <w:tc>
          <w:tcPr>
            <w:tcW w:w="2185"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pStyle w:val="25"/>
              <w:spacing w:line="360" w:lineRule="auto"/>
              <w:ind w:left="-4" w:leftChars="-13" w:hanging="23" w:hangingChars="13"/>
              <w:jc w:val="center"/>
              <w:rPr>
                <w:rFonts w:ascii="Times New Roman" w:hAnsi="Times New Roman"/>
                <w:b/>
                <w:bCs/>
                <w:color w:val="000000"/>
                <w:kern w:val="2"/>
                <w:sz w:val="18"/>
                <w:szCs w:val="18"/>
              </w:rPr>
            </w:pPr>
            <w:r>
              <w:rPr>
                <w:rFonts w:hint="eastAsia" w:ascii="Times New Roman" w:hAnsi="Times New Roman"/>
                <w:b/>
                <w:bCs w:val="0"/>
                <w:color w:val="000000"/>
                <w:kern w:val="2"/>
                <w:sz w:val="18"/>
                <w:szCs w:val="18"/>
              </w:rPr>
              <w:t>体质测评合格率</w:t>
            </w:r>
          </w:p>
        </w:tc>
        <w:tc>
          <w:tcPr>
            <w:tcW w:w="2154"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pStyle w:val="25"/>
              <w:spacing w:line="360" w:lineRule="auto"/>
              <w:ind w:firstLine="180" w:firstLineChars="100"/>
              <w:jc w:val="center"/>
              <w:rPr>
                <w:rFonts w:ascii="Times New Roman" w:hAnsi="Times New Roman"/>
                <w:b/>
                <w:bCs/>
                <w:color w:val="000000"/>
                <w:kern w:val="2"/>
                <w:sz w:val="18"/>
                <w:szCs w:val="18"/>
              </w:rPr>
            </w:pPr>
            <w:r>
              <w:rPr>
                <w:rFonts w:hint="eastAsia" w:ascii="Times New Roman" w:hAnsi="Times New Roman"/>
                <w:b/>
                <w:bCs w:val="0"/>
                <w:color w:val="000000"/>
                <w:kern w:val="2"/>
                <w:sz w:val="18"/>
                <w:szCs w:val="18"/>
              </w:rPr>
              <w:t>专业技能合格率</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499" w:hRule="atLeast"/>
          <w:jc w:val="center"/>
        </w:trPr>
        <w:tc>
          <w:tcPr>
            <w:tcW w:w="1886"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spacing w:line="360" w:lineRule="auto"/>
              <w:jc w:val="center"/>
              <w:rPr>
                <w:rFonts w:hint="eastAsia" w:ascii="Times New Roman" w:hAnsi="Times New Roman" w:eastAsia="宋体" w:cs="宋体"/>
                <w:b w:val="0"/>
                <w:bCs/>
                <w:color w:val="000000"/>
                <w:kern w:val="2"/>
                <w:sz w:val="18"/>
                <w:szCs w:val="18"/>
                <w:lang w:val="en-US" w:eastAsia="zh-CN" w:bidi="ar-SA"/>
              </w:rPr>
            </w:pPr>
            <w:r>
              <w:rPr>
                <w:rFonts w:ascii="Times New Roman" w:hAnsi="Times New Roman" w:eastAsia="宋体" w:cs="Times New Roman"/>
                <w:b w:val="0"/>
                <w:bCs w:val="0"/>
                <w:color w:val="000000"/>
                <w:sz w:val="18"/>
                <w:szCs w:val="18"/>
              </w:rPr>
              <w:t>202</w:t>
            </w:r>
            <w:r>
              <w:rPr>
                <w:rFonts w:hint="eastAsia" w:ascii="Times New Roman" w:hAnsi="Times New Roman" w:eastAsia="宋体" w:cs="Times New Roman"/>
                <w:b w:val="0"/>
                <w:bCs w:val="0"/>
                <w:color w:val="000000"/>
                <w:sz w:val="18"/>
                <w:szCs w:val="18"/>
                <w:lang w:val="en-US" w:eastAsia="zh-CN"/>
              </w:rPr>
              <w:t>2</w:t>
            </w:r>
            <w:r>
              <w:rPr>
                <w:rFonts w:hint="eastAsia" w:ascii="Times New Roman" w:hAnsi="Times New Roman" w:eastAsia="宋体" w:cs="宋体"/>
                <w:b w:val="0"/>
                <w:bCs w:val="0"/>
                <w:color w:val="000000"/>
                <w:sz w:val="18"/>
                <w:szCs w:val="18"/>
              </w:rPr>
              <w:t>-</w:t>
            </w:r>
            <w:r>
              <w:rPr>
                <w:rFonts w:ascii="Times New Roman" w:hAnsi="Times New Roman" w:eastAsia="宋体" w:cs="Times New Roman"/>
                <w:b w:val="0"/>
                <w:bCs w:val="0"/>
                <w:color w:val="000000"/>
                <w:sz w:val="18"/>
                <w:szCs w:val="18"/>
              </w:rPr>
              <w:t>202</w:t>
            </w:r>
            <w:r>
              <w:rPr>
                <w:rFonts w:hint="eastAsia" w:ascii="Times New Roman" w:hAnsi="Times New Roman" w:eastAsia="宋体" w:cs="Times New Roman"/>
                <w:b w:val="0"/>
                <w:bCs w:val="0"/>
                <w:color w:val="000000"/>
                <w:sz w:val="18"/>
                <w:szCs w:val="18"/>
                <w:lang w:val="en-US" w:eastAsia="zh-CN"/>
              </w:rPr>
              <w:t>3</w:t>
            </w:r>
          </w:p>
        </w:tc>
        <w:tc>
          <w:tcPr>
            <w:tcW w:w="2149"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pStyle w:val="25"/>
              <w:spacing w:line="360" w:lineRule="auto"/>
              <w:ind w:firstLine="7" w:firstLineChars="4"/>
              <w:jc w:val="center"/>
              <w:rPr>
                <w:rFonts w:hint="default" w:ascii="Times New Roman" w:hAnsi="Times New Roman" w:eastAsia="宋体" w:cs="宋体"/>
                <w:b w:val="0"/>
                <w:color w:val="000000"/>
                <w:kern w:val="0"/>
                <w:sz w:val="18"/>
                <w:szCs w:val="18"/>
                <w:lang w:val="en-US" w:eastAsia="zh-CN" w:bidi="ar-SA"/>
              </w:rPr>
            </w:pPr>
            <w:r>
              <w:rPr>
                <w:rFonts w:hint="eastAsia" w:ascii="Times New Roman" w:hAnsi="Times New Roman"/>
                <w:b w:val="0"/>
                <w:color w:val="000000"/>
                <w:sz w:val="18"/>
                <w:szCs w:val="18"/>
                <w:lang w:val="en-US" w:eastAsia="zh-CN"/>
              </w:rPr>
              <w:t>69.22</w:t>
            </w:r>
            <w:r>
              <w:rPr>
                <w:rFonts w:hint="eastAsia" w:ascii="Times New Roman" w:hAnsi="Times New Roman"/>
                <w:b w:val="0"/>
                <w:color w:val="000000"/>
                <w:sz w:val="18"/>
                <w:szCs w:val="18"/>
              </w:rPr>
              <w:t>%</w:t>
            </w:r>
          </w:p>
        </w:tc>
        <w:tc>
          <w:tcPr>
            <w:tcW w:w="2185"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pStyle w:val="25"/>
              <w:spacing w:line="360" w:lineRule="auto"/>
              <w:ind w:firstLine="7" w:firstLineChars="4"/>
              <w:jc w:val="center"/>
              <w:rPr>
                <w:rFonts w:ascii="Times New Roman" w:hAnsi="Times New Roman" w:eastAsia="宋体" w:cs="宋体"/>
                <w:b w:val="0"/>
                <w:color w:val="000000"/>
                <w:kern w:val="0"/>
                <w:sz w:val="18"/>
                <w:szCs w:val="18"/>
                <w:lang w:val="en-US" w:eastAsia="zh-CN" w:bidi="ar-SA"/>
              </w:rPr>
            </w:pPr>
            <w:r>
              <w:rPr>
                <w:rFonts w:ascii="Times New Roman" w:hAnsi="Times New Roman" w:cs="Times New Roman"/>
                <w:b w:val="0"/>
                <w:color w:val="000000"/>
                <w:sz w:val="18"/>
                <w:szCs w:val="18"/>
              </w:rPr>
              <w:t>99</w:t>
            </w:r>
            <w:r>
              <w:rPr>
                <w:rFonts w:hint="eastAsia" w:ascii="Times New Roman" w:hAnsi="Times New Roman"/>
                <w:b w:val="0"/>
                <w:color w:val="000000"/>
                <w:sz w:val="18"/>
                <w:szCs w:val="18"/>
              </w:rPr>
              <w:t>.</w:t>
            </w:r>
            <w:r>
              <w:rPr>
                <w:rFonts w:ascii="Times New Roman" w:hAnsi="Times New Roman" w:cs="Times New Roman"/>
                <w:b w:val="0"/>
                <w:color w:val="000000"/>
                <w:sz w:val="18"/>
                <w:szCs w:val="18"/>
              </w:rPr>
              <w:t>6</w:t>
            </w:r>
            <w:r>
              <w:rPr>
                <w:rFonts w:hint="eastAsia" w:ascii="Times New Roman" w:hAnsi="Times New Roman" w:cs="Times New Roman"/>
                <w:b w:val="0"/>
                <w:color w:val="000000"/>
                <w:sz w:val="18"/>
                <w:szCs w:val="18"/>
                <w:lang w:val="en-US" w:eastAsia="zh-CN"/>
              </w:rPr>
              <w:t>8</w:t>
            </w:r>
            <w:r>
              <w:rPr>
                <w:rFonts w:hint="eastAsia" w:ascii="Times New Roman" w:hAnsi="Times New Roman"/>
                <w:b w:val="0"/>
                <w:color w:val="000000"/>
                <w:sz w:val="18"/>
                <w:szCs w:val="18"/>
              </w:rPr>
              <w:t>%</w:t>
            </w:r>
          </w:p>
        </w:tc>
        <w:tc>
          <w:tcPr>
            <w:tcW w:w="2154"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spacing w:line="360" w:lineRule="auto"/>
              <w:jc w:val="center"/>
              <w:rPr>
                <w:rFonts w:ascii="Times New Roman" w:hAnsi="Times New Roman" w:eastAsia="宋体" w:cs="宋体"/>
                <w:b w:val="0"/>
                <w:color w:val="000000"/>
                <w:kern w:val="0"/>
                <w:sz w:val="18"/>
                <w:szCs w:val="18"/>
                <w:lang w:val="en-US" w:eastAsia="zh-CN" w:bidi="ar-SA"/>
              </w:rPr>
            </w:pPr>
            <w:r>
              <w:rPr>
                <w:rFonts w:ascii="Times New Roman" w:hAnsi="Times New Roman" w:eastAsia="宋体" w:cs="Times New Roman"/>
                <w:b w:val="0"/>
                <w:color w:val="000000"/>
                <w:kern w:val="0"/>
                <w:sz w:val="18"/>
                <w:szCs w:val="18"/>
              </w:rPr>
              <w:t>7</w:t>
            </w:r>
            <w:r>
              <w:rPr>
                <w:rFonts w:hint="eastAsia" w:ascii="Times New Roman" w:hAnsi="Times New Roman" w:eastAsia="宋体" w:cs="Times New Roman"/>
                <w:b w:val="0"/>
                <w:color w:val="000000"/>
                <w:kern w:val="0"/>
                <w:sz w:val="18"/>
                <w:szCs w:val="18"/>
                <w:lang w:val="en-US" w:eastAsia="zh-CN"/>
              </w:rPr>
              <w:t>5</w:t>
            </w:r>
            <w:r>
              <w:rPr>
                <w:rFonts w:hint="eastAsia" w:ascii="Times New Roman" w:hAnsi="Times New Roman" w:eastAsia="宋体" w:cs="宋体"/>
                <w:b w:val="0"/>
                <w:color w:val="000000"/>
                <w:kern w:val="0"/>
                <w:sz w:val="18"/>
                <w:szCs w:val="18"/>
              </w:rPr>
              <w:t>.</w:t>
            </w:r>
            <w:r>
              <w:rPr>
                <w:rFonts w:hint="eastAsia" w:ascii="Times New Roman" w:hAnsi="Times New Roman" w:eastAsia="宋体" w:cs="Times New Roman"/>
                <w:b w:val="0"/>
                <w:color w:val="000000"/>
                <w:kern w:val="0"/>
                <w:sz w:val="18"/>
                <w:szCs w:val="18"/>
                <w:lang w:val="en-US" w:eastAsia="zh-CN"/>
              </w:rPr>
              <w:t>32</w:t>
            </w:r>
            <w:r>
              <w:rPr>
                <w:rFonts w:hint="eastAsia" w:ascii="Times New Roman" w:hAnsi="Times New Roman" w:eastAsia="宋体" w:cs="宋体"/>
                <w:b w:val="0"/>
                <w:color w:val="000000"/>
                <w:kern w:val="0"/>
                <w:sz w:val="18"/>
                <w:szCs w:val="18"/>
              </w:rPr>
              <w:t>%</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499" w:hRule="atLeast"/>
          <w:jc w:val="center"/>
        </w:trPr>
        <w:tc>
          <w:tcPr>
            <w:tcW w:w="1886"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spacing w:line="360" w:lineRule="auto"/>
              <w:jc w:val="center"/>
              <w:rPr>
                <w:rFonts w:hint="default" w:ascii="Times New Roman" w:hAnsi="Times New Roman" w:eastAsia="宋体" w:cs="宋体"/>
                <w:b w:val="0"/>
                <w:bCs/>
                <w:color w:val="000000"/>
                <w:sz w:val="18"/>
                <w:szCs w:val="18"/>
                <w:lang w:val="en-US" w:eastAsia="zh-CN"/>
              </w:rPr>
            </w:pPr>
            <w:r>
              <w:rPr>
                <w:rFonts w:ascii="Times New Roman" w:hAnsi="Times New Roman" w:eastAsia="宋体" w:cs="Times New Roman"/>
                <w:b w:val="0"/>
                <w:bCs w:val="0"/>
                <w:color w:val="000000"/>
                <w:sz w:val="18"/>
                <w:szCs w:val="18"/>
              </w:rPr>
              <w:t>202</w:t>
            </w:r>
            <w:r>
              <w:rPr>
                <w:rFonts w:hint="eastAsia" w:ascii="Times New Roman" w:hAnsi="Times New Roman" w:eastAsia="宋体" w:cs="Times New Roman"/>
                <w:b w:val="0"/>
                <w:bCs w:val="0"/>
                <w:color w:val="000000"/>
                <w:sz w:val="18"/>
                <w:szCs w:val="18"/>
                <w:lang w:val="en-US" w:eastAsia="zh-CN"/>
              </w:rPr>
              <w:t>3</w:t>
            </w:r>
            <w:r>
              <w:rPr>
                <w:rFonts w:hint="eastAsia" w:ascii="Times New Roman" w:hAnsi="Times New Roman" w:eastAsia="宋体" w:cs="宋体"/>
                <w:b w:val="0"/>
                <w:bCs w:val="0"/>
                <w:color w:val="000000"/>
                <w:sz w:val="18"/>
                <w:szCs w:val="18"/>
              </w:rPr>
              <w:t>-</w:t>
            </w:r>
            <w:r>
              <w:rPr>
                <w:rFonts w:ascii="Times New Roman" w:hAnsi="Times New Roman" w:eastAsia="宋体" w:cs="Times New Roman"/>
                <w:b w:val="0"/>
                <w:bCs w:val="0"/>
                <w:color w:val="000000"/>
                <w:sz w:val="18"/>
                <w:szCs w:val="18"/>
              </w:rPr>
              <w:t>202</w:t>
            </w:r>
            <w:r>
              <w:rPr>
                <w:rFonts w:hint="eastAsia" w:ascii="Times New Roman" w:hAnsi="Times New Roman" w:eastAsia="宋体" w:cs="Times New Roman"/>
                <w:b w:val="0"/>
                <w:bCs w:val="0"/>
                <w:color w:val="000000"/>
                <w:sz w:val="18"/>
                <w:szCs w:val="18"/>
                <w:lang w:val="en-US" w:eastAsia="zh-CN"/>
              </w:rPr>
              <w:t>4</w:t>
            </w:r>
          </w:p>
        </w:tc>
        <w:tc>
          <w:tcPr>
            <w:tcW w:w="214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pStyle w:val="25"/>
              <w:spacing w:line="360" w:lineRule="auto"/>
              <w:ind w:firstLine="7" w:firstLineChars="4"/>
              <w:jc w:val="center"/>
              <w:rPr>
                <w:rFonts w:hint="default" w:ascii="Times New Roman" w:hAnsi="Times New Roman" w:eastAsia="宋体" w:cs="宋体"/>
                <w:b w:val="0"/>
                <w:color w:val="000000"/>
                <w:kern w:val="0"/>
                <w:sz w:val="18"/>
                <w:szCs w:val="18"/>
                <w:lang w:val="en-US" w:eastAsia="zh-CN" w:bidi="ar-SA"/>
              </w:rPr>
            </w:pPr>
            <w:r>
              <w:rPr>
                <w:rFonts w:hint="eastAsia" w:ascii="Times New Roman" w:hAnsi="Times New Roman"/>
                <w:b w:val="0"/>
                <w:color w:val="000000"/>
                <w:sz w:val="18"/>
                <w:szCs w:val="18"/>
                <w:lang w:val="en-US" w:eastAsia="zh-CN"/>
              </w:rPr>
              <w:t>70.16</w:t>
            </w:r>
            <w:r>
              <w:rPr>
                <w:rFonts w:hint="eastAsia" w:ascii="Times New Roman" w:hAnsi="Times New Roman"/>
                <w:b w:val="0"/>
                <w:color w:val="000000"/>
                <w:sz w:val="18"/>
                <w:szCs w:val="18"/>
              </w:rPr>
              <w:t>%</w:t>
            </w:r>
          </w:p>
        </w:tc>
        <w:tc>
          <w:tcPr>
            <w:tcW w:w="218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pStyle w:val="25"/>
              <w:spacing w:line="360" w:lineRule="auto"/>
              <w:ind w:firstLine="7" w:firstLineChars="4"/>
              <w:jc w:val="center"/>
              <w:rPr>
                <w:rFonts w:ascii="Times New Roman" w:hAnsi="Times New Roman" w:eastAsia="宋体" w:cs="宋体"/>
                <w:b w:val="0"/>
                <w:color w:val="000000"/>
                <w:kern w:val="0"/>
                <w:sz w:val="18"/>
                <w:szCs w:val="18"/>
                <w:lang w:val="en-US" w:eastAsia="zh-CN" w:bidi="ar-SA"/>
              </w:rPr>
            </w:pPr>
            <w:r>
              <w:rPr>
                <w:rFonts w:ascii="Times New Roman" w:hAnsi="Times New Roman" w:cs="Times New Roman"/>
                <w:b w:val="0"/>
                <w:color w:val="000000"/>
                <w:sz w:val="18"/>
                <w:szCs w:val="18"/>
              </w:rPr>
              <w:t>99</w:t>
            </w:r>
            <w:r>
              <w:rPr>
                <w:rFonts w:hint="eastAsia" w:ascii="Times New Roman" w:hAnsi="Times New Roman"/>
                <w:b w:val="0"/>
                <w:color w:val="000000"/>
                <w:sz w:val="18"/>
                <w:szCs w:val="18"/>
              </w:rPr>
              <w:t>.</w:t>
            </w:r>
            <w:r>
              <w:rPr>
                <w:rFonts w:hint="eastAsia" w:ascii="Times New Roman" w:hAnsi="Times New Roman" w:cs="Times New Roman"/>
                <w:b w:val="0"/>
                <w:color w:val="000000"/>
                <w:sz w:val="18"/>
                <w:szCs w:val="18"/>
                <w:lang w:val="en-US" w:eastAsia="zh-CN"/>
              </w:rPr>
              <w:t>71</w:t>
            </w:r>
            <w:r>
              <w:rPr>
                <w:rFonts w:hint="eastAsia" w:ascii="Times New Roman" w:hAnsi="Times New Roman"/>
                <w:b w:val="0"/>
                <w:color w:val="000000"/>
                <w:sz w:val="18"/>
                <w:szCs w:val="18"/>
              </w:rPr>
              <w:t>%</w:t>
            </w:r>
          </w:p>
        </w:tc>
        <w:tc>
          <w:tcPr>
            <w:tcW w:w="215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spacing w:line="360" w:lineRule="auto"/>
              <w:jc w:val="center"/>
              <w:rPr>
                <w:rFonts w:ascii="Times New Roman" w:hAnsi="Times New Roman" w:eastAsia="宋体" w:cs="宋体"/>
                <w:b w:val="0"/>
                <w:color w:val="000000"/>
                <w:kern w:val="0"/>
                <w:sz w:val="18"/>
                <w:szCs w:val="18"/>
                <w:lang w:val="en-US" w:eastAsia="zh-CN" w:bidi="ar-SA"/>
              </w:rPr>
            </w:pPr>
            <w:r>
              <w:rPr>
                <w:rFonts w:ascii="Times New Roman" w:hAnsi="Times New Roman" w:eastAsia="宋体" w:cs="Times New Roman"/>
                <w:b w:val="0"/>
                <w:color w:val="000000"/>
                <w:kern w:val="0"/>
                <w:sz w:val="18"/>
                <w:szCs w:val="18"/>
              </w:rPr>
              <w:t>7</w:t>
            </w:r>
            <w:r>
              <w:rPr>
                <w:rFonts w:hint="eastAsia" w:ascii="Times New Roman" w:hAnsi="Times New Roman" w:eastAsia="宋体" w:cs="Times New Roman"/>
                <w:b w:val="0"/>
                <w:color w:val="000000"/>
                <w:kern w:val="0"/>
                <w:sz w:val="18"/>
                <w:szCs w:val="18"/>
                <w:lang w:val="en-US" w:eastAsia="zh-CN"/>
              </w:rPr>
              <w:t>6</w:t>
            </w:r>
            <w:r>
              <w:rPr>
                <w:rFonts w:hint="eastAsia" w:ascii="Times New Roman" w:hAnsi="Times New Roman" w:eastAsia="宋体" w:cs="宋体"/>
                <w:b w:val="0"/>
                <w:color w:val="000000"/>
                <w:kern w:val="0"/>
                <w:sz w:val="18"/>
                <w:szCs w:val="18"/>
              </w:rPr>
              <w:t>.</w:t>
            </w:r>
            <w:r>
              <w:rPr>
                <w:rFonts w:hint="eastAsia" w:ascii="Times New Roman" w:hAnsi="Times New Roman" w:eastAsia="宋体" w:cs="Times New Roman"/>
                <w:b w:val="0"/>
                <w:color w:val="000000"/>
                <w:kern w:val="0"/>
                <w:sz w:val="18"/>
                <w:szCs w:val="18"/>
                <w:lang w:val="en-US" w:eastAsia="zh-CN"/>
              </w:rPr>
              <w:t>29</w:t>
            </w:r>
            <w:r>
              <w:rPr>
                <w:rFonts w:hint="eastAsia" w:ascii="Times New Roman" w:hAnsi="Times New Roman" w:eastAsia="宋体" w:cs="宋体"/>
                <w:b w:val="0"/>
                <w:color w:val="000000"/>
                <w:kern w:val="0"/>
                <w:sz w:val="18"/>
                <w:szCs w:val="18"/>
              </w:rPr>
              <w:t>%</w:t>
            </w:r>
          </w:p>
        </w:tc>
      </w:tr>
    </w:tbl>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9"/>
        <w:rPr>
          <w:rFonts w:hint="default" w:ascii="Times New Roman" w:hAnsi="Times New Roman" w:eastAsia="宋体" w:cs="Times New Roman"/>
          <w:b/>
          <w:bCs/>
          <w:color w:val="auto"/>
          <w:sz w:val="28"/>
          <w:szCs w:val="28"/>
          <w:highlight w:val="none"/>
        </w:rPr>
      </w:pPr>
      <w:bookmarkStart w:id="172" w:name="_Toc9327"/>
      <w:bookmarkStart w:id="173" w:name="_Toc30635"/>
      <w:bookmarkStart w:id="174" w:name="_Toc5680"/>
      <w:bookmarkStart w:id="175" w:name="_Toc23603"/>
    </w:p>
    <w:p>
      <w:pPr>
        <w:pStyle w:val="2"/>
        <w:keepNext w:val="0"/>
        <w:keepLines w:val="0"/>
        <w:pageBreakBefore w:val="0"/>
        <w:widowControl w:val="0"/>
        <w:kinsoku/>
        <w:wordWrap/>
        <w:overflowPunct/>
        <w:topLinePunct w:val="0"/>
        <w:autoSpaceDE/>
        <w:autoSpaceDN/>
        <w:bidi w:val="0"/>
        <w:adjustRightInd/>
        <w:snapToGrid/>
        <w:textAlignment w:val="auto"/>
        <w:outlineLvl w:val="9"/>
        <w:rPr>
          <w:rFonts w:hint="default"/>
        </w:rPr>
      </w:pPr>
    </w:p>
    <w:p>
      <w:pPr>
        <w:spacing w:line="560" w:lineRule="exact"/>
        <w:ind w:firstLine="562" w:firstLineChars="200"/>
        <w:outlineLvl w:val="2"/>
        <w:rPr>
          <w:rFonts w:hint="eastAsia"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2</w:t>
      </w:r>
      <w:r>
        <w:rPr>
          <w:rFonts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3</w:t>
      </w:r>
      <w:r>
        <w:rPr>
          <w:rFonts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3</w:t>
      </w:r>
      <w:r>
        <w:rPr>
          <w:rFonts w:ascii="Times New Roman" w:hAnsi="Times New Roman" w:eastAsia="宋体" w:cs="Times New Roman"/>
          <w:b/>
          <w:bCs/>
          <w:color w:val="auto"/>
          <w:sz w:val="28"/>
          <w:szCs w:val="28"/>
          <w:highlight w:val="none"/>
        </w:rPr>
        <w:t xml:space="preserve"> </w:t>
      </w:r>
      <w:r>
        <w:rPr>
          <w:rFonts w:hint="eastAsia" w:ascii="Times New Roman" w:hAnsi="Times New Roman" w:eastAsia="宋体" w:cs="Times New Roman"/>
          <w:b/>
          <w:bCs/>
          <w:color w:val="auto"/>
          <w:sz w:val="28"/>
          <w:szCs w:val="28"/>
          <w:highlight w:val="none"/>
        </w:rPr>
        <w:t>技能</w:t>
      </w:r>
      <w:bookmarkEnd w:id="172"/>
      <w:bookmarkEnd w:id="173"/>
      <w:bookmarkEnd w:id="174"/>
      <w:bookmarkEnd w:id="175"/>
      <w:r>
        <w:rPr>
          <w:rFonts w:hint="eastAsia" w:ascii="Times New Roman" w:hAnsi="Times New Roman" w:eastAsia="宋体" w:cs="Times New Roman"/>
          <w:b/>
          <w:bCs/>
          <w:color w:val="auto"/>
          <w:sz w:val="28"/>
          <w:szCs w:val="28"/>
          <w:highlight w:val="none"/>
          <w:lang w:val="en-US" w:eastAsia="zh-CN"/>
        </w:rPr>
        <w:t>成长</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遂宁市中等职业教育持续实施《高技能拔尖人才培养计划》，组织中职学生参加国、省、市技能比赛。一是出台技能大赛激励办法，印发《遂宁市建设区域职业教育中心十条激励措施的通知》。二是建立技能大赛选拔机制。每年举办遂宁市中等职业学校技能大赛，构建市县校三级大赛机制，梯队培养、层层选拔，为国赛、省赛培养贮备种子选手。三是搭建技能训练平台。推行“辅导教师负责制”，辅导教师对学生的技能进行合理安排、科学训练；聘请高校的专家到校指导；依托校外实训基地，将师生送至企业参加社会实践，在企业行业专家的指导下，接受新技术、新工艺，提升学生和指导教师的技能水平，达到以赛促教、以赛促学、以赛促改的目标。</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1"/>
        <w:gridCol w:w="42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51" w:type="dxa"/>
          </w:tcPr>
          <w:p>
            <w:pPr>
              <w:pStyle w:val="29"/>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vertAlign w:val="baseline"/>
              </w:rPr>
            </w:pPr>
            <w:r>
              <w:rPr>
                <w:rFonts w:hint="eastAsia" w:ascii="Times New Roman" w:hAnsi="Times New Roman"/>
                <w:sz w:val="28"/>
                <w:szCs w:val="28"/>
              </w:rPr>
              <w:drawing>
                <wp:inline distT="0" distB="0" distL="0" distR="0">
                  <wp:extent cx="2585720" cy="1757045"/>
                  <wp:effectExtent l="0" t="0" r="5080" b="8255"/>
                  <wp:docPr id="77" name="图片 8" descr="C:/Users/HUAWEI/Desktop/图片9.png图片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 name="图片 8" descr="C:/Users/HUAWEI/Desktop/图片9.png图片9"/>
                          <pic:cNvPicPr>
                            <a:picLocks noChangeAspect="true"/>
                          </pic:cNvPicPr>
                        </pic:nvPicPr>
                        <pic:blipFill>
                          <a:blip r:embed="rId25"/>
                          <a:srcRect t="6348" b="6348"/>
                          <a:stretch>
                            <a:fillRect/>
                          </a:stretch>
                        </pic:blipFill>
                        <pic:spPr>
                          <a:xfrm>
                            <a:off x="0" y="0"/>
                            <a:ext cx="2585720" cy="1757045"/>
                          </a:xfrm>
                          <a:prstGeom prst="rect">
                            <a:avLst/>
                          </a:prstGeom>
                        </pic:spPr>
                      </pic:pic>
                    </a:graphicData>
                  </a:graphic>
                </wp:inline>
              </w:drawing>
            </w:r>
          </w:p>
        </w:tc>
        <w:tc>
          <w:tcPr>
            <w:tcW w:w="4271" w:type="dxa"/>
          </w:tcPr>
          <w:p>
            <w:pPr>
              <w:pStyle w:val="29"/>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vertAlign w:val="baseline"/>
              </w:rPr>
            </w:pPr>
            <w:r>
              <w:rPr>
                <w:rFonts w:hint="eastAsia" w:ascii="Times New Roman" w:hAnsi="Times New Roman"/>
                <w:sz w:val="28"/>
                <w:szCs w:val="28"/>
              </w:rPr>
              <w:drawing>
                <wp:inline distT="0" distB="0" distL="0" distR="0">
                  <wp:extent cx="2603500" cy="1757045"/>
                  <wp:effectExtent l="0" t="0" r="0" b="8255"/>
                  <wp:docPr id="78" name="图片 0" descr="C:/Users/HUAWEI/Desktop/图片8.png图片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0" descr="C:/Users/HUAWEI/Desktop/图片8.png图片8"/>
                          <pic:cNvPicPr>
                            <a:picLocks noChangeAspect="true"/>
                          </pic:cNvPicPr>
                        </pic:nvPicPr>
                        <pic:blipFill>
                          <a:blip r:embed="rId26"/>
                          <a:srcRect t="2829" b="2829"/>
                          <a:stretch>
                            <a:fillRect/>
                          </a:stretch>
                        </pic:blipFill>
                        <pic:spPr>
                          <a:xfrm>
                            <a:off x="0" y="0"/>
                            <a:ext cx="2603500" cy="17570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vAlign w:val="center"/>
          </w:tcPr>
          <w:p>
            <w:pPr>
              <w:pStyle w:val="8"/>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rPr>
                <w:rFonts w:hint="default" w:ascii="Times New Roman" w:hAnsi="Times New Roman"/>
                <w:vertAlign w:val="baseline"/>
                <w:lang w:val="en-US"/>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8</w:t>
            </w:r>
            <w:r>
              <w:rPr>
                <w:rFonts w:hint="eastAsia" w:ascii="Times New Roman" w:hAnsi="Times New Roman" w:eastAsia="楷体" w:cs="楷体"/>
                <w:sz w:val="24"/>
                <w:szCs w:val="24"/>
              </w:rPr>
              <w:fldChar w:fldCharType="end"/>
            </w:r>
            <w:bookmarkStart w:id="176" w:name="_Toc11214"/>
            <w:r>
              <w:rPr>
                <w:rFonts w:hint="eastAsia" w:ascii="Times New Roman" w:hAnsi="Times New Roman" w:eastAsia="楷体" w:cs="楷体"/>
                <w:sz w:val="24"/>
                <w:szCs w:val="24"/>
                <w:lang w:eastAsia="zh-CN"/>
              </w:rPr>
              <w:t xml:space="preserve"> </w:t>
            </w:r>
            <w:r>
              <w:rPr>
                <w:rFonts w:hint="eastAsia" w:ascii="Times New Roman" w:hAnsi="Times New Roman" w:eastAsia="楷体" w:cs="楷体"/>
                <w:sz w:val="24"/>
                <w:szCs w:val="24"/>
                <w:lang w:val="en-US" w:eastAsia="zh-CN"/>
              </w:rPr>
              <w:t>遂宁市中职学生参加世界职业院校技能大赛照片</w:t>
            </w:r>
            <w:bookmarkEnd w:id="176"/>
          </w:p>
        </w:tc>
      </w:tr>
    </w:tbl>
    <w:p>
      <w:pPr>
        <w:keepNext w:val="0"/>
        <w:keepLines w:val="0"/>
        <w:pageBreakBefore w:val="0"/>
        <w:widowControl w:val="0"/>
        <w:kinsoku/>
        <w:wordWrap/>
        <w:overflowPunct/>
        <w:topLinePunct w:val="0"/>
        <w:autoSpaceDE/>
        <w:autoSpaceDN/>
        <w:bidi w:val="0"/>
        <w:adjustRightInd/>
        <w:snapToGrid/>
        <w:spacing w:after="95" w:afterLines="30" w:line="560" w:lineRule="exact"/>
        <w:ind w:firstLine="480" w:firstLineChars="200"/>
        <w:textAlignment w:val="auto"/>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四川省遂宁市安居职业高级中学校参加2024一带一路暨金砖国家技能发展与技术创新大赛——第三届工业产品数字孪生（虚拟装调）赛项决赛（中职组）荣获“三等奖”1项；遂宁市船山职业技术学校参加2024年一带一路暨金砖国家技能发展与技术创新大赛——第四届无人机飞行应用技术赛项决赛（中职组）荣获“三等奖”1项，“优秀奖”1项。遂宁市职业技术学校的“汽车车身修复与美容”、四川省安居职业高级中学校的“电子产品设计与应用”、遂宁市船山职业技术学校的“无人机”等三个赛项入围世界职业院校技能大赛。在2024年四川省职业院校“中银杯”技能大赛共12大类30个项目的比赛中，遂宁市获一等奖6个，二等奖28个，三等奖23个。</w:t>
      </w:r>
    </w:p>
    <w:p>
      <w:pPr>
        <w:spacing w:line="560" w:lineRule="exact"/>
        <w:ind w:firstLine="602" w:firstLineChars="200"/>
        <w:outlineLvl w:val="1"/>
        <w:rPr>
          <w:rFonts w:ascii="Times New Roman" w:hAnsi="Times New Roman" w:eastAsia="楷体" w:cs="Times New Roman"/>
          <w:b/>
          <w:bCs/>
          <w:color w:val="auto"/>
          <w:sz w:val="30"/>
          <w:szCs w:val="30"/>
          <w:highlight w:val="none"/>
        </w:rPr>
      </w:pPr>
      <w:bookmarkStart w:id="177" w:name="_Toc17422"/>
      <w:bookmarkStart w:id="178" w:name="_Toc1739"/>
      <w:bookmarkStart w:id="179" w:name="_Toc24707"/>
      <w:bookmarkStart w:id="180" w:name="_Toc19627"/>
      <w:bookmarkStart w:id="181" w:name="_Toc25031"/>
      <w:r>
        <w:rPr>
          <w:rFonts w:ascii="Times New Roman" w:hAnsi="Times New Roman" w:eastAsia="楷体" w:cs="Times New Roman"/>
          <w:b/>
          <w:bCs/>
          <w:color w:val="auto"/>
          <w:sz w:val="30"/>
          <w:szCs w:val="30"/>
          <w:highlight w:val="none"/>
        </w:rPr>
        <w:t>2</w:t>
      </w:r>
      <w:r>
        <w:rPr>
          <w:rFonts w:hint="eastAsia" w:ascii="Times New Roman" w:hAnsi="Times New Roman" w:eastAsia="楷体" w:cs="Times New Roman"/>
          <w:b/>
          <w:bCs/>
          <w:color w:val="auto"/>
          <w:sz w:val="30"/>
          <w:szCs w:val="30"/>
          <w:highlight w:val="none"/>
        </w:rPr>
        <w:t>.</w:t>
      </w:r>
      <w:r>
        <w:rPr>
          <w:rFonts w:hint="eastAsia" w:ascii="Times New Roman" w:hAnsi="Times New Roman" w:eastAsia="楷体" w:cs="Times New Roman"/>
          <w:b/>
          <w:bCs/>
          <w:color w:val="auto"/>
          <w:sz w:val="30"/>
          <w:szCs w:val="30"/>
          <w:highlight w:val="none"/>
          <w:lang w:val="en-US" w:eastAsia="zh-CN"/>
        </w:rPr>
        <w:t>4</w:t>
      </w:r>
      <w:r>
        <w:rPr>
          <w:rFonts w:hint="eastAsia" w:ascii="Times New Roman" w:hAnsi="Times New Roman" w:eastAsia="楷体" w:cs="Times New Roman"/>
          <w:b/>
          <w:bCs/>
          <w:color w:val="auto"/>
          <w:sz w:val="30"/>
          <w:szCs w:val="30"/>
          <w:highlight w:val="none"/>
        </w:rPr>
        <w:t xml:space="preserve"> 升学情况</w:t>
      </w:r>
      <w:bookmarkEnd w:id="177"/>
      <w:bookmarkEnd w:id="178"/>
      <w:bookmarkEnd w:id="179"/>
      <w:bookmarkEnd w:id="180"/>
      <w:bookmarkEnd w:id="181"/>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遂宁市中等职业教育2024届毕业生7004人，升学总人数为4069人，比2023年增加622人，升入本科人数为383人，比去年增加137人，增幅55.69%；升入专科人数为3686人，其中：通过贯通培养升学人数为654人；通过职教高考升学人数为3032人。遂宁市中等职业教育在保证整体就业率的基础上，升学学生总体数量有所增加，升学人数占毕业生总人数的一半以上，2024年达到58.10％。总体而言，升学规模稳中有升，学生发展渠道拓宽，升学情况统计见表8。</w:t>
      </w:r>
    </w:p>
    <w:p>
      <w:pPr>
        <w:pStyle w:val="8"/>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default" w:ascii="Times New Roman" w:hAnsi="Times New Roman" w:eastAsia="宋体" w:cs="宋体"/>
          <w:b/>
          <w:bCs/>
          <w:color w:val="auto"/>
          <w:sz w:val="21"/>
          <w:szCs w:val="21"/>
          <w:highlight w:val="none"/>
          <w:lang w:val="en-US" w:eastAsia="zh-CN"/>
        </w:rPr>
      </w:pPr>
      <w:bookmarkStart w:id="182" w:name="_Toc2"/>
      <w:r>
        <w:rPr>
          <w:rFonts w:hint="eastAsia" w:ascii="Times New Roman" w:hAnsi="Times New Roman" w:eastAsia="宋体" w:cs="宋体"/>
          <w:b/>
          <w:bCs/>
          <w:color w:val="auto"/>
          <w:sz w:val="21"/>
          <w:szCs w:val="21"/>
          <w:highlight w:val="none"/>
        </w:rPr>
        <w:t>表</w:t>
      </w:r>
      <w:r>
        <w:rPr>
          <w:rFonts w:hint="eastAsia" w:ascii="Times New Roman" w:hAnsi="Times New Roman" w:eastAsia="宋体" w:cs="宋体"/>
          <w:b/>
          <w:bCs/>
          <w:color w:val="auto"/>
          <w:sz w:val="21"/>
          <w:szCs w:val="21"/>
          <w:highlight w:val="none"/>
        </w:rPr>
        <w:fldChar w:fldCharType="begin"/>
      </w:r>
      <w:r>
        <w:rPr>
          <w:rFonts w:hint="eastAsia" w:ascii="Times New Roman" w:hAnsi="Times New Roman" w:eastAsia="宋体" w:cs="宋体"/>
          <w:b/>
          <w:bCs/>
          <w:color w:val="auto"/>
          <w:sz w:val="21"/>
          <w:szCs w:val="21"/>
          <w:highlight w:val="none"/>
        </w:rPr>
        <w:instrText xml:space="preserve"> SEQ 表 \* ARABIC </w:instrText>
      </w:r>
      <w:r>
        <w:rPr>
          <w:rFonts w:hint="eastAsia" w:ascii="Times New Roman" w:hAnsi="Times New Roman" w:eastAsia="宋体" w:cs="宋体"/>
          <w:b/>
          <w:bCs/>
          <w:color w:val="auto"/>
          <w:sz w:val="21"/>
          <w:szCs w:val="21"/>
          <w:highlight w:val="none"/>
        </w:rPr>
        <w:fldChar w:fldCharType="separate"/>
      </w:r>
      <w:r>
        <w:rPr>
          <w:rFonts w:hint="eastAsia" w:ascii="Times New Roman" w:hAnsi="Times New Roman" w:eastAsia="宋体" w:cs="宋体"/>
          <w:b/>
          <w:bCs/>
          <w:color w:val="auto"/>
          <w:sz w:val="21"/>
          <w:szCs w:val="21"/>
          <w:highlight w:val="none"/>
        </w:rPr>
        <w:t>8</w:t>
      </w:r>
      <w:r>
        <w:rPr>
          <w:rFonts w:hint="eastAsia" w:ascii="Times New Roman" w:hAnsi="Times New Roman" w:eastAsia="宋体" w:cs="宋体"/>
          <w:b/>
          <w:bCs/>
          <w:color w:val="auto"/>
          <w:sz w:val="21"/>
          <w:szCs w:val="21"/>
          <w:highlight w:val="none"/>
        </w:rPr>
        <w:fldChar w:fldCharType="end"/>
      </w:r>
      <w:bookmarkStart w:id="183" w:name="_Toc25272"/>
      <w:r>
        <w:rPr>
          <w:rFonts w:hint="eastAsia" w:ascii="Times New Roman" w:hAnsi="Times New Roman" w:eastAsia="宋体" w:cs="宋体"/>
          <w:b/>
          <w:bCs/>
          <w:color w:val="auto"/>
          <w:sz w:val="21"/>
          <w:szCs w:val="21"/>
          <w:highlight w:val="none"/>
          <w:lang w:val="en-US" w:eastAsia="zh-CN"/>
        </w:rPr>
        <w:t xml:space="preserve">  </w:t>
      </w:r>
      <w:r>
        <w:rPr>
          <w:rFonts w:hint="eastAsia" w:ascii="Times New Roman" w:hAnsi="Times New Roman" w:eastAsia="宋体" w:cs="宋体"/>
          <w:b/>
          <w:bCs/>
          <w:color w:val="auto"/>
          <w:sz w:val="21"/>
          <w:szCs w:val="21"/>
          <w:highlight w:val="none"/>
        </w:rPr>
        <w:t>近两年遂宁市中等职业学校毕业生升学情况统计表</w:t>
      </w:r>
      <w:bookmarkEnd w:id="182"/>
      <w:bookmarkEnd w:id="183"/>
    </w:p>
    <w:tbl>
      <w:tblPr>
        <w:tblStyle w:val="31"/>
        <w:tblW w:w="4859" w:type="pct"/>
        <w:jc w:val="center"/>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Layout w:type="autofit"/>
        <w:tblCellMar>
          <w:top w:w="0" w:type="dxa"/>
          <w:left w:w="108" w:type="dxa"/>
          <w:bottom w:w="0" w:type="dxa"/>
          <w:right w:w="108" w:type="dxa"/>
        </w:tblCellMar>
      </w:tblPr>
      <w:tblGrid>
        <w:gridCol w:w="2309"/>
        <w:gridCol w:w="1494"/>
        <w:gridCol w:w="1494"/>
        <w:gridCol w:w="1494"/>
        <w:gridCol w:w="1491"/>
      </w:tblGrid>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tblHeader/>
          <w:jc w:val="center"/>
        </w:trPr>
        <w:tc>
          <w:tcPr>
            <w:tcW w:w="1321" w:type="pct"/>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color w:val="000000"/>
                <w:kern w:val="0"/>
                <w:sz w:val="18"/>
                <w:szCs w:val="18"/>
                <w:lang w:val="en-US" w:eastAsia="zh-CN"/>
              </w:rPr>
            </w:pPr>
            <w:bookmarkStart w:id="184" w:name="OLE_LINK1"/>
            <w:r>
              <w:rPr>
                <w:rFonts w:hint="eastAsia" w:ascii="宋体" w:hAnsi="宋体" w:eastAsia="宋体" w:cs="宋体"/>
                <w:b/>
                <w:color w:val="000000"/>
                <w:kern w:val="0"/>
                <w:sz w:val="18"/>
                <w:szCs w:val="18"/>
                <w:lang w:val="en-US" w:eastAsia="zh-CN"/>
              </w:rPr>
              <w:t>学年</w:t>
            </w:r>
          </w:p>
        </w:tc>
        <w:tc>
          <w:tcPr>
            <w:tcW w:w="855" w:type="pct"/>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b/>
                <w:color w:val="000000"/>
                <w:kern w:val="0"/>
                <w:sz w:val="18"/>
                <w:szCs w:val="18"/>
              </w:rPr>
            </w:pPr>
            <w:r>
              <w:rPr>
                <w:rFonts w:hint="eastAsia" w:ascii="宋体" w:hAnsi="宋体" w:eastAsia="宋体" w:cs="宋体"/>
                <w:b/>
                <w:color w:val="000000"/>
                <w:kern w:val="0"/>
                <w:sz w:val="18"/>
                <w:szCs w:val="18"/>
              </w:rPr>
              <w:t>毕业生总人数</w:t>
            </w:r>
          </w:p>
        </w:tc>
        <w:tc>
          <w:tcPr>
            <w:tcW w:w="855" w:type="pct"/>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b/>
                <w:color w:val="000000"/>
                <w:kern w:val="0"/>
                <w:sz w:val="18"/>
                <w:szCs w:val="18"/>
              </w:rPr>
            </w:pPr>
            <w:r>
              <w:rPr>
                <w:rFonts w:hint="eastAsia" w:ascii="宋体" w:hAnsi="宋体" w:eastAsia="宋体" w:cs="宋体"/>
                <w:b/>
                <w:color w:val="000000"/>
                <w:kern w:val="0"/>
                <w:sz w:val="18"/>
                <w:szCs w:val="18"/>
              </w:rPr>
              <w:t>升学总人数</w:t>
            </w:r>
          </w:p>
        </w:tc>
        <w:tc>
          <w:tcPr>
            <w:tcW w:w="855" w:type="pct"/>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b/>
                <w:color w:val="000000"/>
                <w:kern w:val="0"/>
                <w:sz w:val="18"/>
                <w:szCs w:val="18"/>
              </w:rPr>
            </w:pPr>
            <w:r>
              <w:rPr>
                <w:rFonts w:hint="eastAsia" w:ascii="宋体" w:hAnsi="宋体" w:eastAsia="宋体" w:cs="宋体"/>
                <w:b/>
                <w:color w:val="000000"/>
                <w:kern w:val="0"/>
                <w:sz w:val="18"/>
                <w:szCs w:val="18"/>
              </w:rPr>
              <w:t>升学率</w:t>
            </w:r>
          </w:p>
        </w:tc>
        <w:tc>
          <w:tcPr>
            <w:tcW w:w="853" w:type="pct"/>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b/>
                <w:color w:val="000000"/>
                <w:kern w:val="0"/>
                <w:sz w:val="18"/>
                <w:szCs w:val="18"/>
                <w:lang w:val="en-US" w:eastAsia="zh-CN"/>
              </w:rPr>
            </w:pPr>
            <w:r>
              <w:rPr>
                <w:rFonts w:hint="eastAsia" w:ascii="宋体" w:hAnsi="宋体" w:eastAsia="宋体" w:cs="宋体"/>
                <w:b/>
                <w:color w:val="000000"/>
                <w:kern w:val="0"/>
                <w:sz w:val="18"/>
                <w:szCs w:val="18"/>
                <w:lang w:val="en-US" w:eastAsia="zh-CN"/>
              </w:rPr>
              <w:t>升入本科人数</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tblHeader/>
          <w:jc w:val="center"/>
        </w:trPr>
        <w:tc>
          <w:tcPr>
            <w:tcW w:w="1321" w:type="pct"/>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b w:val="0"/>
                <w:color w:val="000000"/>
                <w:kern w:val="2"/>
                <w:sz w:val="18"/>
                <w:szCs w:val="18"/>
                <w:lang w:val="en-US" w:eastAsia="zh-CN" w:bidi="ar-SA"/>
              </w:rPr>
            </w:pPr>
            <w:r>
              <w:rPr>
                <w:rFonts w:ascii="Times New Roman" w:hAnsi="Times New Roman" w:eastAsia="宋体" w:cs="Times New Roman"/>
                <w:b w:val="0"/>
                <w:color w:val="000000"/>
                <w:sz w:val="18"/>
                <w:szCs w:val="18"/>
              </w:rPr>
              <w:t>202</w:t>
            </w:r>
            <w:r>
              <w:rPr>
                <w:rFonts w:hint="eastAsia" w:ascii="Times New Roman" w:hAnsi="Times New Roman" w:eastAsia="宋体" w:cs="Times New Roman"/>
                <w:b w:val="0"/>
                <w:color w:val="000000"/>
                <w:sz w:val="18"/>
                <w:szCs w:val="18"/>
                <w:lang w:val="en-US" w:eastAsia="zh-CN"/>
              </w:rPr>
              <w:t>2</w:t>
            </w:r>
            <w:r>
              <w:rPr>
                <w:rFonts w:hint="eastAsia" w:ascii="宋体" w:hAnsi="宋体" w:eastAsia="宋体" w:cs="宋体"/>
                <w:b w:val="0"/>
                <w:color w:val="000000"/>
                <w:sz w:val="18"/>
                <w:szCs w:val="18"/>
              </w:rPr>
              <w:t>-</w:t>
            </w:r>
            <w:r>
              <w:rPr>
                <w:rFonts w:ascii="Times New Roman" w:hAnsi="Times New Roman" w:eastAsia="宋体" w:cs="Times New Roman"/>
                <w:b w:val="0"/>
                <w:color w:val="000000"/>
                <w:sz w:val="18"/>
                <w:szCs w:val="18"/>
              </w:rPr>
              <w:t>202</w:t>
            </w:r>
            <w:r>
              <w:rPr>
                <w:rFonts w:hint="eastAsia" w:ascii="Times New Roman" w:hAnsi="Times New Roman" w:eastAsia="宋体" w:cs="Times New Roman"/>
                <w:b w:val="0"/>
                <w:color w:val="000000"/>
                <w:sz w:val="18"/>
                <w:szCs w:val="18"/>
                <w:lang w:val="en-US" w:eastAsia="zh-CN"/>
              </w:rPr>
              <w:t>3</w:t>
            </w:r>
            <w:r>
              <w:rPr>
                <w:rFonts w:hint="eastAsia" w:ascii="宋体" w:hAnsi="宋体" w:eastAsia="宋体" w:cs="宋体"/>
                <w:b w:val="0"/>
                <w:color w:val="000000"/>
                <w:sz w:val="18"/>
                <w:szCs w:val="18"/>
              </w:rPr>
              <w:t>学年</w:t>
            </w:r>
          </w:p>
        </w:tc>
        <w:tc>
          <w:tcPr>
            <w:tcW w:w="855" w:type="pct"/>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b w:val="0"/>
                <w:color w:val="000000"/>
                <w:kern w:val="2"/>
                <w:sz w:val="18"/>
                <w:szCs w:val="18"/>
                <w:lang w:val="en-US" w:eastAsia="zh-CN" w:bidi="ar-SA"/>
              </w:rPr>
            </w:pPr>
            <w:r>
              <w:rPr>
                <w:rFonts w:hint="eastAsia" w:ascii="Times New Roman" w:hAnsi="Times New Roman" w:eastAsia="宋体" w:cs="Times New Roman"/>
                <w:b w:val="0"/>
                <w:color w:val="000000"/>
                <w:sz w:val="18"/>
                <w:szCs w:val="18"/>
                <w:lang w:val="en-US" w:eastAsia="zh-CN"/>
              </w:rPr>
              <w:t>6918</w:t>
            </w:r>
          </w:p>
        </w:tc>
        <w:tc>
          <w:tcPr>
            <w:tcW w:w="855" w:type="pct"/>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eastAsia="宋体" w:cs="Times New Roman"/>
                <w:b w:val="0"/>
                <w:color w:val="000000"/>
                <w:kern w:val="2"/>
                <w:sz w:val="18"/>
                <w:szCs w:val="18"/>
                <w:lang w:val="en-US" w:eastAsia="zh-CN" w:bidi="ar-SA"/>
              </w:rPr>
            </w:pPr>
            <w:r>
              <w:rPr>
                <w:rFonts w:hint="eastAsia" w:ascii="Times New Roman" w:hAnsi="Times New Roman" w:eastAsia="宋体" w:cs="Times New Roman"/>
                <w:b w:val="0"/>
                <w:color w:val="000000"/>
                <w:sz w:val="18"/>
                <w:szCs w:val="18"/>
                <w:lang w:val="en-US" w:eastAsia="zh-CN"/>
              </w:rPr>
              <w:t>3447</w:t>
            </w:r>
          </w:p>
        </w:tc>
        <w:tc>
          <w:tcPr>
            <w:tcW w:w="855" w:type="pct"/>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color w:val="000000"/>
                <w:kern w:val="2"/>
                <w:sz w:val="18"/>
                <w:szCs w:val="18"/>
                <w:lang w:val="en-US" w:eastAsia="zh-CN" w:bidi="ar-SA"/>
              </w:rPr>
            </w:pPr>
            <w:r>
              <w:rPr>
                <w:rFonts w:hint="eastAsia" w:ascii="Times New Roman" w:hAnsi="Times New Roman" w:eastAsia="宋体" w:cs="Times New Roman"/>
                <w:b w:val="0"/>
                <w:color w:val="000000"/>
                <w:sz w:val="18"/>
                <w:szCs w:val="18"/>
                <w:lang w:val="en-US" w:eastAsia="zh-CN"/>
              </w:rPr>
              <w:t>49.83%</w:t>
            </w:r>
          </w:p>
        </w:tc>
        <w:tc>
          <w:tcPr>
            <w:tcW w:w="853" w:type="pct"/>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246</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tblHeader/>
          <w:jc w:val="center"/>
        </w:trPr>
        <w:tc>
          <w:tcPr>
            <w:tcW w:w="1321" w:type="pct"/>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宋体" w:hAnsi="宋体" w:eastAsia="宋体" w:cs="宋体"/>
                <w:b w:val="0"/>
                <w:color w:val="000000"/>
                <w:sz w:val="18"/>
                <w:szCs w:val="18"/>
              </w:rPr>
            </w:pPr>
            <w:r>
              <w:rPr>
                <w:rFonts w:ascii="Times New Roman" w:hAnsi="Times New Roman" w:eastAsia="宋体" w:cs="Times New Roman"/>
                <w:b w:val="0"/>
                <w:color w:val="000000"/>
                <w:sz w:val="18"/>
                <w:szCs w:val="18"/>
              </w:rPr>
              <w:t>202</w:t>
            </w:r>
            <w:r>
              <w:rPr>
                <w:rFonts w:hint="eastAsia" w:ascii="Times New Roman" w:hAnsi="Times New Roman" w:eastAsia="宋体" w:cs="Times New Roman"/>
                <w:b w:val="0"/>
                <w:color w:val="000000"/>
                <w:sz w:val="18"/>
                <w:szCs w:val="18"/>
                <w:lang w:val="en-US" w:eastAsia="zh-CN"/>
              </w:rPr>
              <w:t>3</w:t>
            </w:r>
            <w:r>
              <w:rPr>
                <w:rFonts w:hint="eastAsia" w:ascii="宋体" w:hAnsi="宋体" w:eastAsia="宋体" w:cs="宋体"/>
                <w:b w:val="0"/>
                <w:color w:val="000000"/>
                <w:sz w:val="18"/>
                <w:szCs w:val="18"/>
              </w:rPr>
              <w:t>-</w:t>
            </w:r>
            <w:r>
              <w:rPr>
                <w:rFonts w:ascii="Times New Roman" w:hAnsi="Times New Roman" w:eastAsia="宋体" w:cs="Times New Roman"/>
                <w:b w:val="0"/>
                <w:color w:val="000000"/>
                <w:sz w:val="18"/>
                <w:szCs w:val="18"/>
              </w:rPr>
              <w:t>202</w:t>
            </w:r>
            <w:r>
              <w:rPr>
                <w:rFonts w:hint="eastAsia" w:ascii="Times New Roman" w:hAnsi="Times New Roman" w:eastAsia="宋体" w:cs="Times New Roman"/>
                <w:b w:val="0"/>
                <w:color w:val="000000"/>
                <w:sz w:val="18"/>
                <w:szCs w:val="18"/>
                <w:lang w:val="en-US" w:eastAsia="zh-CN"/>
              </w:rPr>
              <w:t>4</w:t>
            </w:r>
            <w:r>
              <w:rPr>
                <w:rFonts w:hint="eastAsia" w:ascii="宋体" w:hAnsi="宋体" w:eastAsia="宋体" w:cs="宋体"/>
                <w:b w:val="0"/>
                <w:color w:val="000000"/>
                <w:sz w:val="18"/>
                <w:szCs w:val="18"/>
              </w:rPr>
              <w:t>学年</w:t>
            </w:r>
          </w:p>
        </w:tc>
        <w:tc>
          <w:tcPr>
            <w:tcW w:w="855" w:type="pct"/>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7004</w:t>
            </w:r>
          </w:p>
        </w:tc>
        <w:tc>
          <w:tcPr>
            <w:tcW w:w="855" w:type="pct"/>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4069</w:t>
            </w:r>
          </w:p>
        </w:tc>
        <w:tc>
          <w:tcPr>
            <w:tcW w:w="855" w:type="pct"/>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58.10%</w:t>
            </w:r>
          </w:p>
        </w:tc>
        <w:tc>
          <w:tcPr>
            <w:tcW w:w="853" w:type="pct"/>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383</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tblHeader/>
          <w:jc w:val="center"/>
        </w:trPr>
        <w:tc>
          <w:tcPr>
            <w:tcW w:w="1321" w:type="pct"/>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color w:val="000000"/>
                <w:sz w:val="18"/>
                <w:szCs w:val="18"/>
                <w:lang w:val="en-US" w:eastAsia="zh-CN"/>
              </w:rPr>
            </w:pPr>
            <w:r>
              <w:rPr>
                <w:rFonts w:hint="eastAsia" w:ascii="宋体" w:hAnsi="宋体" w:eastAsia="宋体" w:cs="宋体"/>
                <w:b w:val="0"/>
                <w:color w:val="000000"/>
                <w:sz w:val="18"/>
                <w:szCs w:val="18"/>
              </w:rPr>
              <w:t>变化</w:t>
            </w:r>
            <w:r>
              <w:rPr>
                <w:rFonts w:hint="eastAsia" w:ascii="宋体" w:hAnsi="宋体" w:eastAsia="宋体" w:cs="宋体"/>
                <w:b w:val="0"/>
                <w:color w:val="000000"/>
                <w:sz w:val="18"/>
                <w:szCs w:val="18"/>
                <w:lang w:val="en-US" w:eastAsia="zh-CN"/>
              </w:rPr>
              <w:t>量</w:t>
            </w:r>
          </w:p>
        </w:tc>
        <w:tc>
          <w:tcPr>
            <w:tcW w:w="855" w:type="pct"/>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+86</w:t>
            </w:r>
          </w:p>
        </w:tc>
        <w:tc>
          <w:tcPr>
            <w:tcW w:w="855" w:type="pct"/>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+622</w:t>
            </w:r>
          </w:p>
        </w:tc>
        <w:tc>
          <w:tcPr>
            <w:tcW w:w="855" w:type="pct"/>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+8.27%</w:t>
            </w:r>
          </w:p>
        </w:tc>
        <w:tc>
          <w:tcPr>
            <w:tcW w:w="853" w:type="pct"/>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+137</w:t>
            </w:r>
          </w:p>
        </w:tc>
      </w:tr>
      <w:bookmarkEnd w:id="184"/>
    </w:tbl>
    <w:p>
      <w:pPr>
        <w:pStyle w:val="2"/>
        <w:keepNext w:val="0"/>
        <w:keepLines w:val="0"/>
        <w:pageBreakBefore w:val="0"/>
        <w:widowControl w:val="0"/>
        <w:kinsoku/>
        <w:wordWrap/>
        <w:overflowPunct/>
        <w:topLinePunct w:val="0"/>
        <w:autoSpaceDE/>
        <w:autoSpaceDN/>
        <w:bidi w:val="0"/>
        <w:adjustRightInd/>
        <w:snapToGrid/>
        <w:spacing w:after="0"/>
        <w:textAlignment w:val="auto"/>
      </w:pPr>
      <w:bookmarkStart w:id="185" w:name="_Toc18137"/>
      <w:bookmarkStart w:id="186" w:name="_Toc27554"/>
      <w:bookmarkStart w:id="187" w:name="_Toc10550"/>
      <w:bookmarkStart w:id="188" w:name="_Toc61254053"/>
      <w:bookmarkStart w:id="189" w:name="_Toc91576137"/>
      <w:bookmarkStart w:id="190" w:name="_Toc6988"/>
    </w:p>
    <w:bookmarkEnd w:id="185"/>
    <w:bookmarkEnd w:id="186"/>
    <w:bookmarkEnd w:id="187"/>
    <w:bookmarkEnd w:id="188"/>
    <w:bookmarkEnd w:id="189"/>
    <w:bookmarkEnd w:id="190"/>
    <w:p>
      <w:pPr>
        <w:spacing w:line="560" w:lineRule="exact"/>
        <w:ind w:firstLine="602" w:firstLineChars="200"/>
        <w:outlineLvl w:val="1"/>
        <w:rPr>
          <w:rFonts w:hint="eastAsia" w:ascii="Times New Roman" w:hAnsi="Times New Roman" w:eastAsia="楷体" w:cs="Times New Roman"/>
          <w:b/>
          <w:bCs/>
          <w:color w:val="auto"/>
          <w:sz w:val="30"/>
          <w:szCs w:val="30"/>
          <w:highlight w:val="none"/>
          <w:lang w:val="en-US" w:eastAsia="zh-CN"/>
        </w:rPr>
      </w:pPr>
      <w:bookmarkStart w:id="191" w:name="_Toc772"/>
      <w:bookmarkStart w:id="192" w:name="_Toc61254046"/>
      <w:bookmarkStart w:id="193" w:name="_Toc13036"/>
      <w:bookmarkStart w:id="194" w:name="_Toc32595"/>
      <w:bookmarkStart w:id="195" w:name="_Toc9280"/>
      <w:bookmarkStart w:id="196" w:name="_Toc31715"/>
      <w:bookmarkStart w:id="197" w:name="_Toc2028"/>
      <w:bookmarkStart w:id="198" w:name="_Toc91576133"/>
      <w:bookmarkStart w:id="199" w:name="_Toc6300"/>
      <w:bookmarkStart w:id="200" w:name="_Toc5946"/>
      <w:bookmarkStart w:id="201" w:name="_Toc31899"/>
      <w:bookmarkStart w:id="202" w:name="_Toc8919"/>
      <w:bookmarkStart w:id="203" w:name="_Toc25474"/>
      <w:r>
        <w:rPr>
          <w:rFonts w:ascii="Times New Roman" w:hAnsi="Times New Roman" w:eastAsia="楷体" w:cs="Times New Roman"/>
          <w:b/>
          <w:bCs/>
          <w:color w:val="auto"/>
          <w:sz w:val="30"/>
          <w:szCs w:val="30"/>
          <w:highlight w:val="none"/>
        </w:rPr>
        <w:t>2</w:t>
      </w:r>
      <w:r>
        <w:rPr>
          <w:rFonts w:hint="eastAsia" w:ascii="Times New Roman" w:hAnsi="Times New Roman" w:eastAsia="楷体" w:cs="Times New Roman"/>
          <w:b/>
          <w:bCs/>
          <w:color w:val="auto"/>
          <w:sz w:val="30"/>
          <w:szCs w:val="30"/>
          <w:highlight w:val="none"/>
        </w:rPr>
        <w:t>.</w:t>
      </w:r>
      <w:r>
        <w:rPr>
          <w:rFonts w:hint="eastAsia" w:ascii="Times New Roman" w:hAnsi="Times New Roman" w:eastAsia="楷体" w:cs="Times New Roman"/>
          <w:b/>
          <w:bCs/>
          <w:color w:val="auto"/>
          <w:sz w:val="30"/>
          <w:szCs w:val="30"/>
          <w:highlight w:val="none"/>
          <w:lang w:val="en-US" w:eastAsia="zh-CN"/>
        </w:rPr>
        <w:t>5</w:t>
      </w:r>
      <w:r>
        <w:rPr>
          <w:rFonts w:hint="eastAsia" w:ascii="Times New Roman" w:hAnsi="Times New Roman" w:eastAsia="楷体" w:cs="Times New Roman"/>
          <w:b/>
          <w:bCs/>
          <w:color w:val="auto"/>
          <w:sz w:val="30"/>
          <w:szCs w:val="30"/>
          <w:highlight w:val="none"/>
        </w:rPr>
        <w:t xml:space="preserve"> 就业</w:t>
      </w:r>
      <w:r>
        <w:rPr>
          <w:rFonts w:hint="eastAsia" w:ascii="Times New Roman" w:hAnsi="Times New Roman" w:eastAsia="楷体" w:cs="Times New Roman"/>
          <w:b/>
          <w:bCs/>
          <w:color w:val="auto"/>
          <w:sz w:val="30"/>
          <w:szCs w:val="30"/>
          <w:highlight w:val="none"/>
          <w:lang w:val="en-US" w:eastAsia="zh-CN"/>
        </w:rPr>
        <w:t>创业</w:t>
      </w:r>
      <w:bookmarkEnd w:id="191"/>
    </w:p>
    <w:p>
      <w:pPr>
        <w:spacing w:line="560" w:lineRule="exact"/>
        <w:ind w:firstLine="562" w:firstLineChars="200"/>
        <w:outlineLvl w:val="2"/>
        <w:rPr>
          <w:rFonts w:ascii="Times New Roman" w:hAnsi="Times New Roman" w:eastAsia="宋体" w:cs="Times New Roman"/>
          <w:b/>
          <w:bCs/>
          <w:color w:val="auto"/>
          <w:sz w:val="28"/>
          <w:szCs w:val="28"/>
          <w:highlight w:val="none"/>
        </w:rPr>
      </w:pPr>
      <w:bookmarkStart w:id="204" w:name="_Toc6892"/>
      <w:bookmarkStart w:id="205" w:name="_Toc91576132"/>
      <w:bookmarkStart w:id="206" w:name="_Toc21145"/>
      <w:bookmarkStart w:id="207" w:name="_Toc16173"/>
      <w:bookmarkStart w:id="208" w:name="_Toc30558"/>
      <w:r>
        <w:rPr>
          <w:rFonts w:ascii="Times New Roman" w:hAnsi="Times New Roman" w:eastAsia="宋体" w:cs="Times New Roman"/>
          <w:b/>
          <w:bCs/>
          <w:color w:val="auto"/>
          <w:sz w:val="28"/>
          <w:szCs w:val="28"/>
          <w:highlight w:val="none"/>
        </w:rPr>
        <w:t>2</w:t>
      </w:r>
      <w:r>
        <w:rPr>
          <w:rFonts w:hint="eastAsia"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5</w:t>
      </w:r>
      <w:r>
        <w:rPr>
          <w:rFonts w:hint="eastAsia" w:ascii="Times New Roman" w:hAnsi="Times New Roman" w:eastAsia="宋体" w:cs="Times New Roman"/>
          <w:b/>
          <w:bCs/>
          <w:color w:val="auto"/>
          <w:sz w:val="28"/>
          <w:szCs w:val="28"/>
          <w:highlight w:val="none"/>
        </w:rPr>
        <w:t>.</w:t>
      </w:r>
      <w:r>
        <w:rPr>
          <w:rFonts w:ascii="Times New Roman" w:hAnsi="Times New Roman" w:eastAsia="宋体" w:cs="Times New Roman"/>
          <w:b/>
          <w:bCs/>
          <w:color w:val="auto"/>
          <w:sz w:val="28"/>
          <w:szCs w:val="28"/>
          <w:highlight w:val="none"/>
        </w:rPr>
        <w:t>1</w:t>
      </w:r>
      <w:r>
        <w:rPr>
          <w:rFonts w:hint="eastAsia" w:ascii="Times New Roman" w:hAnsi="Times New Roman" w:eastAsia="宋体" w:cs="Times New Roman"/>
          <w:b/>
          <w:bCs/>
          <w:color w:val="auto"/>
          <w:sz w:val="28"/>
          <w:szCs w:val="28"/>
          <w:highlight w:val="none"/>
        </w:rPr>
        <w:t xml:space="preserve"> 总体就业率</w:t>
      </w:r>
      <w:bookmarkEnd w:id="204"/>
      <w:bookmarkEnd w:id="205"/>
      <w:bookmarkEnd w:id="206"/>
      <w:bookmarkEnd w:id="207"/>
      <w:bookmarkEnd w:id="208"/>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 xml:space="preserve">据遂宁市教育和体育局统计，2024届毕业生7004人，就业人数6658人，就业率 95.06%，其中升学4069人，直接就业2589人；未就业人数346人。近三年毕业生总人数18487人，晋升1125人，晋升比例6.09%。                                </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就业产业分组。直接就业2589人，其中第一产业57人，就业率2.20%；第二产业1865人，就业率72.04%；第三产业667人，就业率25.76%。2024学年毕业生就业服务产业占比情况见图9。</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就业地域分组。直接就业2589人，省内就业人数2253，就业率87.02%；省外就业人数336人，就业率12.98%，其中，本地就业人数1381人，本地就业率61.30%，为服务地方经济建设提供了强有力的人才支撑。</w:t>
      </w:r>
    </w:p>
    <w:p>
      <w:pPr>
        <w:pStyle w:val="2"/>
        <w:rPr>
          <w:rFonts w:hint="default"/>
          <w:lang w:val="en-US" w:eastAsia="zh-CN"/>
        </w:rPr>
      </w:pPr>
    </w:p>
    <w:p>
      <w:pPr>
        <w:keepNext/>
        <w:keepLines/>
        <w:pageBreakBefore w:val="0"/>
        <w:widowControl w:val="0"/>
        <w:kinsoku/>
        <w:wordWrap/>
        <w:overflowPunct/>
        <w:topLinePunct w:val="0"/>
        <w:autoSpaceDE/>
        <w:autoSpaceDN/>
        <w:bidi w:val="0"/>
        <w:adjustRightInd/>
        <w:snapToGrid/>
        <w:spacing w:line="579" w:lineRule="auto"/>
        <w:textAlignment w:val="auto"/>
        <w:outlineLvl w:val="9"/>
        <w:rPr>
          <w:rFonts w:hint="default"/>
          <w:lang w:val="en-US" w:eastAsia="zh-CN"/>
        </w:rPr>
      </w:pPr>
      <w:r>
        <w:rPr>
          <w:rFonts w:hint="eastAsia" w:ascii="黑体" w:hAnsi="黑体" w:eastAsia="黑体" w:cs="黑体"/>
          <w:b/>
          <w:bCs/>
          <w:sz w:val="28"/>
          <w:szCs w:val="28"/>
          <w:lang w:val="en-US" w:eastAsia="zh-CN"/>
        </w:rPr>
        <w:drawing>
          <wp:anchor distT="0" distB="0" distL="114300" distR="114300" simplePos="0" relativeHeight="251668480" behindDoc="0" locked="0" layoutInCell="1" allowOverlap="1">
            <wp:simplePos x="0" y="0"/>
            <wp:positionH relativeFrom="column">
              <wp:posOffset>476885</wp:posOffset>
            </wp:positionH>
            <wp:positionV relativeFrom="paragraph">
              <wp:posOffset>76200</wp:posOffset>
            </wp:positionV>
            <wp:extent cx="4320540" cy="2058035"/>
            <wp:effectExtent l="4445" t="4445" r="5715" b="7620"/>
            <wp:wrapNone/>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pPr>
        <w:keepNext/>
        <w:keepLines/>
        <w:pageBreakBefore w:val="0"/>
        <w:widowControl w:val="0"/>
        <w:kinsoku/>
        <w:wordWrap/>
        <w:overflowPunct/>
        <w:topLinePunct w:val="0"/>
        <w:autoSpaceDE/>
        <w:autoSpaceDN/>
        <w:bidi w:val="0"/>
        <w:adjustRightInd/>
        <w:snapToGrid/>
        <w:spacing w:line="579" w:lineRule="auto"/>
        <w:textAlignment w:val="auto"/>
        <w:outlineLvl w:val="9"/>
        <w:rPr>
          <w:rFonts w:hint="default"/>
          <w:lang w:val="en-US" w:eastAsia="zh-CN"/>
        </w:rPr>
      </w:pPr>
    </w:p>
    <w:p>
      <w:pPr>
        <w:keepNext/>
        <w:keepLines/>
        <w:pageBreakBefore w:val="0"/>
        <w:widowControl w:val="0"/>
        <w:kinsoku/>
        <w:wordWrap/>
        <w:overflowPunct/>
        <w:topLinePunct w:val="0"/>
        <w:autoSpaceDE/>
        <w:autoSpaceDN/>
        <w:bidi w:val="0"/>
        <w:adjustRightInd/>
        <w:snapToGrid/>
        <w:spacing w:line="579" w:lineRule="auto"/>
        <w:textAlignment w:val="auto"/>
        <w:outlineLvl w:val="9"/>
        <w:rPr>
          <w:rFonts w:hint="default"/>
          <w:lang w:val="en-US" w:eastAsia="zh-CN"/>
        </w:rPr>
      </w:pPr>
    </w:p>
    <w:p>
      <w:pPr>
        <w:keepNext/>
        <w:keepLines/>
        <w:pageBreakBefore w:val="0"/>
        <w:widowControl w:val="0"/>
        <w:kinsoku/>
        <w:wordWrap/>
        <w:overflowPunct/>
        <w:topLinePunct w:val="0"/>
        <w:autoSpaceDE/>
        <w:autoSpaceDN/>
        <w:bidi w:val="0"/>
        <w:adjustRightInd/>
        <w:snapToGrid/>
        <w:spacing w:line="579" w:lineRule="auto"/>
        <w:textAlignment w:val="auto"/>
        <w:outlineLvl w:val="9"/>
        <w:rPr>
          <w:rFonts w:hint="default"/>
          <w:lang w:val="en-US" w:eastAsia="zh-CN"/>
        </w:rPr>
      </w:pPr>
    </w:p>
    <w:p>
      <w:pPr>
        <w:pStyle w:val="28"/>
        <w:ind w:left="0" w:leftChars="0" w:firstLine="0" w:firstLineChars="0"/>
        <w:rPr>
          <w:rFonts w:hint="default" w:ascii="宋体" w:hAnsi="宋体" w:eastAsia="宋体" w:cs="仿宋"/>
          <w:sz w:val="24"/>
          <w:szCs w:val="24"/>
        </w:rPr>
      </w:pPr>
    </w:p>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9</w:t>
      </w:r>
      <w:r>
        <w:rPr>
          <w:rFonts w:hint="eastAsia" w:ascii="Times New Roman" w:hAnsi="Times New Roman" w:eastAsia="楷体" w:cs="楷体"/>
          <w:sz w:val="24"/>
          <w:szCs w:val="24"/>
        </w:rPr>
        <w:fldChar w:fldCharType="end"/>
      </w:r>
      <w:bookmarkStart w:id="209" w:name="_Toc100"/>
      <w:r>
        <w:rPr>
          <w:rFonts w:hint="eastAsia" w:ascii="Times New Roman" w:hAnsi="Times New Roman" w:eastAsia="楷体" w:cs="楷体"/>
          <w:sz w:val="24"/>
          <w:szCs w:val="24"/>
          <w:lang w:val="en-US" w:eastAsia="zh-CN"/>
        </w:rPr>
        <w:t xml:space="preserve"> 2024学年毕业生就业服务产业占比情况</w:t>
      </w:r>
      <w:bookmarkEnd w:id="209"/>
    </w:p>
    <w:p>
      <w:pPr>
        <w:pStyle w:val="8"/>
        <w:keepNext w:val="0"/>
        <w:keepLines w:val="0"/>
        <w:pageBreakBefore w:val="0"/>
        <w:widowControl w:val="0"/>
        <w:kinsoku/>
        <w:wordWrap/>
        <w:overflowPunct/>
        <w:topLinePunct w:val="0"/>
        <w:autoSpaceDE/>
        <w:autoSpaceDN/>
        <w:bidi w:val="0"/>
        <w:adjustRightInd/>
        <w:snapToGrid/>
        <w:spacing w:before="16" w:line="240" w:lineRule="auto"/>
        <w:jc w:val="center"/>
        <w:textAlignment w:val="auto"/>
        <w:rPr>
          <w:rFonts w:hint="eastAsia" w:ascii="宋体" w:hAnsi="宋体" w:eastAsia="宋体" w:cs="宋体"/>
          <w:b/>
          <w:bCs/>
          <w:sz w:val="21"/>
          <w:szCs w:val="21"/>
          <w:highlight w:val="none"/>
        </w:rPr>
      </w:pP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从专业分类看，就业情况排前五的专业大类是装备制造大类、电子与信息大类、旅游大类、教育与体育大类、交通运输大类就业率都为</w:t>
      </w:r>
      <w:r>
        <w:rPr>
          <w:rFonts w:hint="default" w:ascii="Times New Roman" w:hAnsi="Times New Roman" w:eastAsia="宋体" w:cs="仿宋"/>
          <w:color w:val="auto"/>
          <w:sz w:val="24"/>
          <w:szCs w:val="24"/>
          <w:highlight w:val="none"/>
          <w:lang w:val="en-US" w:eastAsia="zh-CN"/>
        </w:rPr>
        <w:t>100</w:t>
      </w:r>
      <w:r>
        <w:rPr>
          <w:rFonts w:hint="eastAsia" w:ascii="Times New Roman" w:hAnsi="Times New Roman" w:eastAsia="宋体" w:cs="仿宋"/>
          <w:color w:val="auto"/>
          <w:sz w:val="24"/>
          <w:szCs w:val="24"/>
          <w:highlight w:val="none"/>
          <w:lang w:val="en-US" w:eastAsia="zh-CN"/>
        </w:rPr>
        <w:t>%，详见表9。</w:t>
      </w:r>
    </w:p>
    <w:p>
      <w:pPr>
        <w:pStyle w:val="8"/>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eastAsia" w:ascii="Times New Roman" w:hAnsi="Times New Roman" w:eastAsia="宋体" w:cs="宋体"/>
          <w:b/>
          <w:bCs/>
          <w:color w:val="auto"/>
          <w:sz w:val="21"/>
          <w:szCs w:val="21"/>
        </w:rPr>
      </w:pPr>
      <w:bookmarkStart w:id="210" w:name="_Toc29319"/>
      <w:r>
        <w:rPr>
          <w:rFonts w:hint="eastAsia" w:ascii="Times New Roman" w:hAnsi="Times New Roman" w:eastAsia="宋体" w:cs="宋体"/>
          <w:b/>
          <w:bCs/>
          <w:color w:val="auto"/>
          <w:sz w:val="21"/>
          <w:szCs w:val="21"/>
        </w:rPr>
        <w:t>表</w:t>
      </w:r>
      <w:r>
        <w:rPr>
          <w:rFonts w:hint="eastAsia" w:ascii="Times New Roman" w:hAnsi="Times New Roman" w:eastAsia="宋体" w:cs="宋体"/>
          <w:b/>
          <w:bCs/>
          <w:color w:val="auto"/>
          <w:sz w:val="21"/>
          <w:szCs w:val="21"/>
        </w:rPr>
        <w:fldChar w:fldCharType="begin"/>
      </w:r>
      <w:r>
        <w:rPr>
          <w:rFonts w:hint="eastAsia" w:ascii="Times New Roman" w:hAnsi="Times New Roman" w:eastAsia="宋体" w:cs="宋体"/>
          <w:b/>
          <w:bCs/>
          <w:color w:val="auto"/>
          <w:sz w:val="21"/>
          <w:szCs w:val="21"/>
        </w:rPr>
        <w:instrText xml:space="preserve"> SEQ 表 \* ARABIC </w:instrText>
      </w:r>
      <w:r>
        <w:rPr>
          <w:rFonts w:hint="eastAsia" w:ascii="Times New Roman" w:hAnsi="Times New Roman" w:eastAsia="宋体" w:cs="宋体"/>
          <w:b/>
          <w:bCs/>
          <w:color w:val="auto"/>
          <w:sz w:val="21"/>
          <w:szCs w:val="21"/>
        </w:rPr>
        <w:fldChar w:fldCharType="separate"/>
      </w:r>
      <w:r>
        <w:rPr>
          <w:rFonts w:hint="eastAsia" w:ascii="Times New Roman" w:hAnsi="Times New Roman" w:eastAsia="宋体" w:cs="宋体"/>
          <w:b/>
          <w:bCs/>
          <w:color w:val="auto"/>
          <w:sz w:val="21"/>
          <w:szCs w:val="21"/>
        </w:rPr>
        <w:t>9</w:t>
      </w:r>
      <w:r>
        <w:rPr>
          <w:rFonts w:hint="eastAsia" w:ascii="Times New Roman" w:hAnsi="Times New Roman" w:eastAsia="宋体" w:cs="宋体"/>
          <w:b/>
          <w:bCs/>
          <w:color w:val="auto"/>
          <w:sz w:val="21"/>
          <w:szCs w:val="21"/>
        </w:rPr>
        <w:fldChar w:fldCharType="end"/>
      </w:r>
      <w:bookmarkStart w:id="211" w:name="_Toc25273"/>
      <w:r>
        <w:rPr>
          <w:rFonts w:hint="eastAsia" w:ascii="Times New Roman" w:hAnsi="Times New Roman" w:eastAsia="宋体" w:cs="宋体"/>
          <w:b/>
          <w:bCs/>
          <w:color w:val="auto"/>
          <w:sz w:val="21"/>
          <w:szCs w:val="21"/>
          <w:lang w:val="en-US" w:eastAsia="zh-CN"/>
        </w:rPr>
        <w:t xml:space="preserve">  2023</w:t>
      </w:r>
      <w:r>
        <w:rPr>
          <w:rFonts w:hint="eastAsia" w:ascii="Times New Roman" w:hAnsi="Times New Roman" w:eastAsia="宋体" w:cs="宋体"/>
          <w:b/>
          <w:bCs/>
          <w:color w:val="auto"/>
          <w:sz w:val="21"/>
          <w:szCs w:val="21"/>
        </w:rPr>
        <w:t>-202</w:t>
      </w:r>
      <w:r>
        <w:rPr>
          <w:rFonts w:hint="eastAsia" w:ascii="Times New Roman" w:hAnsi="Times New Roman" w:eastAsia="宋体" w:cs="宋体"/>
          <w:b/>
          <w:bCs/>
          <w:color w:val="auto"/>
          <w:sz w:val="21"/>
          <w:szCs w:val="21"/>
          <w:lang w:val="en-US" w:eastAsia="zh-CN"/>
        </w:rPr>
        <w:t>4</w:t>
      </w:r>
      <w:r>
        <w:rPr>
          <w:rFonts w:hint="eastAsia" w:ascii="Times New Roman" w:hAnsi="Times New Roman" w:eastAsia="宋体" w:cs="宋体"/>
          <w:b/>
          <w:bCs/>
          <w:color w:val="auto"/>
          <w:sz w:val="21"/>
          <w:szCs w:val="21"/>
        </w:rPr>
        <w:t>学年毕业生分专业就业率统计（单位：%）</w:t>
      </w:r>
      <w:bookmarkEnd w:id="210"/>
      <w:bookmarkEnd w:id="211"/>
    </w:p>
    <w:tbl>
      <w:tblPr>
        <w:tblStyle w:val="31"/>
        <w:tblW w:w="4859" w:type="pct"/>
        <w:jc w:val="center"/>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Layout w:type="autofit"/>
        <w:tblCellMar>
          <w:top w:w="0" w:type="dxa"/>
          <w:left w:w="108" w:type="dxa"/>
          <w:bottom w:w="0" w:type="dxa"/>
          <w:right w:w="108" w:type="dxa"/>
        </w:tblCellMar>
      </w:tblPr>
      <w:tblGrid>
        <w:gridCol w:w="3705"/>
        <w:gridCol w:w="2288"/>
        <w:gridCol w:w="2289"/>
      </w:tblGrid>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510" w:hRule="atLeast"/>
          <w:tblHeader/>
          <w:jc w:val="center"/>
        </w:trPr>
        <w:tc>
          <w:tcPr>
            <w:tcW w:w="2236" w:type="pct"/>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jc w:val="center"/>
              <w:rPr>
                <w:rFonts w:ascii="宋体" w:hAnsi="宋体" w:eastAsia="宋体" w:cs="宋体"/>
                <w:b/>
                <w:color w:val="000000"/>
                <w:kern w:val="0"/>
                <w:sz w:val="18"/>
                <w:szCs w:val="18"/>
              </w:rPr>
            </w:pPr>
            <w:r>
              <w:rPr>
                <w:rFonts w:hint="eastAsia" w:ascii="宋体" w:hAnsi="宋体" w:eastAsia="宋体" w:cs="宋体"/>
                <w:b/>
                <w:color w:val="000000"/>
                <w:kern w:val="0"/>
                <w:sz w:val="18"/>
                <w:szCs w:val="18"/>
              </w:rPr>
              <w:t>专业名称</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jc w:val="center"/>
              <w:rPr>
                <w:rFonts w:ascii="宋体" w:hAnsi="宋体" w:eastAsia="宋体" w:cs="宋体"/>
                <w:b/>
                <w:color w:val="000000"/>
                <w:kern w:val="0"/>
                <w:sz w:val="18"/>
                <w:szCs w:val="18"/>
                <w:lang w:val="en-US" w:eastAsia="zh-CN" w:bidi="ar-SA"/>
              </w:rPr>
            </w:pPr>
            <w:r>
              <w:rPr>
                <w:rFonts w:ascii="Times New Roman" w:hAnsi="Times New Roman" w:eastAsia="宋体" w:cs="Times New Roman"/>
                <w:b/>
                <w:color w:val="000000"/>
                <w:kern w:val="0"/>
                <w:sz w:val="18"/>
                <w:szCs w:val="18"/>
              </w:rPr>
              <w:t>202</w:t>
            </w:r>
            <w:r>
              <w:rPr>
                <w:rFonts w:hint="eastAsia" w:ascii="Times New Roman" w:hAnsi="Times New Roman" w:eastAsia="宋体" w:cs="Times New Roman"/>
                <w:b/>
                <w:color w:val="000000"/>
                <w:kern w:val="0"/>
                <w:sz w:val="18"/>
                <w:szCs w:val="18"/>
                <w:lang w:val="en-US" w:eastAsia="zh-CN"/>
              </w:rPr>
              <w:t>3</w:t>
            </w:r>
            <w:r>
              <w:rPr>
                <w:rFonts w:hint="eastAsia" w:ascii="宋体" w:hAnsi="宋体" w:eastAsia="宋体" w:cs="宋体"/>
                <w:b/>
                <w:color w:val="000000"/>
                <w:kern w:val="0"/>
                <w:sz w:val="18"/>
                <w:szCs w:val="18"/>
              </w:rPr>
              <w:t>届</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jc w:val="center"/>
              <w:rPr>
                <w:rFonts w:ascii="宋体" w:hAnsi="宋体" w:eastAsia="宋体" w:cs="宋体"/>
                <w:b/>
                <w:color w:val="000000"/>
                <w:kern w:val="0"/>
                <w:sz w:val="18"/>
                <w:szCs w:val="18"/>
              </w:rPr>
            </w:pPr>
            <w:r>
              <w:rPr>
                <w:rFonts w:ascii="Times New Roman" w:hAnsi="Times New Roman" w:eastAsia="宋体" w:cs="Times New Roman"/>
                <w:b/>
                <w:color w:val="000000"/>
                <w:kern w:val="0"/>
                <w:sz w:val="18"/>
                <w:szCs w:val="18"/>
              </w:rPr>
              <w:t>202</w:t>
            </w:r>
            <w:r>
              <w:rPr>
                <w:rFonts w:hint="eastAsia" w:ascii="Times New Roman" w:hAnsi="Times New Roman" w:eastAsia="宋体" w:cs="Times New Roman"/>
                <w:b/>
                <w:color w:val="000000"/>
                <w:kern w:val="0"/>
                <w:sz w:val="18"/>
                <w:szCs w:val="18"/>
                <w:lang w:val="en-US" w:eastAsia="zh-CN"/>
              </w:rPr>
              <w:t>4</w:t>
            </w:r>
            <w:r>
              <w:rPr>
                <w:rFonts w:hint="eastAsia" w:ascii="宋体" w:hAnsi="宋体" w:eastAsia="宋体" w:cs="宋体"/>
                <w:b/>
                <w:color w:val="000000"/>
                <w:kern w:val="0"/>
                <w:sz w:val="18"/>
                <w:szCs w:val="18"/>
              </w:rPr>
              <w:t>届</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510" w:hRule="atLeast"/>
          <w:tblHeader/>
          <w:jc w:val="center"/>
        </w:trPr>
        <w:tc>
          <w:tcPr>
            <w:tcW w:w="2236"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jc w:val="center"/>
              <w:rPr>
                <w:rFonts w:ascii="宋体" w:hAnsi="宋体" w:eastAsia="宋体" w:cs="宋体"/>
                <w:b w:val="0"/>
                <w:color w:val="000000"/>
                <w:kern w:val="0"/>
                <w:sz w:val="18"/>
                <w:szCs w:val="18"/>
              </w:rPr>
            </w:pPr>
            <w:r>
              <w:rPr>
                <w:rFonts w:hint="eastAsia" w:ascii="宋体" w:hAnsi="宋体" w:eastAsia="宋体" w:cs="宋体"/>
                <w:b w:val="0"/>
                <w:color w:val="000000"/>
                <w:kern w:val="0"/>
                <w:sz w:val="18"/>
                <w:szCs w:val="18"/>
              </w:rPr>
              <w:t>农林牧渔大类</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jc w:val="center"/>
              <w:rPr>
                <w:rFonts w:hint="default" w:ascii="Times New Roman" w:hAnsi="Times New Roman" w:eastAsia="宋体" w:cs="Times New Roman"/>
                <w:b w:val="0"/>
                <w:color w:val="000000"/>
                <w:kern w:val="0"/>
                <w:sz w:val="18"/>
                <w:szCs w:val="18"/>
                <w:lang w:val="en-US" w:eastAsia="zh-CN" w:bidi="ar-SA"/>
              </w:rPr>
            </w:pPr>
            <w:r>
              <w:rPr>
                <w:rFonts w:hint="eastAsia" w:ascii="Times New Roman" w:hAnsi="Times New Roman" w:eastAsia="宋体" w:cs="Times New Roman"/>
                <w:b w:val="0"/>
                <w:color w:val="000000"/>
                <w:kern w:val="0"/>
                <w:sz w:val="18"/>
                <w:szCs w:val="18"/>
                <w:lang w:val="en-US" w:eastAsia="zh-CN"/>
              </w:rPr>
              <w:t>97.76</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jc w:val="center"/>
              <w:rPr>
                <w:rFonts w:hint="default" w:ascii="Times New Roman" w:hAnsi="Times New Roman" w:eastAsia="宋体" w:cs="Times New Roman"/>
                <w:b w:val="0"/>
                <w:color w:val="000000"/>
                <w:kern w:val="0"/>
                <w:sz w:val="18"/>
                <w:szCs w:val="18"/>
                <w:lang w:val="en-US" w:eastAsia="zh-CN"/>
              </w:rPr>
            </w:pPr>
            <w:r>
              <w:rPr>
                <w:rFonts w:hint="eastAsia" w:ascii="Times New Roman" w:hAnsi="Times New Roman" w:eastAsia="宋体" w:cs="Times New Roman"/>
                <w:b w:val="0"/>
                <w:color w:val="000000"/>
                <w:kern w:val="0"/>
                <w:sz w:val="18"/>
                <w:szCs w:val="18"/>
                <w:lang w:val="en-US" w:eastAsia="zh-CN"/>
              </w:rPr>
              <w:t>92.35</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510" w:hRule="atLeast"/>
          <w:tblHeader/>
          <w:jc w:val="center"/>
        </w:trPr>
        <w:tc>
          <w:tcPr>
            <w:tcW w:w="2236"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ascii="宋体" w:hAnsi="宋体" w:eastAsia="宋体" w:cs="宋体"/>
                <w:b w:val="0"/>
                <w:color w:val="000000"/>
                <w:kern w:val="0"/>
                <w:sz w:val="18"/>
                <w:szCs w:val="18"/>
              </w:rPr>
            </w:pPr>
            <w:r>
              <w:rPr>
                <w:rFonts w:hint="eastAsia" w:ascii="宋体" w:hAnsi="宋体" w:eastAsia="宋体" w:cs="宋体"/>
                <w:b w:val="0"/>
                <w:color w:val="000000"/>
                <w:kern w:val="0"/>
                <w:sz w:val="18"/>
                <w:szCs w:val="18"/>
              </w:rPr>
              <w:t>资源环境与安全大类</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default" w:ascii="Times New Roman" w:hAnsi="Times New Roman" w:eastAsia="宋体" w:cs="Times New Roman"/>
                <w:b w:val="0"/>
                <w:color w:val="000000"/>
                <w:kern w:val="0"/>
                <w:sz w:val="18"/>
                <w:szCs w:val="18"/>
                <w:lang w:val="en-US" w:eastAsia="zh-CN" w:bidi="ar-SA"/>
              </w:rPr>
            </w:pPr>
            <w:r>
              <w:rPr>
                <w:rFonts w:hint="eastAsia" w:ascii="Times New Roman" w:hAnsi="Times New Roman" w:eastAsia="宋体" w:cs="Times New Roman"/>
                <w:b w:val="0"/>
                <w:color w:val="000000"/>
                <w:kern w:val="0"/>
                <w:sz w:val="18"/>
                <w:szCs w:val="18"/>
                <w:lang w:val="en-US" w:eastAsia="zh-CN"/>
              </w:rPr>
              <w:t>100</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default" w:ascii="Times New Roman" w:hAnsi="Times New Roman" w:eastAsia="宋体" w:cs="Times New Roman"/>
                <w:b w:val="0"/>
                <w:color w:val="000000"/>
                <w:kern w:val="0"/>
                <w:sz w:val="18"/>
                <w:szCs w:val="18"/>
                <w:lang w:val="en-US" w:eastAsia="zh-CN"/>
              </w:rPr>
            </w:pPr>
            <w:r>
              <w:rPr>
                <w:rFonts w:hint="eastAsia" w:ascii="Times New Roman" w:hAnsi="Times New Roman" w:eastAsia="宋体" w:cs="Times New Roman"/>
                <w:b w:val="0"/>
                <w:color w:val="000000"/>
                <w:kern w:val="0"/>
                <w:sz w:val="18"/>
                <w:szCs w:val="18"/>
                <w:lang w:val="en-US" w:eastAsia="zh-CN"/>
              </w:rPr>
              <w:t>95.62</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PrEx>
        <w:trPr>
          <w:trHeight w:val="510" w:hRule="atLeast"/>
          <w:tblHeader/>
          <w:jc w:val="center"/>
        </w:trPr>
        <w:tc>
          <w:tcPr>
            <w:tcW w:w="2236"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jc w:val="center"/>
              <w:rPr>
                <w:rFonts w:ascii="宋体" w:hAnsi="宋体" w:eastAsia="宋体" w:cs="宋体"/>
                <w:b w:val="0"/>
                <w:color w:val="000000"/>
                <w:kern w:val="0"/>
                <w:sz w:val="18"/>
                <w:szCs w:val="18"/>
              </w:rPr>
            </w:pPr>
            <w:r>
              <w:rPr>
                <w:rFonts w:hint="eastAsia" w:ascii="宋体" w:hAnsi="宋体" w:eastAsia="宋体" w:cs="宋体"/>
                <w:b w:val="0"/>
                <w:color w:val="000000"/>
                <w:kern w:val="0"/>
                <w:sz w:val="18"/>
                <w:szCs w:val="18"/>
              </w:rPr>
              <w:t>土木建筑大类</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jc w:val="center"/>
              <w:rPr>
                <w:rFonts w:hint="default" w:ascii="Times New Roman" w:hAnsi="Times New Roman" w:eastAsia="宋体" w:cs="Times New Roman"/>
                <w:b w:val="0"/>
                <w:color w:val="000000"/>
                <w:kern w:val="0"/>
                <w:sz w:val="18"/>
                <w:szCs w:val="18"/>
                <w:lang w:val="en-US" w:eastAsia="zh-CN" w:bidi="ar-SA"/>
              </w:rPr>
            </w:pPr>
            <w:r>
              <w:rPr>
                <w:rFonts w:hint="eastAsia" w:ascii="Times New Roman" w:hAnsi="Times New Roman" w:eastAsia="宋体" w:cs="Times New Roman"/>
                <w:b w:val="0"/>
                <w:color w:val="000000"/>
                <w:kern w:val="0"/>
                <w:sz w:val="18"/>
                <w:szCs w:val="18"/>
                <w:lang w:val="en-US" w:eastAsia="zh-CN"/>
              </w:rPr>
              <w:t>84.40</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jc w:val="center"/>
              <w:rPr>
                <w:rFonts w:hint="default" w:ascii="Times New Roman" w:hAnsi="Times New Roman" w:eastAsia="宋体" w:cs="Times New Roman"/>
                <w:b w:val="0"/>
                <w:color w:val="000000"/>
                <w:kern w:val="0"/>
                <w:sz w:val="18"/>
                <w:szCs w:val="18"/>
                <w:lang w:val="en-US" w:eastAsia="zh-CN"/>
              </w:rPr>
            </w:pPr>
            <w:r>
              <w:rPr>
                <w:rFonts w:hint="eastAsia" w:ascii="Times New Roman" w:hAnsi="Times New Roman" w:eastAsia="宋体" w:cs="Times New Roman"/>
                <w:b w:val="0"/>
                <w:color w:val="000000"/>
                <w:kern w:val="0"/>
                <w:sz w:val="18"/>
                <w:szCs w:val="18"/>
                <w:lang w:val="en-US" w:eastAsia="zh-CN"/>
              </w:rPr>
              <w:t>92.35</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510" w:hRule="atLeast"/>
          <w:tblHeader/>
          <w:jc w:val="center"/>
        </w:trPr>
        <w:tc>
          <w:tcPr>
            <w:tcW w:w="2236"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ascii="宋体" w:hAnsi="宋体" w:eastAsia="宋体" w:cs="宋体"/>
                <w:b w:val="0"/>
                <w:color w:val="000000"/>
                <w:kern w:val="0"/>
                <w:sz w:val="18"/>
                <w:szCs w:val="18"/>
              </w:rPr>
            </w:pPr>
            <w:r>
              <w:rPr>
                <w:rFonts w:hint="eastAsia" w:ascii="宋体" w:hAnsi="宋体" w:eastAsia="宋体" w:cs="宋体"/>
                <w:b w:val="0"/>
                <w:color w:val="000000"/>
                <w:kern w:val="0"/>
                <w:sz w:val="18"/>
                <w:szCs w:val="18"/>
              </w:rPr>
              <w:t>装备制造大类</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default" w:ascii="Times New Roman" w:hAnsi="Times New Roman" w:eastAsia="宋体" w:cs="Times New Roman"/>
                <w:b w:val="0"/>
                <w:color w:val="000000"/>
                <w:kern w:val="0"/>
                <w:sz w:val="18"/>
                <w:szCs w:val="18"/>
                <w:lang w:val="en-US" w:eastAsia="zh-CN" w:bidi="ar-SA"/>
              </w:rPr>
            </w:pPr>
            <w:r>
              <w:rPr>
                <w:rFonts w:hint="eastAsia" w:ascii="Times New Roman" w:hAnsi="Times New Roman" w:eastAsia="宋体" w:cs="Times New Roman"/>
                <w:b w:val="0"/>
                <w:color w:val="000000"/>
                <w:kern w:val="0"/>
                <w:sz w:val="18"/>
                <w:szCs w:val="18"/>
                <w:lang w:val="en-US" w:eastAsia="zh-CN"/>
              </w:rPr>
              <w:t>100</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default" w:ascii="Times New Roman" w:hAnsi="Times New Roman" w:eastAsia="宋体" w:cs="Times New Roman"/>
                <w:b w:val="0"/>
                <w:color w:val="000000"/>
                <w:kern w:val="0"/>
                <w:sz w:val="18"/>
                <w:szCs w:val="18"/>
                <w:lang w:val="en-US" w:eastAsia="zh-CN"/>
              </w:rPr>
            </w:pPr>
            <w:r>
              <w:rPr>
                <w:rFonts w:hint="eastAsia" w:ascii="Times New Roman" w:hAnsi="Times New Roman" w:eastAsia="宋体" w:cs="Times New Roman"/>
                <w:b w:val="0"/>
                <w:color w:val="000000"/>
                <w:kern w:val="0"/>
                <w:sz w:val="18"/>
                <w:szCs w:val="18"/>
                <w:lang w:val="en-US" w:eastAsia="zh-CN"/>
              </w:rPr>
              <w:t>100</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510" w:hRule="atLeast"/>
          <w:tblHeader/>
          <w:jc w:val="center"/>
        </w:trPr>
        <w:tc>
          <w:tcPr>
            <w:tcW w:w="2236"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jc w:val="center"/>
              <w:rPr>
                <w:rFonts w:ascii="宋体" w:hAnsi="宋体" w:eastAsia="宋体" w:cs="宋体"/>
                <w:b w:val="0"/>
                <w:color w:val="000000"/>
                <w:kern w:val="0"/>
                <w:sz w:val="18"/>
                <w:szCs w:val="18"/>
              </w:rPr>
            </w:pPr>
            <w:r>
              <w:rPr>
                <w:rFonts w:hint="eastAsia" w:ascii="宋体" w:hAnsi="宋体" w:eastAsia="宋体" w:cs="宋体"/>
                <w:b w:val="0"/>
                <w:color w:val="000000"/>
                <w:kern w:val="0"/>
                <w:sz w:val="18"/>
                <w:szCs w:val="18"/>
              </w:rPr>
              <w:t>生物与化工大类</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jc w:val="center"/>
              <w:rPr>
                <w:rFonts w:hint="default" w:ascii="Times New Roman" w:hAnsi="Times New Roman" w:eastAsia="宋体" w:cs="Times New Roman"/>
                <w:b w:val="0"/>
                <w:color w:val="000000"/>
                <w:kern w:val="0"/>
                <w:sz w:val="18"/>
                <w:szCs w:val="18"/>
                <w:lang w:val="en-US" w:eastAsia="zh-CN" w:bidi="ar-SA"/>
              </w:rPr>
            </w:pPr>
            <w:r>
              <w:rPr>
                <w:rFonts w:hint="eastAsia" w:ascii="Times New Roman" w:hAnsi="Times New Roman" w:eastAsia="宋体" w:cs="Times New Roman"/>
                <w:b w:val="0"/>
                <w:color w:val="000000"/>
                <w:kern w:val="0"/>
                <w:sz w:val="18"/>
                <w:szCs w:val="18"/>
                <w:lang w:val="en-US" w:eastAsia="zh-CN"/>
              </w:rPr>
              <w:t>100</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jc w:val="center"/>
              <w:rPr>
                <w:rFonts w:hint="default" w:ascii="Times New Roman" w:hAnsi="Times New Roman" w:eastAsia="宋体" w:cs="Times New Roman"/>
                <w:b w:val="0"/>
                <w:color w:val="000000"/>
                <w:kern w:val="0"/>
                <w:sz w:val="18"/>
                <w:szCs w:val="18"/>
                <w:lang w:val="en-US" w:eastAsia="zh-CN"/>
              </w:rPr>
            </w:pPr>
            <w:r>
              <w:rPr>
                <w:rFonts w:hint="eastAsia" w:ascii="Times New Roman" w:hAnsi="Times New Roman" w:eastAsia="宋体" w:cs="Times New Roman"/>
                <w:b w:val="0"/>
                <w:color w:val="000000"/>
                <w:kern w:val="0"/>
                <w:sz w:val="18"/>
                <w:szCs w:val="18"/>
                <w:lang w:val="en-US" w:eastAsia="zh-CN"/>
              </w:rPr>
              <w:t>96.39</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510" w:hRule="atLeast"/>
          <w:tblHeader/>
          <w:jc w:val="center"/>
        </w:trPr>
        <w:tc>
          <w:tcPr>
            <w:tcW w:w="2236"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ascii="宋体" w:hAnsi="宋体" w:eastAsia="宋体" w:cs="宋体"/>
                <w:b w:val="0"/>
                <w:color w:val="000000"/>
                <w:kern w:val="0"/>
                <w:sz w:val="18"/>
                <w:szCs w:val="18"/>
              </w:rPr>
            </w:pPr>
            <w:r>
              <w:rPr>
                <w:rFonts w:hint="eastAsia" w:ascii="宋体" w:hAnsi="宋体" w:eastAsia="宋体" w:cs="宋体"/>
                <w:b w:val="0"/>
                <w:color w:val="000000"/>
                <w:kern w:val="0"/>
                <w:sz w:val="18"/>
                <w:szCs w:val="18"/>
              </w:rPr>
              <w:t>电子与信息大类</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default" w:ascii="Times New Roman" w:hAnsi="Times New Roman" w:eastAsia="宋体" w:cs="Times New Roman"/>
                <w:b w:val="0"/>
                <w:color w:val="000000"/>
                <w:kern w:val="0"/>
                <w:sz w:val="18"/>
                <w:szCs w:val="18"/>
                <w:lang w:val="en-US" w:eastAsia="zh-CN" w:bidi="ar-SA"/>
              </w:rPr>
            </w:pPr>
            <w:r>
              <w:rPr>
                <w:rFonts w:hint="eastAsia" w:ascii="Times New Roman" w:hAnsi="Times New Roman" w:eastAsia="宋体" w:cs="Times New Roman"/>
                <w:b w:val="0"/>
                <w:color w:val="000000"/>
                <w:kern w:val="0"/>
                <w:sz w:val="18"/>
                <w:szCs w:val="18"/>
                <w:lang w:val="en-US" w:eastAsia="zh-CN"/>
              </w:rPr>
              <w:t>93.85</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default" w:ascii="Times New Roman" w:hAnsi="Times New Roman" w:eastAsia="宋体" w:cs="Times New Roman"/>
                <w:b w:val="0"/>
                <w:color w:val="000000"/>
                <w:kern w:val="0"/>
                <w:sz w:val="18"/>
                <w:szCs w:val="18"/>
                <w:lang w:val="en-US" w:eastAsia="zh-CN"/>
              </w:rPr>
            </w:pPr>
            <w:r>
              <w:rPr>
                <w:rFonts w:hint="eastAsia" w:ascii="Times New Roman" w:hAnsi="Times New Roman" w:eastAsia="宋体" w:cs="Times New Roman"/>
                <w:b w:val="0"/>
                <w:color w:val="000000"/>
                <w:kern w:val="0"/>
                <w:sz w:val="18"/>
                <w:szCs w:val="18"/>
                <w:lang w:val="en-US" w:eastAsia="zh-CN"/>
              </w:rPr>
              <w:t>100</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PrEx>
        <w:trPr>
          <w:trHeight w:val="510" w:hRule="atLeast"/>
          <w:tblHeader/>
          <w:jc w:val="center"/>
        </w:trPr>
        <w:tc>
          <w:tcPr>
            <w:tcW w:w="2236"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jc w:val="center"/>
              <w:rPr>
                <w:rFonts w:ascii="宋体" w:hAnsi="宋体" w:eastAsia="宋体" w:cs="宋体"/>
                <w:b w:val="0"/>
                <w:color w:val="000000"/>
                <w:kern w:val="0"/>
                <w:sz w:val="18"/>
                <w:szCs w:val="18"/>
              </w:rPr>
            </w:pPr>
            <w:r>
              <w:rPr>
                <w:rFonts w:hint="eastAsia" w:ascii="宋体" w:hAnsi="宋体" w:eastAsia="宋体" w:cs="宋体"/>
                <w:b w:val="0"/>
                <w:color w:val="000000"/>
                <w:kern w:val="0"/>
                <w:sz w:val="18"/>
                <w:szCs w:val="18"/>
              </w:rPr>
              <w:t>财经商贸大类</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jc w:val="center"/>
              <w:rPr>
                <w:rFonts w:hint="default" w:ascii="Times New Roman" w:hAnsi="Times New Roman" w:eastAsia="宋体" w:cs="Times New Roman"/>
                <w:b w:val="0"/>
                <w:color w:val="000000"/>
                <w:kern w:val="0"/>
                <w:sz w:val="18"/>
                <w:szCs w:val="18"/>
                <w:lang w:val="en-US" w:eastAsia="zh-CN" w:bidi="ar-SA"/>
              </w:rPr>
            </w:pPr>
            <w:r>
              <w:rPr>
                <w:rFonts w:hint="eastAsia" w:ascii="Times New Roman" w:hAnsi="Times New Roman" w:eastAsia="宋体" w:cs="Times New Roman"/>
                <w:b w:val="0"/>
                <w:color w:val="000000"/>
                <w:kern w:val="0"/>
                <w:sz w:val="18"/>
                <w:szCs w:val="18"/>
                <w:lang w:val="en-US" w:eastAsia="zh-CN"/>
              </w:rPr>
              <w:t>93.45</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jc w:val="center"/>
              <w:rPr>
                <w:rFonts w:hint="default" w:ascii="Times New Roman" w:hAnsi="Times New Roman" w:eastAsia="宋体" w:cs="Times New Roman"/>
                <w:b w:val="0"/>
                <w:color w:val="000000"/>
                <w:kern w:val="0"/>
                <w:sz w:val="18"/>
                <w:szCs w:val="18"/>
                <w:lang w:val="en-US" w:eastAsia="zh-CN"/>
              </w:rPr>
            </w:pPr>
            <w:r>
              <w:rPr>
                <w:rFonts w:hint="eastAsia" w:ascii="Times New Roman" w:hAnsi="Times New Roman" w:eastAsia="宋体" w:cs="Times New Roman"/>
                <w:b w:val="0"/>
                <w:color w:val="000000"/>
                <w:kern w:val="0"/>
                <w:sz w:val="18"/>
                <w:szCs w:val="18"/>
                <w:lang w:val="en-US" w:eastAsia="zh-CN"/>
              </w:rPr>
              <w:t>93.15</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510" w:hRule="atLeast"/>
          <w:tblHeader/>
          <w:jc w:val="center"/>
        </w:trPr>
        <w:tc>
          <w:tcPr>
            <w:tcW w:w="2236"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ascii="宋体" w:hAnsi="宋体" w:eastAsia="宋体" w:cs="宋体"/>
                <w:b w:val="0"/>
                <w:color w:val="000000"/>
                <w:kern w:val="0"/>
                <w:sz w:val="18"/>
                <w:szCs w:val="18"/>
              </w:rPr>
            </w:pPr>
            <w:r>
              <w:rPr>
                <w:rFonts w:hint="eastAsia" w:ascii="宋体" w:hAnsi="宋体" w:eastAsia="宋体" w:cs="宋体"/>
                <w:b w:val="0"/>
                <w:color w:val="000000"/>
                <w:kern w:val="0"/>
                <w:sz w:val="18"/>
                <w:szCs w:val="18"/>
              </w:rPr>
              <w:t>旅游大类</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default" w:ascii="Times New Roman" w:hAnsi="Times New Roman" w:eastAsia="宋体" w:cs="Times New Roman"/>
                <w:b w:val="0"/>
                <w:color w:val="000000"/>
                <w:kern w:val="0"/>
                <w:sz w:val="18"/>
                <w:szCs w:val="18"/>
                <w:lang w:val="en-US" w:eastAsia="zh-CN" w:bidi="ar-SA"/>
              </w:rPr>
            </w:pPr>
            <w:r>
              <w:rPr>
                <w:rFonts w:hint="eastAsia" w:ascii="Times New Roman" w:hAnsi="Times New Roman" w:eastAsia="宋体" w:cs="Times New Roman"/>
                <w:b w:val="0"/>
                <w:color w:val="000000"/>
                <w:kern w:val="0"/>
                <w:sz w:val="18"/>
                <w:szCs w:val="18"/>
                <w:lang w:val="en-US" w:eastAsia="zh-CN"/>
              </w:rPr>
              <w:t>95.94</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default" w:ascii="Times New Roman" w:hAnsi="Times New Roman" w:eastAsia="宋体" w:cs="Times New Roman"/>
                <w:b w:val="0"/>
                <w:color w:val="000000"/>
                <w:kern w:val="0"/>
                <w:sz w:val="18"/>
                <w:szCs w:val="18"/>
                <w:lang w:val="en-US" w:eastAsia="zh-CN"/>
              </w:rPr>
            </w:pPr>
            <w:r>
              <w:rPr>
                <w:rFonts w:hint="eastAsia" w:ascii="Times New Roman" w:hAnsi="Times New Roman" w:eastAsia="宋体" w:cs="Times New Roman"/>
                <w:b w:val="0"/>
                <w:color w:val="000000"/>
                <w:kern w:val="0"/>
                <w:sz w:val="18"/>
                <w:szCs w:val="18"/>
                <w:lang w:val="en-US" w:eastAsia="zh-CN"/>
              </w:rPr>
              <w:t>100</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510" w:hRule="atLeast"/>
          <w:tblHeader/>
          <w:jc w:val="center"/>
        </w:trPr>
        <w:tc>
          <w:tcPr>
            <w:tcW w:w="2236"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jc w:val="center"/>
              <w:rPr>
                <w:rFonts w:ascii="宋体" w:hAnsi="宋体" w:eastAsia="宋体" w:cs="宋体"/>
                <w:b w:val="0"/>
                <w:color w:val="000000"/>
                <w:kern w:val="0"/>
                <w:sz w:val="18"/>
                <w:szCs w:val="18"/>
              </w:rPr>
            </w:pPr>
            <w:r>
              <w:rPr>
                <w:rFonts w:hint="eastAsia" w:ascii="宋体" w:hAnsi="宋体" w:eastAsia="宋体" w:cs="宋体"/>
                <w:b w:val="0"/>
                <w:color w:val="000000"/>
                <w:kern w:val="0"/>
                <w:sz w:val="18"/>
                <w:szCs w:val="18"/>
              </w:rPr>
              <w:t>文化艺术大类</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jc w:val="center"/>
              <w:rPr>
                <w:rFonts w:hint="default" w:ascii="Times New Roman" w:hAnsi="Times New Roman" w:eastAsia="宋体" w:cs="Times New Roman"/>
                <w:b w:val="0"/>
                <w:color w:val="000000"/>
                <w:kern w:val="0"/>
                <w:sz w:val="18"/>
                <w:szCs w:val="18"/>
                <w:lang w:val="en-US" w:eastAsia="zh-CN" w:bidi="ar-SA"/>
              </w:rPr>
            </w:pPr>
            <w:r>
              <w:rPr>
                <w:rFonts w:hint="eastAsia" w:ascii="Times New Roman" w:hAnsi="Times New Roman" w:eastAsia="宋体" w:cs="Times New Roman"/>
                <w:b w:val="0"/>
                <w:color w:val="000000"/>
                <w:kern w:val="0"/>
                <w:sz w:val="18"/>
                <w:szCs w:val="18"/>
                <w:lang w:val="en-US" w:eastAsia="zh-CN"/>
              </w:rPr>
              <w:t>100</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jc w:val="center"/>
              <w:rPr>
                <w:rFonts w:hint="default" w:ascii="Times New Roman" w:hAnsi="Times New Roman" w:eastAsia="宋体" w:cs="Times New Roman"/>
                <w:b w:val="0"/>
                <w:color w:val="000000"/>
                <w:kern w:val="0"/>
                <w:sz w:val="18"/>
                <w:szCs w:val="18"/>
                <w:lang w:val="en-US" w:eastAsia="zh-CN"/>
              </w:rPr>
            </w:pPr>
            <w:r>
              <w:rPr>
                <w:rFonts w:hint="eastAsia" w:ascii="Times New Roman" w:hAnsi="Times New Roman" w:eastAsia="宋体" w:cs="Times New Roman"/>
                <w:b w:val="0"/>
                <w:color w:val="000000"/>
                <w:kern w:val="0"/>
                <w:sz w:val="18"/>
                <w:szCs w:val="18"/>
                <w:lang w:val="en-US" w:eastAsia="zh-CN"/>
              </w:rPr>
              <w:t>8854.</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510" w:hRule="atLeast"/>
          <w:tblHeader/>
          <w:jc w:val="center"/>
        </w:trPr>
        <w:tc>
          <w:tcPr>
            <w:tcW w:w="2236"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ascii="宋体" w:hAnsi="宋体" w:eastAsia="宋体" w:cs="宋体"/>
                <w:b w:val="0"/>
                <w:color w:val="000000"/>
                <w:kern w:val="0"/>
                <w:sz w:val="18"/>
                <w:szCs w:val="18"/>
              </w:rPr>
            </w:pPr>
            <w:r>
              <w:rPr>
                <w:rFonts w:hint="eastAsia" w:ascii="宋体" w:hAnsi="宋体" w:eastAsia="宋体" w:cs="宋体"/>
                <w:b w:val="0"/>
                <w:color w:val="000000"/>
                <w:kern w:val="0"/>
                <w:sz w:val="18"/>
                <w:szCs w:val="18"/>
              </w:rPr>
              <w:t>新闻传播大类</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default" w:ascii="Times New Roman" w:hAnsi="Times New Roman" w:eastAsia="宋体" w:cs="Times New Roman"/>
                <w:b w:val="0"/>
                <w:color w:val="000000"/>
                <w:kern w:val="0"/>
                <w:sz w:val="18"/>
                <w:szCs w:val="18"/>
                <w:lang w:val="en-US" w:eastAsia="zh-CN" w:bidi="ar-SA"/>
              </w:rPr>
            </w:pPr>
            <w:r>
              <w:rPr>
                <w:rFonts w:hint="eastAsia" w:ascii="Times New Roman" w:hAnsi="Times New Roman" w:eastAsia="宋体" w:cs="Times New Roman"/>
                <w:b w:val="0"/>
                <w:color w:val="000000"/>
                <w:kern w:val="0"/>
                <w:sz w:val="18"/>
                <w:szCs w:val="18"/>
                <w:lang w:val="en-US" w:eastAsia="zh-CN"/>
              </w:rPr>
              <w:t>100</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default" w:ascii="Times New Roman" w:hAnsi="Times New Roman" w:eastAsia="宋体" w:cs="Times New Roman"/>
                <w:b w:val="0"/>
                <w:color w:val="000000"/>
                <w:kern w:val="0"/>
                <w:sz w:val="18"/>
                <w:szCs w:val="18"/>
                <w:lang w:val="en-US" w:eastAsia="zh-CN"/>
              </w:rPr>
            </w:pPr>
            <w:r>
              <w:rPr>
                <w:rFonts w:hint="eastAsia" w:ascii="Times New Roman" w:hAnsi="Times New Roman" w:eastAsia="宋体" w:cs="Times New Roman"/>
                <w:b w:val="0"/>
                <w:color w:val="000000"/>
                <w:kern w:val="0"/>
                <w:sz w:val="18"/>
                <w:szCs w:val="18"/>
                <w:lang w:val="en-US" w:eastAsia="zh-CN"/>
              </w:rPr>
              <w:t>98.23</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PrEx>
        <w:trPr>
          <w:trHeight w:val="510" w:hRule="atLeast"/>
          <w:tblHeader/>
          <w:jc w:val="center"/>
        </w:trPr>
        <w:tc>
          <w:tcPr>
            <w:tcW w:w="2236"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jc w:val="center"/>
              <w:rPr>
                <w:rFonts w:ascii="宋体" w:hAnsi="宋体" w:eastAsia="宋体" w:cs="宋体"/>
                <w:b w:val="0"/>
                <w:color w:val="000000"/>
                <w:kern w:val="0"/>
                <w:sz w:val="18"/>
                <w:szCs w:val="18"/>
              </w:rPr>
            </w:pPr>
            <w:r>
              <w:rPr>
                <w:rFonts w:hint="eastAsia" w:ascii="宋体" w:hAnsi="宋体" w:eastAsia="宋体" w:cs="宋体"/>
                <w:b w:val="0"/>
                <w:color w:val="000000"/>
                <w:kern w:val="0"/>
                <w:sz w:val="18"/>
                <w:szCs w:val="18"/>
              </w:rPr>
              <w:t>教育与体育大类</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jc w:val="center"/>
              <w:rPr>
                <w:rFonts w:hint="default" w:ascii="Times New Roman" w:hAnsi="Times New Roman" w:eastAsia="宋体" w:cs="Times New Roman"/>
                <w:b w:val="0"/>
                <w:color w:val="000000"/>
                <w:kern w:val="0"/>
                <w:sz w:val="18"/>
                <w:szCs w:val="18"/>
                <w:lang w:val="en-US" w:eastAsia="zh-CN" w:bidi="ar-SA"/>
              </w:rPr>
            </w:pPr>
            <w:r>
              <w:rPr>
                <w:rFonts w:hint="eastAsia" w:ascii="Times New Roman" w:hAnsi="Times New Roman" w:eastAsia="宋体" w:cs="Times New Roman"/>
                <w:b w:val="0"/>
                <w:color w:val="000000"/>
                <w:kern w:val="0"/>
                <w:sz w:val="18"/>
                <w:szCs w:val="18"/>
                <w:lang w:val="en-US" w:eastAsia="zh-CN"/>
              </w:rPr>
              <w:t>94.60</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jc w:val="center"/>
              <w:rPr>
                <w:rFonts w:hint="default" w:ascii="Times New Roman" w:hAnsi="Times New Roman" w:eastAsia="宋体" w:cs="Times New Roman"/>
                <w:b w:val="0"/>
                <w:color w:val="000000"/>
                <w:kern w:val="0"/>
                <w:sz w:val="18"/>
                <w:szCs w:val="18"/>
                <w:lang w:val="en-US" w:eastAsia="zh-CN"/>
              </w:rPr>
            </w:pPr>
            <w:r>
              <w:rPr>
                <w:rFonts w:hint="eastAsia" w:ascii="Times New Roman" w:hAnsi="Times New Roman" w:eastAsia="宋体" w:cs="Times New Roman"/>
                <w:b w:val="0"/>
                <w:color w:val="000000"/>
                <w:kern w:val="0"/>
                <w:sz w:val="18"/>
                <w:szCs w:val="18"/>
                <w:lang w:val="en-US" w:eastAsia="zh-CN"/>
              </w:rPr>
              <w:t>100</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510" w:hRule="atLeast"/>
          <w:tblHeader/>
          <w:jc w:val="center"/>
        </w:trPr>
        <w:tc>
          <w:tcPr>
            <w:tcW w:w="2236"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ascii="宋体" w:hAnsi="宋体" w:eastAsia="宋体" w:cs="宋体"/>
                <w:b w:val="0"/>
                <w:color w:val="000000"/>
                <w:kern w:val="0"/>
                <w:sz w:val="18"/>
                <w:szCs w:val="18"/>
              </w:rPr>
            </w:pPr>
            <w:r>
              <w:rPr>
                <w:rFonts w:hint="eastAsia" w:ascii="宋体" w:hAnsi="宋体" w:eastAsia="宋体" w:cs="宋体"/>
                <w:b w:val="0"/>
                <w:color w:val="000000"/>
                <w:kern w:val="0"/>
                <w:sz w:val="18"/>
                <w:szCs w:val="18"/>
              </w:rPr>
              <w:t>交通运输大类</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default" w:ascii="Times New Roman" w:hAnsi="Times New Roman" w:eastAsia="宋体" w:cs="Times New Roman"/>
                <w:b w:val="0"/>
                <w:color w:val="000000"/>
                <w:kern w:val="0"/>
                <w:sz w:val="18"/>
                <w:szCs w:val="18"/>
                <w:lang w:val="en-US" w:eastAsia="zh-CN" w:bidi="ar-SA"/>
              </w:rPr>
            </w:pPr>
            <w:r>
              <w:rPr>
                <w:rFonts w:hint="eastAsia" w:ascii="Times New Roman" w:hAnsi="Times New Roman" w:eastAsia="宋体" w:cs="Times New Roman"/>
                <w:b w:val="0"/>
                <w:color w:val="000000"/>
                <w:kern w:val="0"/>
                <w:sz w:val="18"/>
                <w:szCs w:val="18"/>
                <w:lang w:val="en-US" w:eastAsia="zh-CN"/>
              </w:rPr>
              <w:t>92.91</w:t>
            </w:r>
          </w:p>
        </w:tc>
        <w:tc>
          <w:tcPr>
            <w:tcW w:w="1381" w:type="pc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default" w:ascii="Times New Roman" w:hAnsi="Times New Roman" w:eastAsia="宋体" w:cs="Times New Roman"/>
                <w:b w:val="0"/>
                <w:color w:val="000000"/>
                <w:kern w:val="0"/>
                <w:sz w:val="18"/>
                <w:szCs w:val="18"/>
                <w:lang w:val="en-US" w:eastAsia="zh-CN"/>
              </w:rPr>
            </w:pPr>
            <w:r>
              <w:rPr>
                <w:rFonts w:hint="eastAsia" w:ascii="Times New Roman" w:hAnsi="Times New Roman" w:eastAsia="宋体" w:cs="Times New Roman"/>
                <w:b w:val="0"/>
                <w:color w:val="000000"/>
                <w:kern w:val="0"/>
                <w:sz w:val="18"/>
                <w:szCs w:val="18"/>
                <w:lang w:val="en-US" w:eastAsia="zh-CN"/>
              </w:rPr>
              <w:t>100</w:t>
            </w:r>
          </w:p>
        </w:tc>
      </w:tr>
    </w:tbl>
    <w:p>
      <w:pPr>
        <w:pStyle w:val="40"/>
      </w:pPr>
    </w:p>
    <w:p>
      <w:pPr>
        <w:pStyle w:val="40"/>
      </w:pPr>
    </w:p>
    <w:p>
      <w:pPr>
        <w:pStyle w:val="40"/>
      </w:pPr>
    </w:p>
    <w:p>
      <w:pPr>
        <w:spacing w:line="560" w:lineRule="exact"/>
        <w:ind w:firstLine="562" w:firstLineChars="200"/>
        <w:outlineLvl w:val="2"/>
        <w:rPr>
          <w:rFonts w:ascii="Times New Roman" w:hAnsi="Times New Roman" w:eastAsia="宋体" w:cs="Times New Roman"/>
          <w:b/>
          <w:bCs/>
          <w:color w:val="auto"/>
          <w:sz w:val="28"/>
          <w:szCs w:val="28"/>
          <w:highlight w:val="none"/>
        </w:rPr>
      </w:pPr>
      <w:r>
        <w:rPr>
          <w:rFonts w:ascii="Times New Roman" w:hAnsi="Times New Roman" w:eastAsia="宋体" w:cs="Times New Roman"/>
          <w:b/>
          <w:bCs/>
          <w:color w:val="auto"/>
          <w:sz w:val="28"/>
          <w:szCs w:val="28"/>
          <w:highlight w:val="none"/>
        </w:rPr>
        <w:t>2</w:t>
      </w:r>
      <w:r>
        <w:rPr>
          <w:rFonts w:hint="eastAsia"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5</w:t>
      </w:r>
      <w:r>
        <w:rPr>
          <w:rFonts w:hint="eastAsia" w:ascii="Times New Roman" w:hAnsi="Times New Roman" w:eastAsia="宋体" w:cs="Times New Roman"/>
          <w:b/>
          <w:bCs/>
          <w:color w:val="auto"/>
          <w:sz w:val="28"/>
          <w:szCs w:val="28"/>
          <w:highlight w:val="none"/>
        </w:rPr>
        <w:t>.</w:t>
      </w:r>
      <w:r>
        <w:rPr>
          <w:rFonts w:ascii="Times New Roman" w:hAnsi="Times New Roman" w:eastAsia="宋体" w:cs="Times New Roman"/>
          <w:b/>
          <w:bCs/>
          <w:color w:val="auto"/>
          <w:sz w:val="28"/>
          <w:szCs w:val="28"/>
          <w:highlight w:val="none"/>
        </w:rPr>
        <w:t>2</w:t>
      </w:r>
      <w:r>
        <w:rPr>
          <w:rFonts w:hint="eastAsia" w:ascii="Times New Roman" w:hAnsi="Times New Roman" w:eastAsia="宋体" w:cs="Times New Roman"/>
          <w:b/>
          <w:bCs/>
          <w:color w:val="auto"/>
          <w:sz w:val="28"/>
          <w:szCs w:val="28"/>
          <w:highlight w:val="none"/>
        </w:rPr>
        <w:t xml:space="preserve"> </w:t>
      </w:r>
      <w:bookmarkEnd w:id="192"/>
      <w:bookmarkEnd w:id="193"/>
      <w:bookmarkEnd w:id="194"/>
      <w:r>
        <w:rPr>
          <w:rFonts w:hint="eastAsia" w:ascii="Times New Roman" w:hAnsi="Times New Roman" w:eastAsia="宋体" w:cs="Times New Roman"/>
          <w:b/>
          <w:bCs/>
          <w:color w:val="auto"/>
          <w:sz w:val="28"/>
          <w:szCs w:val="28"/>
          <w:highlight w:val="none"/>
        </w:rPr>
        <w:t>初次就业起薪</w:t>
      </w:r>
      <w:bookmarkEnd w:id="195"/>
      <w:bookmarkEnd w:id="196"/>
      <w:bookmarkEnd w:id="197"/>
      <w:bookmarkEnd w:id="198"/>
      <w:bookmarkEnd w:id="199"/>
    </w:p>
    <w:p>
      <w:pPr>
        <w:spacing w:line="560" w:lineRule="exact"/>
        <w:ind w:firstLine="480" w:firstLineChars="200"/>
        <w:rPr>
          <w:rFonts w:hint="default" w:ascii="Times New Roman" w:hAnsi="Times New Roman" w:eastAsia="宋体" w:cs="仿宋"/>
          <w:color w:val="auto"/>
          <w:sz w:val="24"/>
          <w:szCs w:val="24"/>
          <w:highlight w:val="none"/>
          <w:lang w:val="en-US" w:eastAsia="zh-CN"/>
        </w:rPr>
      </w:pPr>
      <w:bookmarkStart w:id="212" w:name="_Toc91576134"/>
      <w:r>
        <w:rPr>
          <w:rFonts w:hint="default" w:ascii="Times New Roman" w:hAnsi="Times New Roman" w:eastAsia="宋体" w:cs="仿宋"/>
          <w:color w:val="auto"/>
          <w:sz w:val="24"/>
          <w:szCs w:val="24"/>
          <w:highlight w:val="none"/>
          <w:lang w:val="en-US" w:eastAsia="zh-CN"/>
        </w:rPr>
        <w:t>202</w:t>
      </w:r>
      <w:r>
        <w:rPr>
          <w:rFonts w:hint="eastAsia" w:ascii="Times New Roman" w:hAnsi="Times New Roman" w:eastAsia="宋体" w:cs="仿宋"/>
          <w:color w:val="auto"/>
          <w:sz w:val="24"/>
          <w:szCs w:val="24"/>
          <w:highlight w:val="none"/>
          <w:lang w:val="en-US" w:eastAsia="zh-CN"/>
        </w:rPr>
        <w:t>4年，全市职业学校毕业生平均初次就业起薪</w:t>
      </w:r>
      <w:r>
        <w:rPr>
          <w:rFonts w:hint="default" w:ascii="Times New Roman" w:hAnsi="Times New Roman" w:eastAsia="宋体" w:cs="仿宋"/>
          <w:color w:val="auto"/>
          <w:sz w:val="24"/>
          <w:szCs w:val="24"/>
          <w:highlight w:val="none"/>
          <w:lang w:val="en-US" w:eastAsia="zh-CN"/>
        </w:rPr>
        <w:t>3</w:t>
      </w:r>
      <w:r>
        <w:rPr>
          <w:rFonts w:hint="eastAsia" w:ascii="Times New Roman" w:hAnsi="Times New Roman" w:eastAsia="宋体" w:cs="仿宋"/>
          <w:color w:val="auto"/>
          <w:sz w:val="24"/>
          <w:szCs w:val="24"/>
          <w:highlight w:val="none"/>
          <w:lang w:val="en-US" w:eastAsia="zh-CN"/>
        </w:rPr>
        <w:t>30</w:t>
      </w:r>
      <w:r>
        <w:rPr>
          <w:rFonts w:hint="default" w:ascii="Times New Roman" w:hAnsi="Times New Roman" w:eastAsia="宋体" w:cs="仿宋"/>
          <w:color w:val="auto"/>
          <w:sz w:val="24"/>
          <w:szCs w:val="24"/>
          <w:highlight w:val="none"/>
          <w:lang w:val="en-US" w:eastAsia="zh-CN"/>
        </w:rPr>
        <w:t>0</w:t>
      </w:r>
      <w:r>
        <w:rPr>
          <w:rFonts w:hint="eastAsia" w:ascii="Times New Roman" w:hAnsi="Times New Roman" w:eastAsia="宋体" w:cs="仿宋"/>
          <w:color w:val="auto"/>
          <w:sz w:val="24"/>
          <w:szCs w:val="24"/>
          <w:highlight w:val="none"/>
          <w:lang w:val="en-US" w:eastAsia="zh-CN"/>
        </w:rPr>
        <w:t>元，比</w:t>
      </w:r>
      <w:r>
        <w:rPr>
          <w:rFonts w:hint="default" w:ascii="Times New Roman" w:hAnsi="Times New Roman" w:eastAsia="宋体" w:cs="仿宋"/>
          <w:color w:val="auto"/>
          <w:sz w:val="24"/>
          <w:szCs w:val="24"/>
          <w:highlight w:val="none"/>
          <w:lang w:val="en-US" w:eastAsia="zh-CN"/>
        </w:rPr>
        <w:t>202</w:t>
      </w:r>
      <w:r>
        <w:rPr>
          <w:rFonts w:hint="eastAsia" w:ascii="Times New Roman" w:hAnsi="Times New Roman" w:eastAsia="宋体" w:cs="仿宋"/>
          <w:color w:val="auto"/>
          <w:sz w:val="24"/>
          <w:szCs w:val="24"/>
          <w:highlight w:val="none"/>
          <w:lang w:val="en-US" w:eastAsia="zh-CN"/>
        </w:rPr>
        <w:t>3年增加3.13%，相比</w:t>
      </w:r>
      <w:r>
        <w:rPr>
          <w:rFonts w:hint="default" w:ascii="Times New Roman" w:hAnsi="Times New Roman" w:eastAsia="宋体" w:cs="仿宋"/>
          <w:color w:val="auto"/>
          <w:sz w:val="24"/>
          <w:szCs w:val="24"/>
          <w:highlight w:val="none"/>
          <w:lang w:val="en-US" w:eastAsia="zh-CN"/>
        </w:rPr>
        <w:t>202</w:t>
      </w:r>
      <w:r>
        <w:rPr>
          <w:rFonts w:hint="eastAsia" w:ascii="Times New Roman" w:hAnsi="Times New Roman" w:eastAsia="宋体" w:cs="仿宋"/>
          <w:color w:val="auto"/>
          <w:sz w:val="24"/>
          <w:szCs w:val="24"/>
          <w:highlight w:val="none"/>
          <w:lang w:val="en-US" w:eastAsia="zh-CN"/>
        </w:rPr>
        <w:t>3届毕业生的初次就业起薪增长10</w:t>
      </w:r>
      <w:r>
        <w:rPr>
          <w:rFonts w:hint="default" w:ascii="Times New Roman" w:hAnsi="Times New Roman" w:eastAsia="宋体" w:cs="仿宋"/>
          <w:color w:val="auto"/>
          <w:sz w:val="24"/>
          <w:szCs w:val="24"/>
          <w:highlight w:val="none"/>
          <w:lang w:val="en-US" w:eastAsia="zh-CN"/>
        </w:rPr>
        <w:t>0</w:t>
      </w:r>
      <w:r>
        <w:rPr>
          <w:rFonts w:hint="eastAsia" w:ascii="Times New Roman" w:hAnsi="Times New Roman" w:eastAsia="宋体" w:cs="仿宋"/>
          <w:color w:val="auto"/>
          <w:sz w:val="24"/>
          <w:szCs w:val="24"/>
          <w:highlight w:val="none"/>
          <w:lang w:val="en-US" w:eastAsia="zh-CN"/>
        </w:rPr>
        <w:t>元</w:t>
      </w:r>
      <w:bookmarkEnd w:id="212"/>
      <w:r>
        <w:rPr>
          <w:rFonts w:hint="eastAsia" w:ascii="Times New Roman" w:hAnsi="Times New Roman" w:eastAsia="宋体" w:cs="仿宋"/>
          <w:color w:val="auto"/>
          <w:sz w:val="24"/>
          <w:szCs w:val="24"/>
          <w:highlight w:val="none"/>
          <w:lang w:val="en-US" w:eastAsia="zh-CN"/>
        </w:rPr>
        <w:t>，平均月收入4038元。</w:t>
      </w:r>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eastAsia="zh-CN"/>
        </w:rPr>
      </w:pPr>
      <w:bookmarkStart w:id="213" w:name="_Toc11907"/>
      <w:bookmarkStart w:id="214" w:name="_Toc17711"/>
      <w:bookmarkStart w:id="215" w:name="_Toc91576135"/>
      <w:bookmarkStart w:id="216" w:name="_Toc2669"/>
      <w:bookmarkStart w:id="217" w:name="_Toc1146"/>
      <w:r>
        <w:rPr>
          <w:rFonts w:ascii="Times New Roman" w:hAnsi="Times New Roman" w:eastAsia="宋体" w:cs="Times New Roman"/>
          <w:b/>
          <w:bCs/>
          <w:color w:val="auto"/>
          <w:sz w:val="28"/>
          <w:szCs w:val="28"/>
          <w:highlight w:val="none"/>
        </w:rPr>
        <w:t>2</w:t>
      </w:r>
      <w:r>
        <w:rPr>
          <w:rFonts w:hint="eastAsia"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5</w:t>
      </w:r>
      <w:r>
        <w:rPr>
          <w:rFonts w:hint="eastAsia" w:ascii="Times New Roman" w:hAnsi="Times New Roman" w:eastAsia="宋体" w:cs="Times New Roman"/>
          <w:b/>
          <w:bCs/>
          <w:color w:val="auto"/>
          <w:sz w:val="28"/>
          <w:szCs w:val="28"/>
          <w:highlight w:val="none"/>
        </w:rPr>
        <w:t>.</w:t>
      </w:r>
      <w:r>
        <w:rPr>
          <w:rFonts w:ascii="Times New Roman" w:hAnsi="Times New Roman" w:eastAsia="宋体" w:cs="Times New Roman"/>
          <w:b/>
          <w:bCs/>
          <w:color w:val="auto"/>
          <w:sz w:val="28"/>
          <w:szCs w:val="28"/>
          <w:highlight w:val="none"/>
        </w:rPr>
        <w:t>3</w:t>
      </w:r>
      <w:r>
        <w:rPr>
          <w:rFonts w:hint="eastAsia" w:ascii="Times New Roman" w:hAnsi="Times New Roman" w:eastAsia="宋体" w:cs="Times New Roman"/>
          <w:b/>
          <w:bCs/>
          <w:color w:val="auto"/>
          <w:sz w:val="28"/>
          <w:szCs w:val="28"/>
          <w:highlight w:val="none"/>
        </w:rPr>
        <w:t xml:space="preserve"> 毕业生就业满意度</w:t>
      </w:r>
      <w:bookmarkEnd w:id="213"/>
      <w:bookmarkEnd w:id="214"/>
      <w:bookmarkEnd w:id="215"/>
      <w:bookmarkEnd w:id="216"/>
      <w:bookmarkEnd w:id="217"/>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rPr>
        <w:t>遂宁市各中等职业学校扎实推进学生就业工作，引导学生树立正确的就业择业观，学生就业能力保持基本稳定，稳中有升。</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2024学年在对遂宁市应届毕业生和已毕业三年内（含三年）毕业生调研中，升学/就业/创业与所学专业的对口率为95.54%；毕业生对学校教学工作的满意度为98.58%，对学校学生管理工作的满意度为98.39%，对学校就业工作的满意度为98.48%，对学校的整体满意度为98.15%，见图10。</w:t>
      </w:r>
    </w:p>
    <w:p>
      <w:pPr>
        <w:pStyle w:val="2"/>
        <w:rPr>
          <w:rFonts w:hint="eastAsia" w:ascii="Times New Roman" w:hAnsi="Times New Roman" w:eastAsia="宋体" w:cs="仿宋"/>
          <w:color w:val="auto"/>
          <w:sz w:val="24"/>
          <w:szCs w:val="24"/>
          <w:highlight w:val="none"/>
          <w:lang w:val="en-US" w:eastAsia="zh-CN"/>
        </w:rPr>
      </w:pPr>
      <w:r>
        <w:rPr>
          <w:rFonts w:hint="default" w:ascii="Times New Roman" w:hAnsi="Times New Roman" w:eastAsia="宋体" w:cs="仿宋"/>
          <w:color w:val="auto"/>
          <w:kern w:val="2"/>
          <w:sz w:val="24"/>
          <w:szCs w:val="24"/>
          <w:lang w:val="en-US" w:eastAsia="zh-CN" w:bidi="ar-SA"/>
        </w:rPr>
        <w:drawing>
          <wp:anchor distT="0" distB="0" distL="114300" distR="114300" simplePos="0" relativeHeight="251666432" behindDoc="0" locked="0" layoutInCell="1" allowOverlap="1">
            <wp:simplePos x="0" y="0"/>
            <wp:positionH relativeFrom="column">
              <wp:posOffset>8890</wp:posOffset>
            </wp:positionH>
            <wp:positionV relativeFrom="paragraph">
              <wp:posOffset>56515</wp:posOffset>
            </wp:positionV>
            <wp:extent cx="5257165" cy="2745105"/>
            <wp:effectExtent l="4445" t="4445" r="8890" b="6350"/>
            <wp:wrapNone/>
            <wp:docPr id="16" name="图表 16" descr="7b0a202020202263686172745265734964223a202232303437363037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pPr>
        <w:pStyle w:val="2"/>
        <w:rPr>
          <w:rFonts w:hint="eastAsia" w:ascii="Times New Roman" w:hAnsi="Times New Roman" w:eastAsia="宋体" w:cs="仿宋"/>
          <w:color w:val="auto"/>
          <w:sz w:val="24"/>
          <w:szCs w:val="24"/>
          <w:highlight w:val="none"/>
          <w:lang w:val="en-US" w:eastAsia="zh-CN"/>
        </w:rPr>
      </w:pPr>
    </w:p>
    <w:p>
      <w:pPr>
        <w:pStyle w:val="2"/>
        <w:rPr>
          <w:rFonts w:hint="eastAsia" w:ascii="Times New Roman" w:hAnsi="Times New Roman" w:eastAsia="宋体" w:cs="仿宋"/>
          <w:color w:val="auto"/>
          <w:sz w:val="24"/>
          <w:szCs w:val="24"/>
          <w:highlight w:val="none"/>
          <w:lang w:val="en-US" w:eastAsia="zh-CN"/>
        </w:rPr>
      </w:pPr>
    </w:p>
    <w:p>
      <w:pPr>
        <w:pStyle w:val="2"/>
        <w:rPr>
          <w:rFonts w:hint="eastAsia" w:ascii="Times New Roman" w:hAnsi="Times New Roman" w:eastAsia="宋体" w:cs="仿宋"/>
          <w:color w:val="auto"/>
          <w:sz w:val="24"/>
          <w:szCs w:val="24"/>
          <w:highlight w:val="none"/>
          <w:lang w:val="en-US" w:eastAsia="zh-CN"/>
        </w:rPr>
      </w:pPr>
    </w:p>
    <w:p>
      <w:pPr>
        <w:pStyle w:val="2"/>
        <w:rPr>
          <w:rFonts w:hint="eastAsia" w:ascii="Times New Roman" w:hAnsi="Times New Roman" w:eastAsia="宋体" w:cs="仿宋"/>
          <w:color w:val="auto"/>
          <w:sz w:val="24"/>
          <w:szCs w:val="24"/>
          <w:highlight w:val="none"/>
          <w:lang w:val="en-US" w:eastAsia="zh-CN"/>
        </w:rPr>
      </w:pPr>
    </w:p>
    <w:p>
      <w:pPr>
        <w:pStyle w:val="2"/>
        <w:rPr>
          <w:rFonts w:hint="eastAsia" w:ascii="Times New Roman" w:hAnsi="Times New Roman" w:eastAsia="宋体" w:cs="仿宋"/>
          <w:color w:val="auto"/>
          <w:sz w:val="24"/>
          <w:szCs w:val="24"/>
          <w:highlight w:val="none"/>
          <w:lang w:val="en-US" w:eastAsia="zh-CN"/>
        </w:rPr>
      </w:pPr>
    </w:p>
    <w:p>
      <w:pPr>
        <w:pStyle w:val="2"/>
        <w:rPr>
          <w:rFonts w:hint="eastAsia" w:ascii="Times New Roman" w:hAnsi="Times New Roman" w:eastAsia="宋体" w:cs="仿宋"/>
          <w:color w:val="auto"/>
          <w:sz w:val="24"/>
          <w:szCs w:val="24"/>
          <w:highlight w:val="none"/>
          <w:lang w:val="en-US" w:eastAsia="zh-CN"/>
        </w:rPr>
      </w:pPr>
    </w:p>
    <w:p>
      <w:pPr>
        <w:pStyle w:val="2"/>
        <w:rPr>
          <w:rFonts w:hint="eastAsia" w:ascii="Times New Roman" w:hAnsi="Times New Roman" w:eastAsia="宋体" w:cs="仿宋"/>
          <w:color w:val="auto"/>
          <w:sz w:val="24"/>
          <w:szCs w:val="24"/>
          <w:highlight w:val="none"/>
          <w:lang w:val="en-US" w:eastAsia="zh-CN"/>
        </w:rPr>
      </w:pPr>
    </w:p>
    <w:p>
      <w:pPr>
        <w:pStyle w:val="2"/>
        <w:rPr>
          <w:rFonts w:hint="eastAsia" w:ascii="Times New Roman" w:hAnsi="Times New Roman" w:eastAsia="宋体" w:cs="仿宋"/>
          <w:color w:val="auto"/>
          <w:sz w:val="24"/>
          <w:szCs w:val="24"/>
          <w:highlight w:val="none"/>
          <w:lang w:val="en-US" w:eastAsia="zh-CN"/>
        </w:rPr>
      </w:pPr>
    </w:p>
    <w:p>
      <w:pPr>
        <w:pStyle w:val="2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Times New Roman" w:hAnsi="Times New Roman" w:eastAsia="宋体" w:cs="仿宋"/>
          <w:color w:val="auto"/>
          <w:kern w:val="2"/>
          <w:sz w:val="24"/>
          <w:szCs w:val="24"/>
          <w:lang w:val="en-US" w:eastAsia="zh-CN" w:bidi="ar-SA"/>
        </w:rPr>
      </w:pPr>
    </w:p>
    <w:p>
      <w:pPr>
        <w:pStyle w:val="8"/>
        <w:keepNext w:val="0"/>
        <w:keepLines w:val="0"/>
        <w:pageBreakBefore w:val="0"/>
        <w:widowControl w:val="0"/>
        <w:kinsoku/>
        <w:wordWrap/>
        <w:overflowPunct/>
        <w:topLinePunct w:val="0"/>
        <w:autoSpaceDE/>
        <w:autoSpaceDN/>
        <w:bidi w:val="0"/>
        <w:adjustRightInd/>
        <w:snapToGrid/>
        <w:spacing w:after="95" w:afterLines="30" w:line="440" w:lineRule="exact"/>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10</w:t>
      </w:r>
      <w:r>
        <w:rPr>
          <w:rFonts w:hint="eastAsia" w:ascii="Times New Roman" w:hAnsi="Times New Roman" w:eastAsia="楷体" w:cs="楷体"/>
          <w:sz w:val="24"/>
          <w:szCs w:val="24"/>
        </w:rPr>
        <w:fldChar w:fldCharType="end"/>
      </w:r>
      <w:bookmarkStart w:id="218" w:name="_Toc30790"/>
      <w:r>
        <w:rPr>
          <w:rFonts w:hint="eastAsia" w:ascii="Times New Roman" w:hAnsi="Times New Roman" w:eastAsia="楷体" w:cs="楷体"/>
          <w:sz w:val="24"/>
          <w:szCs w:val="24"/>
          <w:lang w:val="en-US" w:eastAsia="zh-CN"/>
        </w:rPr>
        <w:t xml:space="preserve"> 2024学年用人单位对毕业生各项指标的满意度</w:t>
      </w:r>
      <w:bookmarkEnd w:id="200"/>
      <w:bookmarkEnd w:id="201"/>
      <w:bookmarkEnd w:id="202"/>
      <w:bookmarkEnd w:id="203"/>
      <w:bookmarkEnd w:id="218"/>
      <w:bookmarkStart w:id="219" w:name="_Toc24281"/>
      <w:bookmarkStart w:id="220" w:name="_Toc2110"/>
      <w:bookmarkStart w:id="221" w:name="_Toc12780"/>
      <w:bookmarkStart w:id="222" w:name="_Toc2314"/>
    </w:p>
    <w:p>
      <w:pPr>
        <w:spacing w:line="560" w:lineRule="exact"/>
        <w:ind w:firstLine="480" w:firstLineChars="200"/>
        <w:rPr>
          <w:rFonts w:hint="eastAsia" w:ascii="宋体" w:hAnsi="宋体" w:eastAsia="宋体" w:cs="宋体"/>
          <w:b/>
          <w:bCs/>
          <w:lang w:val="en-US" w:eastAsia="zh-CN"/>
        </w:rPr>
      </w:pPr>
      <w:r>
        <w:rPr>
          <w:rFonts w:hint="eastAsia" w:ascii="Times New Roman" w:hAnsi="Times New Roman" w:eastAsia="宋体" w:cs="仿宋"/>
          <w:color w:val="auto"/>
          <w:sz w:val="24"/>
          <w:szCs w:val="24"/>
          <w:highlight w:val="none"/>
          <w:lang w:val="en-US" w:eastAsia="zh-CN"/>
        </w:rPr>
        <w:t>用人单位对毕业生工作态度的满意度为98.85%，对毕业生工作效率的满意度为98.52%，对毕业生学习能力的满意度为98.66%，对毕业生职业素养的满意度为98.32%，对毕业生职业技能的满意度为98.86%，对毕业生岗位适应能力的满意度为98.32%，对毕业生创新能力的满意度为97.68%，对遂宁市中职学校供应人才的整体满意度为98.46%。</w:t>
      </w:r>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2.5.4 创新创业</w:t>
      </w:r>
      <w:bookmarkEnd w:id="219"/>
      <w:bookmarkEnd w:id="220"/>
      <w:bookmarkEnd w:id="221"/>
      <w:bookmarkEnd w:id="222"/>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遂宁市中等职业教育为贯彻落实国家、省、市关于促进创新创业的重要部署，坚持“以赛促教”“以赛促学”“以赛促创”，搭建创新创业平台，深入推进职业学校创新创业教育，增强学生创新创业意识和能力，培养更多高素质技术技能人才和创新创业人才，引领职业院校教学团队改革创新，推动遂宁职业教育事业高质量发展。</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2024年6月22日举行了遂宁市中等职业学校学生“创新创业大赛”，共收到四川省蓬溪县中等职业技术学校、四川省遂宁市安居职业高级中学校等6所中职学校的50个作品参加市级决赛，评选出优秀项目一等奖10个，二等奖15个，三等奖15个；优秀指导教师35名，5个作品推荐参加四川省职业院校创新创业大赛（中职赛道）。2024年9月18日举办了中职学校创新创业培训，聘请中欧国际管理学院博士生导师，四川益信工程咨询管理有限公司执行董事邹远新博士作了专题讲座，增强了中职学生创新创业意识和能力。</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jc w:val="both"/>
        <w:textAlignment w:val="auto"/>
        <w:rPr>
          <w:rFonts w:hint="eastAsia" w:ascii="Times New Roman" w:hAnsi="Times New Roman" w:eastAsia="宋体" w:cs="仿宋"/>
          <w:color w:val="auto"/>
          <w:kern w:val="2"/>
          <w:sz w:val="24"/>
          <w:szCs w:val="24"/>
          <w:lang w:val="en-US" w:eastAsia="zh-CN" w:bidi="ar-SA"/>
        </w:rPr>
      </w:pPr>
    </w:p>
    <w:p>
      <w:pPr>
        <w:pStyle w:val="8"/>
        <w:keepNext w:val="0"/>
        <w:keepLines w:val="0"/>
        <w:pageBreakBefore w:val="0"/>
        <w:widowControl w:val="0"/>
        <w:kinsoku/>
        <w:wordWrap/>
        <w:overflowPunct/>
        <w:topLinePunct w:val="0"/>
        <w:autoSpaceDE/>
        <w:autoSpaceDN/>
        <w:bidi w:val="0"/>
        <w:adjustRightInd w:val="0"/>
        <w:snapToGrid w:val="0"/>
        <w:spacing w:line="480" w:lineRule="exact"/>
        <w:contextualSpacing/>
        <w:jc w:val="left"/>
        <w:textAlignment w:val="auto"/>
        <w:outlineLvl w:val="2"/>
        <w:rPr>
          <w:rFonts w:hint="eastAsia" w:ascii="黑体" w:hAnsi="黑体" w:eastAsia="黑体" w:cs="黑体"/>
          <w:b/>
          <w:bCs/>
          <w:color w:val="C55A11" w:themeColor="accent2" w:themeShade="BF"/>
          <w:sz w:val="24"/>
          <w:szCs w:val="24"/>
          <w:lang w:val="en-US" w:eastAsia="zh-CN"/>
        </w:rPr>
      </w:pPr>
      <w:r>
        <w:rPr>
          <w:rFonts w:hint="eastAsia" w:ascii="黑体" w:hAnsi="黑体" w:eastAsia="黑体" w:cs="黑体"/>
          <w:b/>
          <w:bCs/>
          <w:color w:val="C55A11" w:themeColor="accent2" w:themeShade="BF"/>
          <w:sz w:val="24"/>
          <w:szCs w:val="24"/>
          <w:lang w:eastAsia="zh-CN"/>
        </w:rPr>
        <w:t>【案例</w:t>
      </w:r>
      <w:r>
        <w:rPr>
          <w:rFonts w:hint="eastAsia" w:ascii="黑体" w:hAnsi="黑体" w:eastAsia="黑体" w:cs="黑体"/>
          <w:b/>
          <w:bCs/>
          <w:color w:val="C55A11" w:themeColor="accent2" w:themeShade="BF"/>
          <w:sz w:val="24"/>
          <w:szCs w:val="24"/>
          <w:lang w:eastAsia="zh-CN"/>
        </w:rPr>
        <w:fldChar w:fldCharType="begin"/>
      </w:r>
      <w:r>
        <w:rPr>
          <w:rFonts w:hint="eastAsia" w:ascii="黑体" w:hAnsi="黑体" w:eastAsia="黑体" w:cs="黑体"/>
          <w:b/>
          <w:bCs/>
          <w:color w:val="C55A11" w:themeColor="accent2" w:themeShade="BF"/>
          <w:sz w:val="24"/>
          <w:szCs w:val="24"/>
          <w:lang w:eastAsia="zh-CN"/>
        </w:rPr>
        <w:instrText xml:space="preserve"> SEQ 案例 \* ARABIC </w:instrText>
      </w:r>
      <w:r>
        <w:rPr>
          <w:rFonts w:hint="eastAsia" w:ascii="黑体" w:hAnsi="黑体" w:eastAsia="黑体" w:cs="黑体"/>
          <w:b/>
          <w:bCs/>
          <w:color w:val="C55A11" w:themeColor="accent2" w:themeShade="BF"/>
          <w:sz w:val="24"/>
          <w:szCs w:val="24"/>
          <w:lang w:eastAsia="zh-CN"/>
        </w:rPr>
        <w:fldChar w:fldCharType="separate"/>
      </w:r>
      <w:r>
        <w:rPr>
          <w:rFonts w:hint="eastAsia" w:ascii="黑体" w:hAnsi="黑体" w:eastAsia="黑体" w:cs="黑体"/>
          <w:b/>
          <w:bCs/>
          <w:color w:val="C55A11" w:themeColor="accent2" w:themeShade="BF"/>
          <w:sz w:val="24"/>
          <w:szCs w:val="24"/>
          <w:lang w:eastAsia="zh-CN"/>
        </w:rPr>
        <w:t>3</w:t>
      </w:r>
      <w:r>
        <w:rPr>
          <w:rFonts w:hint="eastAsia" w:ascii="黑体" w:hAnsi="黑体" w:eastAsia="黑体" w:cs="黑体"/>
          <w:b/>
          <w:bCs/>
          <w:color w:val="C55A11" w:themeColor="accent2" w:themeShade="BF"/>
          <w:sz w:val="24"/>
          <w:szCs w:val="24"/>
          <w:lang w:eastAsia="zh-CN"/>
        </w:rPr>
        <w:fldChar w:fldCharType="end"/>
      </w:r>
      <w:bookmarkStart w:id="223" w:name="_Toc8832"/>
      <w:r>
        <w:rPr>
          <w:rFonts w:hint="eastAsia" w:ascii="黑体" w:hAnsi="黑体" w:eastAsia="黑体" w:cs="黑体"/>
          <w:b/>
          <w:bCs/>
          <w:color w:val="C55A11" w:themeColor="accent2" w:themeShade="BF"/>
          <w:sz w:val="24"/>
          <w:szCs w:val="24"/>
          <w:lang w:val="en-US" w:eastAsia="zh-CN"/>
        </w:rPr>
        <w:t>】优秀毕业生文京府：奋斗之路，回馈社会</w:t>
      </w:r>
      <w:bookmarkEnd w:id="223"/>
    </w:p>
    <w:p>
      <w:pPr>
        <w:pStyle w:val="8"/>
        <w:keepNext w:val="0"/>
        <w:keepLines w:val="0"/>
        <w:pageBreakBefore w:val="0"/>
        <w:widowControl w:val="0"/>
        <w:kinsoku/>
        <w:wordWrap/>
        <w:overflowPunct/>
        <w:topLinePunct w:val="0"/>
        <w:autoSpaceDE/>
        <w:autoSpaceDN/>
        <w:bidi w:val="0"/>
        <w:adjustRightInd w:val="0"/>
        <w:snapToGrid w:val="0"/>
        <w:spacing w:line="480" w:lineRule="exact"/>
        <w:contextualSpacing/>
        <w:jc w:val="right"/>
        <w:textAlignment w:val="auto"/>
        <w:outlineLvl w:val="2"/>
        <w:rPr>
          <w:rFonts w:hint="eastAsia" w:ascii="楷体" w:hAnsi="楷体" w:eastAsia="楷体" w:cs="楷体"/>
          <w:b/>
          <w:bCs/>
          <w:color w:val="C55A11" w:themeColor="accent2" w:themeShade="BF"/>
          <w:kern w:val="2"/>
          <w:sz w:val="24"/>
          <w:szCs w:val="24"/>
          <w:lang w:val="en-US" w:eastAsia="zh-CN" w:bidi="ar-SA"/>
        </w:rPr>
      </w:pPr>
      <w:r>
        <w:rPr>
          <w:rFonts w:hint="eastAsia" w:ascii="黑体" w:hAnsi="黑体" w:eastAsia="黑体" w:cs="黑体"/>
          <w:b/>
          <w:bCs/>
          <w:color w:val="C55A11" w:themeColor="accent2" w:themeShade="BF"/>
          <w:sz w:val="24"/>
          <w:szCs w:val="24"/>
          <w:lang w:val="en-US" w:eastAsia="zh-CN"/>
        </w:rPr>
        <w:t>——四川省射洪市职业中专学校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文京府，男，48岁，四川省射洪市职业中专学校1996级机电专业毕业。</w:t>
      </w:r>
    </w:p>
    <w:p>
      <w:pPr>
        <w:keepNext w:val="0"/>
        <w:keepLines w:val="0"/>
        <w:pageBreakBefore w:val="0"/>
        <w:widowControl w:val="0"/>
        <w:kinsoku/>
        <w:wordWrap/>
        <w:overflowPunct/>
        <w:topLinePunct w:val="0"/>
        <w:autoSpaceDE/>
        <w:autoSpaceDN/>
        <w:bidi w:val="0"/>
        <w:adjustRightInd/>
        <w:snapToGrid/>
        <w:spacing w:line="440" w:lineRule="exact"/>
        <w:ind w:firstLine="481"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b/>
          <w:bCs/>
          <w:color w:val="auto"/>
          <w:sz w:val="24"/>
          <w:szCs w:val="24"/>
          <w:lang w:val="en-US" w:eastAsia="zh-CN"/>
        </w:rPr>
        <w:t>勤奋努力，力求上进。</w:t>
      </w:r>
      <w:r>
        <w:rPr>
          <w:rFonts w:hint="eastAsia" w:ascii="楷体" w:hAnsi="楷体" w:eastAsia="楷体" w:cs="楷体"/>
          <w:color w:val="auto"/>
          <w:sz w:val="24"/>
          <w:szCs w:val="24"/>
          <w:lang w:val="en-US" w:eastAsia="zh-CN"/>
        </w:rPr>
        <w:t>文京府1996年职中毕业分配到成都制药厂，机电技术工人，后从事销售工作，通过自身不断努力，打拼出成功的新天地，成为学校学子的榜样。他先后担任四川龙人药业生产部、销售部经理；成都康泉植物原料有限公司总经理；四川省飞天动物药业有限公司总经理；2017年6月创建四川康泉生物科技有限公司，任公司董事长至今。</w:t>
      </w:r>
    </w:p>
    <w:p>
      <w:pPr>
        <w:keepNext w:val="0"/>
        <w:keepLines w:val="0"/>
        <w:pageBreakBefore w:val="0"/>
        <w:widowControl w:val="0"/>
        <w:kinsoku/>
        <w:wordWrap/>
        <w:overflowPunct/>
        <w:topLinePunct w:val="0"/>
        <w:autoSpaceDE/>
        <w:autoSpaceDN/>
        <w:bidi w:val="0"/>
        <w:adjustRightInd/>
        <w:snapToGrid/>
        <w:spacing w:line="440" w:lineRule="exact"/>
        <w:ind w:firstLine="481"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b/>
          <w:bCs/>
          <w:color w:val="auto"/>
          <w:sz w:val="24"/>
          <w:szCs w:val="24"/>
          <w:lang w:val="en-US" w:eastAsia="zh-CN"/>
        </w:rPr>
        <w:t>艰苦创业，拓展创新。</w:t>
      </w:r>
      <w:r>
        <w:rPr>
          <w:rFonts w:hint="eastAsia" w:ascii="楷体" w:hAnsi="楷体" w:eastAsia="楷体" w:cs="楷体"/>
          <w:color w:val="auto"/>
          <w:sz w:val="24"/>
          <w:szCs w:val="24"/>
          <w:lang w:val="en-US" w:eastAsia="zh-CN"/>
        </w:rPr>
        <w:t>公司创立于2008年，2013年收购四川省飞天动物药业有限公司，2017年建立四川康泉生物科技有限公司。公司位于四川省遂宁市大英县，主要从事生物饲料、日用化工产品、兽药、医用包装材料、卫生用品等项目产品的研发、制造与销售，同时提供技术咨询服务、包装服务等。是西南地区规模最大，产品最全的宠物药品生产基地，旗下有多个品牌，包括飞天系列，康泉系列宠物药品、食品。</w:t>
      </w:r>
    </w:p>
    <w:p>
      <w:pPr>
        <w:keepNext w:val="0"/>
        <w:keepLines w:val="0"/>
        <w:pageBreakBefore w:val="0"/>
        <w:widowControl w:val="0"/>
        <w:kinsoku/>
        <w:wordWrap/>
        <w:overflowPunct/>
        <w:topLinePunct w:val="0"/>
        <w:autoSpaceDE/>
        <w:autoSpaceDN/>
        <w:bidi w:val="0"/>
        <w:adjustRightInd/>
        <w:snapToGrid/>
        <w:spacing w:line="440" w:lineRule="exact"/>
        <w:ind w:firstLine="481"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b/>
          <w:bCs/>
          <w:color w:val="auto"/>
          <w:sz w:val="24"/>
          <w:szCs w:val="24"/>
          <w:lang w:val="en-US" w:eastAsia="zh-CN"/>
        </w:rPr>
        <w:t>热心公益，回报社会。</w:t>
      </w:r>
      <w:r>
        <w:rPr>
          <w:rFonts w:hint="eastAsia" w:ascii="楷体" w:hAnsi="楷体" w:eastAsia="楷体" w:cs="楷体"/>
          <w:color w:val="auto"/>
          <w:sz w:val="24"/>
          <w:szCs w:val="24"/>
          <w:lang w:val="en-US" w:eastAsia="zh-CN"/>
        </w:rPr>
        <w:t>随着企业的做强做大，文京府时刻不忘自己的初心使命，热心公益，回报社会，显示出了一名企业家的责任和担当。2020年疫情暴发，企业参与疫情抗击和爱心捐赠；2023年参与河北洪灾灾区爱心捐赠。作为射洪人，他情系家乡，2022年，助力射洪市乡村振兴技术培训。2023年，深入若尔盖交流学习调研，参加了大英县第六届委员会第三次会议，参加县工商联六届三次执委会和遂宁两会，为区域经济发展做出了应有的贡献。</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ascii="宋体" w:hAnsi="宋体" w:eastAsia="宋体" w:cs="宋体"/>
          <w:color w:val="000000"/>
          <w:sz w:val="28"/>
          <w:szCs w:val="28"/>
        </w:rPr>
      </w:pPr>
      <w:r>
        <w:rPr>
          <w:rFonts w:hint="eastAsia" w:ascii="宋体" w:hAnsi="宋体" w:cs="宋体"/>
          <w:color w:val="000000" w:themeColor="text1"/>
          <w:sz w:val="28"/>
          <w:szCs w:val="28"/>
          <w14:textFill>
            <w14:solidFill>
              <w14:schemeClr w14:val="tx1"/>
            </w14:solidFill>
          </w14:textFill>
        </w:rPr>
        <w:drawing>
          <wp:anchor distT="0" distB="0" distL="114300" distR="114300" simplePos="0" relativeHeight="251672576" behindDoc="0" locked="0" layoutInCell="1" allowOverlap="1">
            <wp:simplePos x="0" y="0"/>
            <wp:positionH relativeFrom="column">
              <wp:posOffset>2686685</wp:posOffset>
            </wp:positionH>
            <wp:positionV relativeFrom="paragraph">
              <wp:posOffset>22860</wp:posOffset>
            </wp:positionV>
            <wp:extent cx="2601595" cy="1951355"/>
            <wp:effectExtent l="0" t="0" r="1905" b="4445"/>
            <wp:wrapNone/>
            <wp:docPr id="25" name="图片 25" descr="9261709ad8248e84deb88d563716d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9261709ad8248e84deb88d563716d88"/>
                    <pic:cNvPicPr>
                      <a:picLocks noChangeAspect="true"/>
                    </pic:cNvPicPr>
                  </pic:nvPicPr>
                  <pic:blipFill>
                    <a:blip r:embed="rId29"/>
                    <a:stretch>
                      <a:fillRect/>
                    </a:stretch>
                  </pic:blipFill>
                  <pic:spPr>
                    <a:xfrm>
                      <a:off x="0" y="0"/>
                      <a:ext cx="2601595" cy="1951355"/>
                    </a:xfrm>
                    <a:prstGeom prst="rect">
                      <a:avLst/>
                    </a:prstGeom>
                  </pic:spPr>
                </pic:pic>
              </a:graphicData>
            </a:graphic>
          </wp:anchor>
        </w:drawing>
      </w:r>
      <w:r>
        <w:rPr>
          <w:rFonts w:hint="eastAsia" w:ascii="宋体" w:hAnsi="宋体" w:eastAsia="宋体" w:cs="宋体"/>
          <w:color w:val="000000"/>
          <w:sz w:val="28"/>
          <w:szCs w:val="28"/>
        </w:rPr>
        <w:drawing>
          <wp:anchor distT="0" distB="0" distL="114300" distR="114300" simplePos="0" relativeHeight="251673600" behindDoc="0" locked="0" layoutInCell="1" allowOverlap="1">
            <wp:simplePos x="0" y="0"/>
            <wp:positionH relativeFrom="column">
              <wp:posOffset>50800</wp:posOffset>
            </wp:positionH>
            <wp:positionV relativeFrom="paragraph">
              <wp:posOffset>20320</wp:posOffset>
            </wp:positionV>
            <wp:extent cx="2599690" cy="1950720"/>
            <wp:effectExtent l="0" t="0" r="3810" b="5080"/>
            <wp:wrapNone/>
            <wp:docPr id="19" name="图片 19" descr="39e2b5f81e77fb5d0eaa5c2045884b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39e2b5f81e77fb5d0eaa5c2045884bd"/>
                    <pic:cNvPicPr>
                      <a:picLocks noChangeAspect="true"/>
                    </pic:cNvPicPr>
                  </pic:nvPicPr>
                  <pic:blipFill>
                    <a:blip r:embed="rId30"/>
                    <a:stretch>
                      <a:fillRect/>
                    </a:stretch>
                  </pic:blipFill>
                  <pic:spPr>
                    <a:xfrm>
                      <a:off x="0" y="0"/>
                      <a:ext cx="2599690" cy="19507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ascii="宋体" w:hAnsi="宋体" w:eastAsia="宋体" w:cs="宋体"/>
          <w:color w:val="000000"/>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ascii="宋体" w:hAnsi="宋体" w:eastAsia="宋体" w:cs="宋体"/>
          <w:color w:val="000000"/>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ascii="宋体" w:hAnsi="宋体" w:eastAsia="宋体" w:cs="宋体"/>
          <w:color w:val="000000"/>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ascii="宋体" w:hAnsi="宋体" w:eastAsia="宋体" w:cs="宋体"/>
          <w:color w:val="000000"/>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ascii="宋体" w:hAnsi="宋体" w:eastAsia="宋体" w:cs="宋体"/>
          <w:color w:val="000000"/>
          <w:sz w:val="28"/>
          <w:szCs w:val="28"/>
        </w:rPr>
      </w:pPr>
    </w:p>
    <w:p>
      <w:pPr>
        <w:pStyle w:val="8"/>
        <w:keepNext w:val="0"/>
        <w:keepLines w:val="0"/>
        <w:pageBreakBefore w:val="0"/>
        <w:widowControl w:val="0"/>
        <w:kinsoku/>
        <w:wordWrap/>
        <w:overflowPunct/>
        <w:topLinePunct w:val="0"/>
        <w:autoSpaceDE/>
        <w:autoSpaceDN/>
        <w:bidi w:val="0"/>
        <w:adjustRightInd/>
        <w:snapToGrid/>
        <w:spacing w:before="63" w:beforeLines="20" w:line="360" w:lineRule="auto"/>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11</w:t>
      </w:r>
      <w:r>
        <w:rPr>
          <w:rFonts w:hint="eastAsia" w:ascii="Times New Roman" w:hAnsi="Times New Roman" w:eastAsia="楷体" w:cs="楷体"/>
          <w:sz w:val="24"/>
          <w:szCs w:val="24"/>
        </w:rPr>
        <w:fldChar w:fldCharType="end"/>
      </w:r>
      <w:bookmarkStart w:id="224" w:name="_Toc23307"/>
      <w:r>
        <w:rPr>
          <w:rFonts w:hint="eastAsia" w:ascii="Times New Roman" w:hAnsi="Times New Roman" w:eastAsia="楷体" w:cs="楷体"/>
          <w:sz w:val="24"/>
          <w:szCs w:val="24"/>
          <w:lang w:val="en-US" w:eastAsia="zh-CN"/>
        </w:rPr>
        <w:t xml:space="preserve"> 优秀毕业学子文京府</w:t>
      </w:r>
      <w:bookmarkEnd w:id="224"/>
    </w:p>
    <w:p>
      <w:pPr>
        <w:spacing w:line="560" w:lineRule="exact"/>
        <w:ind w:firstLine="602" w:firstLineChars="200"/>
        <w:outlineLvl w:val="1"/>
        <w:rPr>
          <w:rFonts w:hint="default" w:ascii="Times New Roman" w:hAnsi="Times New Roman" w:eastAsia="楷体" w:cs="Times New Roman"/>
          <w:b/>
          <w:bCs/>
          <w:color w:val="auto"/>
          <w:sz w:val="30"/>
          <w:szCs w:val="30"/>
          <w:highlight w:val="none"/>
          <w:lang w:val="en-US" w:eastAsia="zh-CN"/>
        </w:rPr>
      </w:pPr>
      <w:bookmarkStart w:id="225" w:name="_Toc18492"/>
      <w:bookmarkStart w:id="226" w:name="_Toc3941"/>
      <w:bookmarkStart w:id="227" w:name="_Toc32383"/>
      <w:bookmarkStart w:id="228" w:name="_Toc13683"/>
      <w:bookmarkStart w:id="229" w:name="_Toc19834"/>
      <w:r>
        <w:rPr>
          <w:rFonts w:ascii="Times New Roman" w:hAnsi="Times New Roman" w:eastAsia="楷体" w:cs="Times New Roman"/>
          <w:b/>
          <w:bCs/>
          <w:color w:val="auto"/>
          <w:sz w:val="30"/>
          <w:szCs w:val="30"/>
          <w:highlight w:val="none"/>
        </w:rPr>
        <w:t>2</w:t>
      </w:r>
      <w:r>
        <w:rPr>
          <w:rFonts w:hint="eastAsia" w:ascii="Times New Roman" w:hAnsi="Times New Roman" w:eastAsia="楷体" w:cs="Times New Roman"/>
          <w:b/>
          <w:bCs/>
          <w:color w:val="auto"/>
          <w:sz w:val="30"/>
          <w:szCs w:val="30"/>
          <w:highlight w:val="none"/>
        </w:rPr>
        <w:t>.</w:t>
      </w:r>
      <w:r>
        <w:rPr>
          <w:rFonts w:hint="eastAsia" w:ascii="Times New Roman" w:hAnsi="Times New Roman" w:eastAsia="楷体" w:cs="Times New Roman"/>
          <w:b/>
          <w:bCs/>
          <w:color w:val="auto"/>
          <w:sz w:val="30"/>
          <w:szCs w:val="30"/>
          <w:highlight w:val="none"/>
          <w:lang w:val="en-US" w:eastAsia="zh-CN"/>
        </w:rPr>
        <w:t>6</w:t>
      </w:r>
      <w:r>
        <w:rPr>
          <w:rFonts w:hint="eastAsia" w:ascii="Times New Roman" w:hAnsi="Times New Roman" w:eastAsia="楷体" w:cs="Times New Roman"/>
          <w:b/>
          <w:bCs/>
          <w:color w:val="auto"/>
          <w:sz w:val="30"/>
          <w:szCs w:val="30"/>
          <w:highlight w:val="none"/>
        </w:rPr>
        <w:t xml:space="preserve"> </w:t>
      </w:r>
      <w:bookmarkEnd w:id="225"/>
      <w:bookmarkEnd w:id="226"/>
      <w:bookmarkEnd w:id="227"/>
      <w:bookmarkEnd w:id="228"/>
      <w:r>
        <w:rPr>
          <w:rFonts w:hint="eastAsia" w:ascii="Times New Roman" w:hAnsi="Times New Roman" w:eastAsia="楷体" w:cs="Times New Roman"/>
          <w:b/>
          <w:bCs/>
          <w:color w:val="auto"/>
          <w:sz w:val="30"/>
          <w:szCs w:val="30"/>
          <w:highlight w:val="none"/>
          <w:lang w:val="en-US" w:eastAsia="zh-CN"/>
        </w:rPr>
        <w:t>满意度调查情况</w:t>
      </w:r>
      <w:bookmarkEnd w:id="229"/>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rPr>
        <w:t>202</w:t>
      </w:r>
      <w:r>
        <w:rPr>
          <w:rFonts w:hint="eastAsia" w:ascii="Times New Roman" w:hAnsi="Times New Roman" w:eastAsia="宋体" w:cs="仿宋"/>
          <w:color w:val="auto"/>
          <w:sz w:val="24"/>
          <w:szCs w:val="24"/>
          <w:highlight w:val="none"/>
          <w:lang w:val="en-US" w:eastAsia="zh-CN"/>
        </w:rPr>
        <w:t>3</w:t>
      </w:r>
      <w:r>
        <w:rPr>
          <w:rFonts w:hint="eastAsia" w:ascii="Times New Roman" w:hAnsi="Times New Roman" w:eastAsia="宋体" w:cs="仿宋"/>
          <w:color w:val="auto"/>
          <w:sz w:val="24"/>
          <w:szCs w:val="24"/>
          <w:highlight w:val="none"/>
        </w:rPr>
        <w:t>-202</w:t>
      </w:r>
      <w:r>
        <w:rPr>
          <w:rFonts w:hint="eastAsia" w:ascii="Times New Roman" w:hAnsi="Times New Roman" w:eastAsia="宋体" w:cs="仿宋"/>
          <w:color w:val="auto"/>
          <w:sz w:val="24"/>
          <w:szCs w:val="24"/>
          <w:highlight w:val="none"/>
          <w:lang w:val="en-US" w:eastAsia="zh-CN"/>
        </w:rPr>
        <w:t>4</w:t>
      </w:r>
      <w:r>
        <w:rPr>
          <w:rFonts w:hint="eastAsia" w:ascii="Times New Roman" w:hAnsi="Times New Roman" w:eastAsia="宋体" w:cs="仿宋"/>
          <w:color w:val="auto"/>
          <w:sz w:val="24"/>
          <w:szCs w:val="24"/>
          <w:highlight w:val="none"/>
        </w:rPr>
        <w:t>学年，</w:t>
      </w:r>
      <w:r>
        <w:rPr>
          <w:rFonts w:hint="eastAsia" w:ascii="Times New Roman" w:hAnsi="Times New Roman" w:eastAsia="宋体" w:cs="仿宋"/>
          <w:color w:val="auto"/>
          <w:sz w:val="24"/>
          <w:szCs w:val="24"/>
          <w:highlight w:val="none"/>
          <w:lang w:val="en-US" w:eastAsia="zh-CN"/>
        </w:rPr>
        <w:t>通过网络问卷调查方式，对辖区9所中职学校的4629名在校生开展了各项满意度调查，整体满意度为87.32%。其中，课堂育人满意度88.01%，课外育人满意度87.17%，思想政治课教学满意度91.10%，公共基础课（不含思想政治课）教学满意度89.70%，专业课教学满意度90.50%。</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家长对遂宁市学校办学条件的满意度为98.2%，对教学质量的满意度为98.32%，对升学质量的满意度为98.80%，对毕业生就业情况的满意度为98.25%，对学校管理工作的满意度为98.09%，对学校的总体满意度为98.33%。</w:t>
      </w:r>
    </w:p>
    <w:p>
      <w:pPr>
        <w:spacing w:line="560" w:lineRule="exact"/>
        <w:ind w:firstLine="480" w:firstLineChars="200"/>
        <w:rPr>
          <w:rFonts w:hint="eastAsia" w:ascii="Times New Roman" w:hAnsi="Times New Roman" w:eastAsia="宋体" w:cs="仿宋"/>
          <w:color w:val="auto"/>
          <w:sz w:val="24"/>
          <w:szCs w:val="24"/>
          <w:highlight w:val="yellow"/>
          <w:lang w:val="en-US" w:eastAsia="zh-CN"/>
        </w:rPr>
      </w:pPr>
    </w:p>
    <w:p>
      <w:pPr>
        <w:pStyle w:val="2"/>
        <w:rPr>
          <w:rFonts w:hint="eastAsia" w:ascii="仿宋" w:hAnsi="仿宋" w:eastAsia="仿宋" w:cs="仿宋"/>
          <w:lang w:val="en-US" w:eastAsia="zh-CN"/>
        </w:rPr>
      </w:pPr>
    </w:p>
    <w:p>
      <w:pPr>
        <w:pStyle w:val="2"/>
        <w:rPr>
          <w:rFonts w:hint="eastAsia" w:ascii="仿宋" w:hAnsi="仿宋" w:eastAsia="仿宋" w:cs="仿宋"/>
          <w:lang w:val="en-US" w:eastAsia="zh-CN"/>
        </w:rPr>
      </w:pPr>
    </w:p>
    <w:p>
      <w:pPr>
        <w:pStyle w:val="2"/>
        <w:rPr>
          <w:rFonts w:hint="eastAsia" w:ascii="仿宋" w:hAnsi="仿宋" w:eastAsia="仿宋" w:cs="仿宋"/>
          <w:lang w:val="en-US" w:eastAsia="zh-CN"/>
        </w:rPr>
      </w:pPr>
    </w:p>
    <w:p>
      <w:pPr>
        <w:pStyle w:val="2"/>
        <w:rPr>
          <w:rFonts w:hint="eastAsia"/>
          <w:lang w:val="en-US" w:eastAsia="zh-CN"/>
        </w:rPr>
      </w:pPr>
    </w:p>
    <w:p>
      <w:pPr>
        <w:pStyle w:val="2"/>
        <w:rPr>
          <w:rFonts w:hint="eastAsia"/>
          <w:lang w:val="en-US" w:eastAsia="zh-CN"/>
        </w:rPr>
      </w:pPr>
    </w:p>
    <w:p>
      <w:pPr>
        <w:adjustRightInd w:val="0"/>
        <w:spacing w:line="560" w:lineRule="exact"/>
        <w:ind w:firstLine="642" w:firstLineChars="200"/>
        <w:outlineLvl w:val="0"/>
        <w:rPr>
          <w:rFonts w:hint="eastAsia" w:ascii="Times New Roman" w:hAnsi="Times New Roman" w:eastAsia="黑体" w:cs="Times New Roman"/>
          <w:b/>
          <w:bCs/>
          <w:color w:val="CE6B2A"/>
          <w:sz w:val="32"/>
          <w:szCs w:val="32"/>
          <w:highlight w:val="none"/>
        </w:rPr>
      </w:pPr>
      <w:bookmarkStart w:id="230" w:name="_Toc18038"/>
      <w:bookmarkStart w:id="231" w:name="_Toc17983"/>
      <w:bookmarkStart w:id="232" w:name="_Toc8189"/>
      <w:bookmarkStart w:id="233" w:name="_Toc10626"/>
      <w:bookmarkStart w:id="234" w:name="_Toc11737"/>
      <w:r>
        <w:rPr>
          <w:rFonts w:hint="eastAsia" w:ascii="Times New Roman" w:hAnsi="Times New Roman" w:eastAsia="黑体" w:cs="Times New Roman"/>
          <w:b/>
          <w:bCs/>
          <w:color w:val="CE6B2A"/>
          <w:sz w:val="32"/>
          <w:szCs w:val="32"/>
          <w:highlight w:val="none"/>
          <w:lang w:val="en-US" w:eastAsia="zh-CN"/>
        </w:rPr>
        <w:t>3</w:t>
      </w:r>
      <w:r>
        <w:rPr>
          <w:rFonts w:hint="eastAsia" w:ascii="Times New Roman" w:hAnsi="Times New Roman" w:eastAsia="黑体" w:cs="Times New Roman"/>
          <w:b/>
          <w:bCs/>
          <w:color w:val="CE6B2A"/>
          <w:sz w:val="32"/>
          <w:szCs w:val="32"/>
          <w:highlight w:val="none"/>
        </w:rPr>
        <w:t xml:space="preserve"> 服务贡献</w:t>
      </w:r>
      <w:bookmarkEnd w:id="230"/>
      <w:bookmarkEnd w:id="231"/>
      <w:bookmarkEnd w:id="232"/>
      <w:bookmarkEnd w:id="233"/>
      <w:bookmarkEnd w:id="234"/>
    </w:p>
    <w:p>
      <w:pPr>
        <w:spacing w:line="560" w:lineRule="exact"/>
        <w:ind w:firstLine="602" w:firstLineChars="200"/>
        <w:outlineLvl w:val="1"/>
        <w:rPr>
          <w:rFonts w:hint="eastAsia" w:ascii="Times New Roman" w:hAnsi="Times New Roman" w:eastAsia="楷体" w:cs="Times New Roman"/>
          <w:b/>
          <w:bCs/>
          <w:color w:val="auto"/>
          <w:sz w:val="30"/>
          <w:szCs w:val="30"/>
          <w:highlight w:val="none"/>
        </w:rPr>
      </w:pPr>
      <w:bookmarkStart w:id="235" w:name="_Toc3172"/>
      <w:r>
        <w:rPr>
          <w:rFonts w:hint="eastAsia" w:ascii="Times New Roman" w:hAnsi="Times New Roman" w:eastAsia="楷体" w:cs="Times New Roman"/>
          <w:b/>
          <w:bCs/>
          <w:color w:val="auto"/>
          <w:sz w:val="30"/>
          <w:szCs w:val="30"/>
          <w:highlight w:val="none"/>
          <w:lang w:val="en-US" w:eastAsia="zh-CN"/>
        </w:rPr>
        <w:t>3</w:t>
      </w:r>
      <w:r>
        <w:rPr>
          <w:rFonts w:hint="eastAsia" w:ascii="Times New Roman" w:hAnsi="Times New Roman" w:eastAsia="楷体" w:cs="Times New Roman"/>
          <w:b/>
          <w:bCs/>
          <w:color w:val="auto"/>
          <w:sz w:val="30"/>
          <w:szCs w:val="30"/>
          <w:highlight w:val="none"/>
        </w:rPr>
        <w:t>.</w:t>
      </w:r>
      <w:r>
        <w:rPr>
          <w:rFonts w:hint="eastAsia" w:ascii="Times New Roman" w:hAnsi="Times New Roman" w:eastAsia="楷体" w:cs="Times New Roman"/>
          <w:b/>
          <w:bCs/>
          <w:color w:val="auto"/>
          <w:sz w:val="30"/>
          <w:szCs w:val="30"/>
          <w:highlight w:val="none"/>
          <w:lang w:val="en-US" w:eastAsia="zh-CN"/>
        </w:rPr>
        <w:t>1</w:t>
      </w:r>
      <w:r>
        <w:rPr>
          <w:rFonts w:hint="eastAsia" w:ascii="Times New Roman" w:hAnsi="Times New Roman" w:eastAsia="楷体" w:cs="Times New Roman"/>
          <w:b/>
          <w:bCs/>
          <w:color w:val="auto"/>
          <w:sz w:val="30"/>
          <w:szCs w:val="30"/>
          <w:highlight w:val="none"/>
        </w:rPr>
        <w:t xml:space="preserve"> 服务行业企业</w:t>
      </w:r>
      <w:bookmarkEnd w:id="235"/>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遂宁市教育局、遂宁市人力资源和社会保障局依托遂宁开放大学，充分利用中等职业学校教育资源，面向广大社会、行业企业和农村地区，大力开展职业技能培训，服务于地方经济建设，取得明显成效。遂宁市社会培训统计见表10。</w:t>
      </w:r>
    </w:p>
    <w:p>
      <w:pPr>
        <w:pStyle w:val="8"/>
        <w:keepNext w:val="0"/>
        <w:keepLines w:val="0"/>
        <w:pageBreakBefore w:val="0"/>
        <w:widowControl w:val="0"/>
        <w:kinsoku/>
        <w:wordWrap/>
        <w:overflowPunct/>
        <w:topLinePunct w:val="0"/>
        <w:autoSpaceDE/>
        <w:autoSpaceDN/>
        <w:bidi w:val="0"/>
        <w:adjustRightInd/>
        <w:snapToGrid/>
        <w:spacing w:after="126" w:afterLines="40" w:line="560" w:lineRule="exact"/>
        <w:jc w:val="center"/>
        <w:textAlignment w:val="auto"/>
        <w:rPr>
          <w:rFonts w:hint="eastAsia" w:ascii="Times New Roman" w:hAnsi="Times New Roman" w:eastAsia="宋体" w:cs="宋体"/>
          <w:b/>
          <w:bCs/>
          <w:color w:val="auto"/>
          <w:sz w:val="21"/>
          <w:szCs w:val="21"/>
        </w:rPr>
      </w:pPr>
      <w:bookmarkStart w:id="236" w:name="_Toc20186"/>
      <w:bookmarkStart w:id="237" w:name="_Toc10578"/>
      <w:bookmarkStart w:id="238" w:name="_Toc15926"/>
      <w:bookmarkStart w:id="239" w:name="_Toc16760"/>
      <w:bookmarkStart w:id="240" w:name="_Toc2096"/>
      <w:bookmarkStart w:id="241" w:name="_Toc19079"/>
      <w:bookmarkStart w:id="242" w:name="_Toc21395"/>
      <w:bookmarkStart w:id="243" w:name="_Toc14802"/>
      <w:bookmarkStart w:id="244" w:name="_Toc3933"/>
      <w:r>
        <w:rPr>
          <w:rFonts w:hint="eastAsia" w:ascii="Times New Roman" w:hAnsi="Times New Roman" w:eastAsia="宋体" w:cs="宋体"/>
          <w:b/>
          <w:bCs/>
          <w:color w:val="auto"/>
          <w:sz w:val="21"/>
          <w:szCs w:val="21"/>
        </w:rPr>
        <w:t>表</w:t>
      </w:r>
      <w:r>
        <w:rPr>
          <w:rFonts w:hint="eastAsia" w:ascii="Times New Roman" w:hAnsi="Times New Roman" w:eastAsia="宋体" w:cs="宋体"/>
          <w:b/>
          <w:bCs/>
          <w:color w:val="auto"/>
          <w:sz w:val="21"/>
          <w:szCs w:val="21"/>
        </w:rPr>
        <w:fldChar w:fldCharType="begin"/>
      </w:r>
      <w:r>
        <w:rPr>
          <w:rFonts w:hint="eastAsia" w:ascii="Times New Roman" w:hAnsi="Times New Roman" w:eastAsia="宋体" w:cs="宋体"/>
          <w:b/>
          <w:bCs/>
          <w:color w:val="auto"/>
          <w:sz w:val="21"/>
          <w:szCs w:val="21"/>
        </w:rPr>
        <w:instrText xml:space="preserve"> SEQ 表 \* ARABIC </w:instrText>
      </w:r>
      <w:r>
        <w:rPr>
          <w:rFonts w:hint="eastAsia" w:ascii="Times New Roman" w:hAnsi="Times New Roman" w:eastAsia="宋体" w:cs="宋体"/>
          <w:b/>
          <w:bCs/>
          <w:color w:val="auto"/>
          <w:sz w:val="21"/>
          <w:szCs w:val="21"/>
        </w:rPr>
        <w:fldChar w:fldCharType="separate"/>
      </w:r>
      <w:r>
        <w:rPr>
          <w:rFonts w:hint="eastAsia" w:ascii="Times New Roman" w:hAnsi="Times New Roman" w:eastAsia="宋体" w:cs="宋体"/>
          <w:b/>
          <w:bCs/>
          <w:color w:val="auto"/>
          <w:sz w:val="21"/>
          <w:szCs w:val="21"/>
        </w:rPr>
        <w:t>10</w:t>
      </w:r>
      <w:r>
        <w:rPr>
          <w:rFonts w:hint="eastAsia" w:ascii="Times New Roman" w:hAnsi="Times New Roman" w:eastAsia="宋体" w:cs="宋体"/>
          <w:b/>
          <w:bCs/>
          <w:color w:val="auto"/>
          <w:sz w:val="21"/>
          <w:szCs w:val="21"/>
        </w:rPr>
        <w:fldChar w:fldCharType="end"/>
      </w:r>
      <w:bookmarkStart w:id="245" w:name="_Toc16921"/>
      <w:r>
        <w:rPr>
          <w:rFonts w:hint="eastAsia" w:ascii="Times New Roman" w:hAnsi="Times New Roman" w:eastAsia="宋体" w:cs="宋体"/>
          <w:b/>
          <w:bCs/>
          <w:color w:val="auto"/>
          <w:sz w:val="21"/>
          <w:szCs w:val="21"/>
          <w:lang w:val="en-US" w:eastAsia="zh-CN"/>
        </w:rPr>
        <w:t xml:space="preserve">  2024年</w:t>
      </w:r>
      <w:r>
        <w:rPr>
          <w:rFonts w:hint="eastAsia" w:ascii="Times New Roman" w:hAnsi="Times New Roman" w:eastAsia="宋体" w:cs="宋体"/>
          <w:b/>
          <w:bCs/>
          <w:color w:val="auto"/>
          <w:sz w:val="21"/>
          <w:szCs w:val="21"/>
        </w:rPr>
        <w:t>遂宁市社会培训统计</w:t>
      </w:r>
      <w:bookmarkEnd w:id="236"/>
      <w:bookmarkEnd w:id="245"/>
    </w:p>
    <w:tbl>
      <w:tblPr>
        <w:tblStyle w:val="87"/>
        <w:tblW w:w="4859" w:type="pct"/>
        <w:tblInd w:w="0" w:type="dxa"/>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Layout w:type="fixed"/>
        <w:tblCellMar>
          <w:top w:w="0" w:type="dxa"/>
          <w:left w:w="108" w:type="dxa"/>
          <w:bottom w:w="0" w:type="dxa"/>
          <w:right w:w="108" w:type="dxa"/>
        </w:tblCellMar>
      </w:tblPr>
      <w:tblGrid>
        <w:gridCol w:w="4501"/>
        <w:gridCol w:w="3781"/>
      </w:tblGrid>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exact"/>
          <w:tblHeader/>
        </w:trPr>
        <w:tc>
          <w:tcPr>
            <w:tcW w:w="4502" w:type="dxa"/>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widowControl/>
              <w:spacing w:line="360" w:lineRule="auto"/>
              <w:jc w:val="center"/>
              <w:rPr>
                <w:rFonts w:ascii="Times New Roman" w:hAnsi="Times New Roman" w:eastAsia="宋体" w:cs="宋体"/>
                <w:b/>
                <w:bCs/>
                <w:color w:val="000000"/>
                <w:sz w:val="18"/>
                <w:szCs w:val="18"/>
              </w:rPr>
            </w:pPr>
            <w:r>
              <w:rPr>
                <w:rFonts w:hint="eastAsia" w:ascii="Times New Roman" w:hAnsi="Times New Roman" w:eastAsia="宋体" w:cs="宋体"/>
                <w:b/>
                <w:bCs w:val="0"/>
                <w:color w:val="000000"/>
                <w:sz w:val="18"/>
                <w:szCs w:val="18"/>
              </w:rPr>
              <w:t>项  目</w:t>
            </w:r>
          </w:p>
        </w:tc>
        <w:tc>
          <w:tcPr>
            <w:tcW w:w="3781" w:type="dxa"/>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widowControl/>
              <w:spacing w:line="360" w:lineRule="auto"/>
              <w:jc w:val="center"/>
              <w:rPr>
                <w:rFonts w:ascii="Times New Roman" w:hAnsi="Times New Roman" w:eastAsia="宋体" w:cs="宋体"/>
                <w:b/>
                <w:bCs/>
                <w:color w:val="000000"/>
                <w:sz w:val="18"/>
                <w:szCs w:val="18"/>
              </w:rPr>
            </w:pPr>
            <w:r>
              <w:rPr>
                <w:rFonts w:hint="eastAsia" w:ascii="Times New Roman" w:hAnsi="Times New Roman" w:eastAsia="宋体" w:cs="宋体"/>
                <w:b/>
                <w:bCs w:val="0"/>
                <w:color w:val="000000"/>
                <w:sz w:val="18"/>
                <w:szCs w:val="18"/>
              </w:rPr>
              <w:t>人 次</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exact"/>
        </w:trPr>
        <w:tc>
          <w:tcPr>
            <w:tcW w:w="4502"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widowControl/>
              <w:spacing w:line="360" w:lineRule="auto"/>
              <w:jc w:val="center"/>
              <w:rPr>
                <w:rFonts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教师教学技能培训</w:t>
            </w:r>
          </w:p>
        </w:tc>
        <w:tc>
          <w:tcPr>
            <w:tcW w:w="3781"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widowControl/>
              <w:spacing w:line="360" w:lineRule="auto"/>
              <w:jc w:val="center"/>
              <w:rPr>
                <w:rFonts w:hint="default" w:ascii="Times New Roman" w:hAnsi="Times New Roman" w:eastAsia="宋体" w:cs="宋体"/>
                <w:b w:val="0"/>
                <w:color w:val="000000"/>
                <w:sz w:val="18"/>
                <w:szCs w:val="18"/>
                <w:lang w:val="en-US" w:eastAsia="zh-CN"/>
              </w:rPr>
            </w:pPr>
            <w:r>
              <w:rPr>
                <w:rFonts w:hint="eastAsia" w:ascii="Times New Roman" w:hAnsi="Times New Roman" w:eastAsia="宋体" w:cs="宋体"/>
                <w:b w:val="0"/>
                <w:color w:val="000000"/>
                <w:sz w:val="18"/>
                <w:szCs w:val="18"/>
                <w:lang w:val="en-US" w:eastAsia="zh-CN"/>
              </w:rPr>
              <w:t>5</w:t>
            </w:r>
            <w:r>
              <w:rPr>
                <w:rFonts w:hint="eastAsia" w:ascii="Times New Roman" w:hAnsi="Times New Roman" w:eastAsia="宋体" w:cs="Times New Roman"/>
                <w:b w:val="0"/>
                <w:color w:val="000000"/>
                <w:sz w:val="18"/>
                <w:szCs w:val="18"/>
                <w:lang w:val="en-US" w:eastAsia="zh-CN"/>
              </w:rPr>
              <w:t>80</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exact"/>
        </w:trPr>
        <w:tc>
          <w:tcPr>
            <w:tcW w:w="4502"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widowControl/>
              <w:spacing w:line="360" w:lineRule="auto"/>
              <w:jc w:val="center"/>
              <w:rPr>
                <w:rFonts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普通话培训</w:t>
            </w:r>
          </w:p>
        </w:tc>
        <w:tc>
          <w:tcPr>
            <w:tcW w:w="3781"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widowControl/>
              <w:spacing w:line="360" w:lineRule="auto"/>
              <w:jc w:val="center"/>
              <w:rPr>
                <w:rFonts w:hint="default" w:ascii="Times New Roman" w:hAnsi="Times New Roman" w:eastAsia="宋体" w:cs="宋体"/>
                <w:b w:val="0"/>
                <w:color w:val="000000"/>
                <w:sz w:val="18"/>
                <w:szCs w:val="18"/>
                <w:lang w:val="en-US" w:eastAsia="zh-CN"/>
              </w:rPr>
            </w:pPr>
            <w:r>
              <w:rPr>
                <w:rFonts w:hint="eastAsia" w:ascii="Times New Roman" w:hAnsi="Times New Roman" w:eastAsia="宋体" w:cs="宋体"/>
                <w:b w:val="0"/>
                <w:color w:val="000000"/>
                <w:sz w:val="18"/>
                <w:szCs w:val="18"/>
                <w:lang w:val="en-US" w:eastAsia="zh-CN"/>
              </w:rPr>
              <w:t>18053</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exact"/>
        </w:trPr>
        <w:tc>
          <w:tcPr>
            <w:tcW w:w="4502"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widowControl/>
              <w:spacing w:line="360" w:lineRule="auto"/>
              <w:jc w:val="center"/>
              <w:rPr>
                <w:rFonts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企业员工培训</w:t>
            </w:r>
          </w:p>
        </w:tc>
        <w:tc>
          <w:tcPr>
            <w:tcW w:w="3781"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widowControl/>
              <w:spacing w:line="360" w:lineRule="auto"/>
              <w:jc w:val="center"/>
              <w:rPr>
                <w:rFonts w:hint="default" w:ascii="Times New Roman" w:hAnsi="Times New Roman" w:eastAsia="宋体" w:cs="宋体"/>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4689</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exact"/>
        </w:trPr>
        <w:tc>
          <w:tcPr>
            <w:tcW w:w="4502"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widowControl/>
              <w:spacing w:line="360" w:lineRule="auto"/>
              <w:jc w:val="center"/>
              <w:rPr>
                <w:rFonts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新型学徒制培训</w:t>
            </w:r>
          </w:p>
        </w:tc>
        <w:tc>
          <w:tcPr>
            <w:tcW w:w="3781"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widowControl/>
              <w:spacing w:line="360" w:lineRule="auto"/>
              <w:jc w:val="center"/>
              <w:rPr>
                <w:rFonts w:hint="default" w:ascii="Times New Roman" w:hAnsi="Times New Roman" w:eastAsia="宋体" w:cs="宋体"/>
                <w:b w:val="0"/>
                <w:color w:val="000000"/>
                <w:sz w:val="18"/>
                <w:szCs w:val="18"/>
                <w:lang w:val="en-US" w:eastAsia="zh-CN"/>
              </w:rPr>
            </w:pPr>
            <w:r>
              <w:rPr>
                <w:rFonts w:hint="eastAsia" w:ascii="Times New Roman" w:hAnsi="Times New Roman" w:eastAsia="宋体" w:cs="宋体"/>
                <w:b w:val="0"/>
                <w:color w:val="000000"/>
                <w:sz w:val="18"/>
                <w:szCs w:val="18"/>
                <w:lang w:val="en-US" w:eastAsia="zh-CN"/>
              </w:rPr>
              <w:t>1232</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exact"/>
        </w:trPr>
        <w:tc>
          <w:tcPr>
            <w:tcW w:w="4502"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widowControl/>
              <w:spacing w:line="360" w:lineRule="auto"/>
              <w:jc w:val="center"/>
              <w:rPr>
                <w:rFonts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返乡创业培训</w:t>
            </w:r>
          </w:p>
        </w:tc>
        <w:tc>
          <w:tcPr>
            <w:tcW w:w="3781"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widowControl/>
              <w:spacing w:line="360" w:lineRule="auto"/>
              <w:jc w:val="center"/>
              <w:rPr>
                <w:rFonts w:hint="default" w:ascii="Times New Roman" w:hAnsi="Times New Roman" w:eastAsia="宋体" w:cs="宋体"/>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465</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exact"/>
        </w:trPr>
        <w:tc>
          <w:tcPr>
            <w:tcW w:w="4502"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widowControl/>
              <w:spacing w:line="360" w:lineRule="auto"/>
              <w:jc w:val="center"/>
              <w:rPr>
                <w:rFonts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帮扶理县培训农民工</w:t>
            </w:r>
          </w:p>
        </w:tc>
        <w:tc>
          <w:tcPr>
            <w:tcW w:w="3781"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widowControl/>
              <w:spacing w:line="360" w:lineRule="auto"/>
              <w:jc w:val="center"/>
              <w:rPr>
                <w:rFonts w:hint="default" w:ascii="Times New Roman" w:hAnsi="Times New Roman" w:eastAsia="宋体" w:cs="宋体"/>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222</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exact"/>
        </w:trPr>
        <w:tc>
          <w:tcPr>
            <w:tcW w:w="4502"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widowControl/>
              <w:spacing w:line="360" w:lineRule="auto"/>
              <w:jc w:val="center"/>
              <w:rPr>
                <w:rFonts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安全教育培训</w:t>
            </w:r>
          </w:p>
        </w:tc>
        <w:tc>
          <w:tcPr>
            <w:tcW w:w="3781"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widowControl/>
              <w:spacing w:line="360" w:lineRule="auto"/>
              <w:jc w:val="center"/>
              <w:rPr>
                <w:rFonts w:hint="default" w:ascii="Times New Roman" w:hAnsi="Times New Roman" w:eastAsia="宋体" w:cs="宋体"/>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4452</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exact"/>
        </w:trPr>
        <w:tc>
          <w:tcPr>
            <w:tcW w:w="4502"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widowControl/>
              <w:spacing w:line="360" w:lineRule="auto"/>
              <w:jc w:val="center"/>
              <w:rPr>
                <w:rFonts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农村</w:t>
            </w:r>
            <w:r>
              <w:rPr>
                <w:rFonts w:hint="eastAsia" w:ascii="Times New Roman" w:hAnsi="Times New Roman" w:eastAsia="宋体" w:cs="宋体"/>
                <w:b w:val="0"/>
                <w:bCs w:val="0"/>
                <w:color w:val="000000"/>
                <w:sz w:val="18"/>
                <w:szCs w:val="18"/>
                <w:lang w:eastAsia="zh-CN"/>
              </w:rPr>
              <w:t>剩余</w:t>
            </w:r>
            <w:r>
              <w:rPr>
                <w:rFonts w:hint="eastAsia" w:ascii="Times New Roman" w:hAnsi="Times New Roman" w:eastAsia="宋体" w:cs="宋体"/>
                <w:b w:val="0"/>
                <w:bCs w:val="0"/>
                <w:color w:val="000000"/>
                <w:sz w:val="18"/>
                <w:szCs w:val="18"/>
              </w:rPr>
              <w:t>劳动力转移培训</w:t>
            </w:r>
          </w:p>
        </w:tc>
        <w:tc>
          <w:tcPr>
            <w:tcW w:w="3781"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widowControl/>
              <w:spacing w:line="360" w:lineRule="auto"/>
              <w:jc w:val="center"/>
              <w:rPr>
                <w:rFonts w:hint="default" w:ascii="Times New Roman" w:hAnsi="Times New Roman" w:eastAsia="宋体" w:cs="宋体"/>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1896</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exact"/>
        </w:trPr>
        <w:tc>
          <w:tcPr>
            <w:tcW w:w="4502"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widowControl/>
              <w:spacing w:line="360" w:lineRule="auto"/>
              <w:jc w:val="center"/>
              <w:rPr>
                <w:rFonts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农村实用技术培训</w:t>
            </w:r>
          </w:p>
        </w:tc>
        <w:tc>
          <w:tcPr>
            <w:tcW w:w="3781"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widowControl/>
              <w:spacing w:line="360" w:lineRule="auto"/>
              <w:jc w:val="center"/>
              <w:rPr>
                <w:rFonts w:hint="default" w:ascii="Times New Roman" w:hAnsi="Times New Roman" w:eastAsia="宋体" w:cs="宋体"/>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1270</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exact"/>
        </w:trPr>
        <w:tc>
          <w:tcPr>
            <w:tcW w:w="4502"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widowControl/>
              <w:spacing w:line="360" w:lineRule="auto"/>
              <w:jc w:val="center"/>
              <w:rPr>
                <w:rFonts w:hint="eastAsia" w:ascii="Times New Roman" w:hAnsi="Times New Roman" w:eastAsia="宋体" w:cs="宋体"/>
                <w:b w:val="0"/>
                <w:bCs w:val="0"/>
                <w:color w:val="000000"/>
                <w:sz w:val="18"/>
                <w:szCs w:val="18"/>
                <w:lang w:eastAsia="zh-CN"/>
              </w:rPr>
            </w:pPr>
            <w:r>
              <w:rPr>
                <w:rFonts w:hint="eastAsia" w:ascii="Times New Roman" w:hAnsi="Times New Roman" w:eastAsia="宋体" w:cs="宋体"/>
                <w:b w:val="0"/>
                <w:bCs w:val="0"/>
                <w:color w:val="000000"/>
                <w:sz w:val="18"/>
                <w:szCs w:val="18"/>
                <w:lang w:eastAsia="zh-CN"/>
              </w:rPr>
              <w:t>退役军人培训</w:t>
            </w:r>
          </w:p>
        </w:tc>
        <w:tc>
          <w:tcPr>
            <w:tcW w:w="3781"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widowControl/>
              <w:spacing w:line="360" w:lineRule="auto"/>
              <w:jc w:val="center"/>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188</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exact"/>
        </w:trPr>
        <w:tc>
          <w:tcPr>
            <w:tcW w:w="4502"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widowControl/>
              <w:spacing w:line="360" w:lineRule="auto"/>
              <w:jc w:val="center"/>
              <w:rPr>
                <w:rFonts w:hint="eastAsia" w:ascii="Times New Roman" w:hAnsi="Times New Roman" w:eastAsia="宋体" w:cs="宋体"/>
                <w:b w:val="0"/>
                <w:bCs w:val="0"/>
                <w:color w:val="000000"/>
                <w:sz w:val="18"/>
                <w:szCs w:val="18"/>
                <w:lang w:eastAsia="zh-CN"/>
              </w:rPr>
            </w:pPr>
            <w:r>
              <w:rPr>
                <w:rFonts w:hint="eastAsia" w:ascii="Times New Roman" w:hAnsi="Times New Roman" w:eastAsia="宋体" w:cs="宋体"/>
                <w:b w:val="0"/>
                <w:bCs w:val="0"/>
                <w:color w:val="000000"/>
                <w:sz w:val="18"/>
                <w:szCs w:val="18"/>
                <w:lang w:eastAsia="zh-CN"/>
              </w:rPr>
              <w:t>防电信诈骗培训</w:t>
            </w:r>
          </w:p>
        </w:tc>
        <w:tc>
          <w:tcPr>
            <w:tcW w:w="3781"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widowControl/>
              <w:spacing w:line="360" w:lineRule="auto"/>
              <w:jc w:val="center"/>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7560</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exact"/>
        </w:trPr>
        <w:tc>
          <w:tcPr>
            <w:tcW w:w="4502"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widowControl/>
              <w:spacing w:line="360" w:lineRule="auto"/>
              <w:jc w:val="center"/>
              <w:rPr>
                <w:rFonts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劳动力品牌培训</w:t>
            </w:r>
          </w:p>
        </w:tc>
        <w:tc>
          <w:tcPr>
            <w:tcW w:w="3781"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widowControl/>
              <w:spacing w:line="360" w:lineRule="auto"/>
              <w:jc w:val="center"/>
              <w:rPr>
                <w:rFonts w:hint="default" w:ascii="Times New Roman" w:hAnsi="Times New Roman" w:eastAsia="宋体" w:cs="宋体"/>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3125</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exact"/>
        </w:trPr>
        <w:tc>
          <w:tcPr>
            <w:tcW w:w="4502"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widowControl/>
              <w:spacing w:line="360" w:lineRule="auto"/>
              <w:jc w:val="center"/>
              <w:rPr>
                <w:rFonts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rPr>
              <w:t>合  计</w:t>
            </w:r>
          </w:p>
        </w:tc>
        <w:tc>
          <w:tcPr>
            <w:tcW w:w="3781"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widowControl/>
              <w:spacing w:line="360" w:lineRule="auto"/>
              <w:jc w:val="center"/>
              <w:rPr>
                <w:rFonts w:hint="default" w:ascii="Times New Roman" w:hAnsi="Times New Roman" w:eastAsia="宋体" w:cs="宋体"/>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43732</w:t>
            </w:r>
          </w:p>
        </w:tc>
      </w:tr>
    </w:tbl>
    <w:p>
      <w:pPr>
        <w:pStyle w:val="40"/>
      </w:pPr>
    </w:p>
    <w:p>
      <w:pPr>
        <w:pStyle w:val="40"/>
        <w:keepNext w:val="0"/>
        <w:keepLines w:val="0"/>
        <w:pageBreakBefore w:val="0"/>
        <w:widowControl w:val="0"/>
        <w:kinsoku/>
        <w:wordWrap/>
        <w:overflowPunct/>
        <w:topLinePunct w:val="0"/>
        <w:autoSpaceDE/>
        <w:autoSpaceDN/>
        <w:bidi w:val="0"/>
        <w:adjustRightInd/>
        <w:snapToGrid w:val="0"/>
        <w:spacing w:before="126" w:beforeLines="40" w:line="560" w:lineRule="exact"/>
        <w:ind w:firstLine="602" w:firstLineChars="200"/>
        <w:jc w:val="both"/>
        <w:textAlignment w:val="auto"/>
        <w:outlineLvl w:val="1"/>
        <w:rPr>
          <w:rFonts w:hint="default" w:ascii="Times New Roman" w:hAnsi="Times New Roman" w:eastAsia="楷体" w:cs="Times New Roman"/>
          <w:b/>
          <w:bCs/>
          <w:color w:val="auto"/>
          <w:kern w:val="2"/>
          <w:sz w:val="30"/>
          <w:szCs w:val="30"/>
          <w:highlight w:val="none"/>
          <w:lang w:val="en-US" w:eastAsia="zh-CN" w:bidi="ar-SA"/>
        </w:rPr>
      </w:pPr>
      <w:bookmarkStart w:id="246" w:name="_Toc29951"/>
      <w:r>
        <w:rPr>
          <w:rFonts w:hint="eastAsia" w:ascii="Times New Roman" w:hAnsi="Times New Roman" w:eastAsia="楷体" w:cs="Times New Roman"/>
          <w:b/>
          <w:bCs/>
          <w:color w:val="auto"/>
          <w:kern w:val="2"/>
          <w:sz w:val="30"/>
          <w:szCs w:val="30"/>
          <w:highlight w:val="none"/>
          <w:lang w:val="en-US" w:eastAsia="zh-CN" w:bidi="ar-SA"/>
        </w:rPr>
        <w:t>3.2 服务乡村振兴</w:t>
      </w:r>
      <w:bookmarkEnd w:id="237"/>
      <w:bookmarkEnd w:id="238"/>
      <w:bookmarkEnd w:id="239"/>
      <w:bookmarkEnd w:id="240"/>
      <w:bookmarkEnd w:id="246"/>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遂宁市中职学校农学专业建立产教融合实践教学基地。四川省大英县中等职业技术学校与大英锦森丹丹农业开发有限公司合作共建“农学专业产教融合果蔬实践教学基地”、遂宁市职业技术学校建立“智慧农业研学实践基地”、四川省蓬溪县中等职业技术学校与蓬溪骆峰菌业有限公司共建“食用菌产教融合实训基地”、射洪市职业中专学校与四川合众生态农业有限公司合作，建设农耕文化体验（教学）中心等6个农学专业实践基地（中心）。学校从行业、企业聘请多名既懂行业动态，又具有丰富一线生产管理经验的技术骨干作为实践课程导师，参与人才培养方案制定，开发培养课程，培训专业教师，开展实训教学、技能培训、农业工匠培育、农业文化传承等教学活动，同时帮助当地农民增收致富。</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加强职业学校全面开展职业培训工作，鼓励参与乡村振兴建设。选派干部教师挂职（支教）53人次，巩固脱贫攻坚成果技能培训120人次、新型职业农民培训2132人次、技术（专业）指导58人次，2024年全市中职学校开展农村劳动力转移培训2826人次、劳动品牌培训2256人次以及返乡创业、新型学徒制等其他各类培训32460人次，为助力乡村振兴、脱贫攻坚、服务地方经济发展做出了突出的贡献。遂宁市中职教育投身乡村振兴建设统计见表11。</w:t>
      </w:r>
    </w:p>
    <w:p>
      <w:pPr>
        <w:pStyle w:val="8"/>
        <w:spacing w:line="560" w:lineRule="exact"/>
        <w:jc w:val="center"/>
        <w:rPr>
          <w:rFonts w:hint="eastAsia" w:ascii="Times New Roman" w:hAnsi="Times New Roman" w:eastAsia="宋体" w:cs="宋体"/>
          <w:b/>
          <w:bCs/>
          <w:color w:val="auto"/>
          <w:sz w:val="21"/>
          <w:szCs w:val="21"/>
        </w:rPr>
      </w:pPr>
      <w:bookmarkStart w:id="247" w:name="_Toc12726"/>
      <w:r>
        <w:rPr>
          <w:rFonts w:hint="eastAsia" w:ascii="Times New Roman" w:hAnsi="Times New Roman" w:eastAsia="宋体" w:cs="宋体"/>
          <w:b/>
          <w:bCs/>
          <w:color w:val="auto"/>
          <w:sz w:val="21"/>
          <w:szCs w:val="21"/>
        </w:rPr>
        <w:t>表</w:t>
      </w:r>
      <w:r>
        <w:rPr>
          <w:rFonts w:hint="eastAsia" w:ascii="Times New Roman" w:hAnsi="Times New Roman" w:eastAsia="宋体" w:cs="宋体"/>
          <w:b/>
          <w:bCs/>
          <w:color w:val="auto"/>
          <w:sz w:val="21"/>
          <w:szCs w:val="21"/>
        </w:rPr>
        <w:fldChar w:fldCharType="begin"/>
      </w:r>
      <w:r>
        <w:rPr>
          <w:rFonts w:hint="eastAsia" w:ascii="Times New Roman" w:hAnsi="Times New Roman" w:eastAsia="宋体" w:cs="宋体"/>
          <w:b/>
          <w:bCs/>
          <w:color w:val="auto"/>
          <w:sz w:val="21"/>
          <w:szCs w:val="21"/>
        </w:rPr>
        <w:instrText xml:space="preserve"> SEQ 表 \* ARABIC </w:instrText>
      </w:r>
      <w:r>
        <w:rPr>
          <w:rFonts w:hint="eastAsia" w:ascii="Times New Roman" w:hAnsi="Times New Roman" w:eastAsia="宋体" w:cs="宋体"/>
          <w:b/>
          <w:bCs/>
          <w:color w:val="auto"/>
          <w:sz w:val="21"/>
          <w:szCs w:val="21"/>
        </w:rPr>
        <w:fldChar w:fldCharType="separate"/>
      </w:r>
      <w:r>
        <w:rPr>
          <w:rFonts w:hint="eastAsia" w:ascii="Times New Roman" w:hAnsi="Times New Roman" w:eastAsia="宋体" w:cs="宋体"/>
          <w:b/>
          <w:bCs/>
          <w:color w:val="auto"/>
          <w:sz w:val="21"/>
          <w:szCs w:val="21"/>
        </w:rPr>
        <w:t>11</w:t>
      </w:r>
      <w:r>
        <w:rPr>
          <w:rFonts w:hint="eastAsia" w:ascii="Times New Roman" w:hAnsi="Times New Roman" w:eastAsia="宋体" w:cs="宋体"/>
          <w:b/>
          <w:bCs/>
          <w:color w:val="auto"/>
          <w:sz w:val="21"/>
          <w:szCs w:val="21"/>
        </w:rPr>
        <w:fldChar w:fldCharType="end"/>
      </w:r>
      <w:bookmarkStart w:id="248" w:name="_Toc12046"/>
      <w:r>
        <w:rPr>
          <w:rFonts w:hint="eastAsia" w:ascii="Times New Roman" w:hAnsi="Times New Roman" w:eastAsia="宋体" w:cs="宋体"/>
          <w:b/>
          <w:bCs/>
          <w:color w:val="auto"/>
          <w:sz w:val="21"/>
          <w:szCs w:val="21"/>
          <w:lang w:val="en-US" w:eastAsia="zh-CN"/>
        </w:rPr>
        <w:t xml:space="preserve">  2023年</w:t>
      </w:r>
      <w:r>
        <w:rPr>
          <w:rFonts w:hint="eastAsia" w:ascii="Times New Roman" w:hAnsi="Times New Roman" w:eastAsia="宋体" w:cs="宋体"/>
          <w:b/>
          <w:bCs/>
          <w:color w:val="auto"/>
          <w:sz w:val="21"/>
          <w:szCs w:val="21"/>
        </w:rPr>
        <w:t>遂宁市中职教育投身乡村振兴建设统计</w:t>
      </w:r>
      <w:bookmarkEnd w:id="247"/>
      <w:bookmarkEnd w:id="248"/>
    </w:p>
    <w:p>
      <w:pPr>
        <w:pStyle w:val="40"/>
        <w:rPr>
          <w:color w:val="FF0000"/>
        </w:rPr>
      </w:pPr>
    </w:p>
    <w:tbl>
      <w:tblPr>
        <w:tblStyle w:val="87"/>
        <w:tblW w:w="4860" w:type="pct"/>
        <w:jc w:val="center"/>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Layout w:type="fixed"/>
        <w:tblCellMar>
          <w:top w:w="0" w:type="dxa"/>
          <w:left w:w="108" w:type="dxa"/>
          <w:bottom w:w="0" w:type="dxa"/>
          <w:right w:w="108" w:type="dxa"/>
        </w:tblCellMar>
      </w:tblPr>
      <w:tblGrid>
        <w:gridCol w:w="1887"/>
        <w:gridCol w:w="4958"/>
        <w:gridCol w:w="1438"/>
      </w:tblGrid>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499" w:hRule="exact"/>
          <w:jc w:val="center"/>
        </w:trPr>
        <w:tc>
          <w:tcPr>
            <w:tcW w:w="6687" w:type="dxa"/>
            <w:gridSpan w:val="2"/>
            <w:tcBorders>
              <w:top w:val="single" w:color="ED7D31" w:sz="4" w:space="0"/>
              <w:left w:val="single" w:color="ED7D31" w:sz="4" w:space="0"/>
              <w:bottom w:val="single" w:color="ED7D31" w:sz="4" w:space="0"/>
              <w:right w:val="single" w:color="ED7D31" w:sz="4" w:space="0"/>
              <w:insideH w:val="single" w:sz="4" w:space="0"/>
              <w:tl2br w:val="nil"/>
              <w:tr2bl w:val="nil"/>
            </w:tcBorders>
            <w:shd w:val="clear" w:color="auto" w:fill="F5B082"/>
            <w:vAlign w:val="center"/>
          </w:tcPr>
          <w:p>
            <w:pPr>
              <w:widowControl/>
              <w:spacing w:line="360" w:lineRule="auto"/>
              <w:jc w:val="center"/>
              <w:rPr>
                <w:rFonts w:hint="eastAsia" w:ascii="Times New Roman" w:hAnsi="Times New Roman" w:eastAsia="宋体" w:cs="宋体"/>
                <w:b/>
                <w:bCs/>
                <w:color w:val="000000"/>
                <w:kern w:val="0"/>
                <w:sz w:val="18"/>
                <w:szCs w:val="18"/>
              </w:rPr>
            </w:pPr>
            <w:r>
              <w:rPr>
                <w:rFonts w:hint="eastAsia" w:ascii="Times New Roman" w:hAnsi="Times New Roman" w:eastAsia="宋体" w:cs="宋体"/>
                <w:b/>
                <w:bCs w:val="0"/>
                <w:color w:val="000000"/>
                <w:kern w:val="0"/>
                <w:sz w:val="18"/>
                <w:szCs w:val="18"/>
              </w:rPr>
              <w:t>项  目</w:t>
            </w:r>
          </w:p>
        </w:tc>
        <w:tc>
          <w:tcPr>
            <w:tcW w:w="1405" w:type="dxa"/>
            <w:tcBorders>
              <w:top w:val="single" w:color="ED7D31" w:sz="4" w:space="0"/>
              <w:left w:val="single" w:color="ED7D31" w:sz="4" w:space="0"/>
              <w:bottom w:val="single" w:color="ED7D31" w:sz="4" w:space="0"/>
              <w:right w:val="single" w:color="ED7D31" w:sz="4" w:space="0"/>
              <w:insideH w:val="single" w:sz="4" w:space="0"/>
              <w:tl2br w:val="nil"/>
              <w:tr2bl w:val="nil"/>
            </w:tcBorders>
            <w:shd w:val="clear" w:color="auto" w:fill="F5B082"/>
            <w:vAlign w:val="center"/>
          </w:tcPr>
          <w:p>
            <w:pPr>
              <w:widowControl/>
              <w:spacing w:line="360" w:lineRule="auto"/>
              <w:jc w:val="center"/>
              <w:rPr>
                <w:rFonts w:hint="eastAsia" w:ascii="Times New Roman" w:hAnsi="Times New Roman" w:eastAsia="宋体" w:cs="宋体"/>
                <w:b/>
                <w:bCs/>
                <w:color w:val="000000"/>
                <w:kern w:val="0"/>
                <w:sz w:val="18"/>
                <w:szCs w:val="18"/>
              </w:rPr>
            </w:pPr>
            <w:r>
              <w:rPr>
                <w:rFonts w:hint="eastAsia" w:ascii="Times New Roman" w:hAnsi="Times New Roman" w:eastAsia="宋体" w:cs="宋体"/>
                <w:b/>
                <w:bCs w:val="0"/>
                <w:color w:val="000000"/>
                <w:kern w:val="0"/>
                <w:sz w:val="18"/>
                <w:szCs w:val="18"/>
              </w:rPr>
              <w:t>数 值</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499" w:hRule="exact"/>
          <w:jc w:val="center"/>
        </w:trPr>
        <w:tc>
          <w:tcPr>
            <w:tcW w:w="1843" w:type="dxa"/>
            <w:vMerge w:val="restart"/>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widowControl/>
              <w:spacing w:line="360" w:lineRule="auto"/>
              <w:jc w:val="center"/>
              <w:rPr>
                <w:rFonts w:hint="eastAsia" w:ascii="Times New Roman" w:hAnsi="Times New Roman" w:eastAsia="宋体" w:cs="宋体"/>
                <w:b w:val="0"/>
                <w:bCs/>
                <w:color w:val="000000"/>
                <w:kern w:val="0"/>
                <w:sz w:val="18"/>
                <w:szCs w:val="18"/>
              </w:rPr>
            </w:pPr>
            <w:r>
              <w:rPr>
                <w:rFonts w:hint="eastAsia" w:ascii="Times New Roman" w:hAnsi="Times New Roman" w:eastAsia="宋体" w:cs="宋体"/>
                <w:b w:val="0"/>
                <w:bCs w:val="0"/>
                <w:color w:val="000000"/>
                <w:kern w:val="0"/>
                <w:sz w:val="18"/>
                <w:szCs w:val="18"/>
              </w:rPr>
              <w:t>参与乡村振兴建设</w:t>
            </w:r>
          </w:p>
          <w:p>
            <w:pPr>
              <w:widowControl/>
              <w:spacing w:line="360" w:lineRule="auto"/>
              <w:jc w:val="center"/>
              <w:rPr>
                <w:rFonts w:hint="eastAsia" w:ascii="Times New Roman" w:hAnsi="Times New Roman" w:eastAsia="宋体" w:cs="宋体"/>
                <w:b w:val="0"/>
                <w:bCs/>
                <w:color w:val="000000"/>
                <w:kern w:val="0"/>
                <w:sz w:val="18"/>
                <w:szCs w:val="18"/>
              </w:rPr>
            </w:pPr>
          </w:p>
        </w:tc>
        <w:tc>
          <w:tcPr>
            <w:tcW w:w="4844"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widowControl/>
              <w:spacing w:line="360" w:lineRule="auto"/>
              <w:jc w:val="center"/>
              <w:rPr>
                <w:rFonts w:hint="eastAsia" w:ascii="Times New Roman" w:hAnsi="Times New Roman" w:eastAsia="宋体" w:cs="宋体"/>
                <w:b w:val="0"/>
                <w:color w:val="000000"/>
                <w:kern w:val="0"/>
                <w:sz w:val="18"/>
                <w:szCs w:val="18"/>
              </w:rPr>
            </w:pPr>
            <w:r>
              <w:rPr>
                <w:rFonts w:hint="eastAsia" w:ascii="Times New Roman" w:hAnsi="Times New Roman" w:eastAsia="宋体" w:cs="宋体"/>
                <w:b w:val="0"/>
                <w:color w:val="000000"/>
                <w:kern w:val="0"/>
                <w:sz w:val="18"/>
                <w:szCs w:val="18"/>
              </w:rPr>
              <w:t>参与学校所数（所）</w:t>
            </w:r>
          </w:p>
        </w:tc>
        <w:tc>
          <w:tcPr>
            <w:tcW w:w="1405"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widowControl/>
              <w:spacing w:line="360" w:lineRule="auto"/>
              <w:jc w:val="center"/>
              <w:rPr>
                <w:rFonts w:hint="eastAsia" w:ascii="Times New Roman" w:hAnsi="Times New Roman" w:eastAsia="宋体" w:cs="宋体"/>
                <w:b w:val="0"/>
                <w:color w:val="000000"/>
                <w:kern w:val="0"/>
                <w:sz w:val="18"/>
                <w:szCs w:val="18"/>
                <w:lang w:eastAsia="zh-CN"/>
              </w:rPr>
            </w:pPr>
            <w:r>
              <w:rPr>
                <w:rFonts w:hint="eastAsia" w:ascii="Times New Roman" w:hAnsi="Times New Roman" w:eastAsia="宋体" w:cs="宋体"/>
                <w:b w:val="0"/>
                <w:color w:val="000000"/>
                <w:kern w:val="0"/>
                <w:sz w:val="18"/>
                <w:szCs w:val="18"/>
                <w:lang w:val="en-US" w:eastAsia="zh-CN"/>
              </w:rPr>
              <w:t>9</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499" w:hRule="exact"/>
          <w:jc w:val="center"/>
        </w:trPr>
        <w:tc>
          <w:tcPr>
            <w:tcW w:w="1843"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widowControl/>
              <w:spacing w:line="360" w:lineRule="auto"/>
              <w:jc w:val="center"/>
              <w:rPr>
                <w:rFonts w:hint="eastAsia" w:ascii="Times New Roman" w:hAnsi="Times New Roman" w:eastAsia="宋体" w:cs="宋体"/>
                <w:b w:val="0"/>
                <w:bCs/>
                <w:color w:val="000000"/>
                <w:kern w:val="0"/>
                <w:sz w:val="18"/>
                <w:szCs w:val="18"/>
              </w:rPr>
            </w:pPr>
          </w:p>
        </w:tc>
        <w:tc>
          <w:tcPr>
            <w:tcW w:w="484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widowControl/>
              <w:spacing w:line="360" w:lineRule="auto"/>
              <w:jc w:val="center"/>
              <w:rPr>
                <w:rFonts w:hint="eastAsia" w:ascii="Times New Roman" w:hAnsi="Times New Roman" w:eastAsia="宋体" w:cs="宋体"/>
                <w:b w:val="0"/>
                <w:color w:val="000000"/>
                <w:kern w:val="0"/>
                <w:sz w:val="18"/>
                <w:szCs w:val="18"/>
              </w:rPr>
            </w:pPr>
            <w:r>
              <w:rPr>
                <w:rFonts w:hint="eastAsia" w:ascii="Times New Roman" w:hAnsi="Times New Roman" w:eastAsia="宋体" w:cs="宋体"/>
                <w:b w:val="0"/>
                <w:color w:val="000000"/>
                <w:sz w:val="18"/>
                <w:szCs w:val="18"/>
              </w:rPr>
              <w:t>巩固脱贫攻坚成果技能培训</w:t>
            </w:r>
            <w:r>
              <w:rPr>
                <w:rFonts w:hint="eastAsia" w:ascii="Times New Roman" w:hAnsi="Times New Roman" w:eastAsia="宋体" w:cs="宋体"/>
                <w:b w:val="0"/>
                <w:color w:val="000000"/>
                <w:kern w:val="0"/>
                <w:sz w:val="18"/>
                <w:szCs w:val="18"/>
              </w:rPr>
              <w:t>（人次）</w:t>
            </w:r>
          </w:p>
        </w:tc>
        <w:tc>
          <w:tcPr>
            <w:tcW w:w="140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widowControl/>
              <w:spacing w:line="360" w:lineRule="auto"/>
              <w:jc w:val="center"/>
              <w:rPr>
                <w:rFonts w:hint="eastAsia" w:ascii="Times New Roman" w:hAnsi="Times New Roman" w:eastAsia="宋体" w:cs="宋体"/>
                <w:b w:val="0"/>
                <w:color w:val="000000"/>
                <w:kern w:val="0"/>
                <w:sz w:val="18"/>
                <w:szCs w:val="18"/>
                <w:lang w:val="en-US" w:eastAsia="zh-CN"/>
              </w:rPr>
            </w:pPr>
            <w:r>
              <w:rPr>
                <w:rFonts w:hint="eastAsia" w:ascii="Times New Roman" w:hAnsi="Times New Roman" w:eastAsia="宋体" w:cs="宋体"/>
                <w:b w:val="0"/>
                <w:color w:val="000000"/>
                <w:kern w:val="0"/>
                <w:sz w:val="18"/>
                <w:szCs w:val="18"/>
                <w:lang w:val="en-US" w:eastAsia="zh-CN"/>
              </w:rPr>
              <w:t>120</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499" w:hRule="exact"/>
          <w:jc w:val="center"/>
        </w:trPr>
        <w:tc>
          <w:tcPr>
            <w:tcW w:w="1843"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widowControl/>
              <w:spacing w:line="360" w:lineRule="auto"/>
              <w:jc w:val="center"/>
              <w:rPr>
                <w:rFonts w:hint="eastAsia" w:ascii="Times New Roman" w:hAnsi="Times New Roman" w:eastAsia="宋体" w:cs="宋体"/>
                <w:b w:val="0"/>
                <w:bCs/>
                <w:color w:val="000000"/>
                <w:kern w:val="0"/>
                <w:sz w:val="18"/>
                <w:szCs w:val="18"/>
              </w:rPr>
            </w:pPr>
          </w:p>
        </w:tc>
        <w:tc>
          <w:tcPr>
            <w:tcW w:w="4844"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widowControl/>
              <w:spacing w:line="360" w:lineRule="auto"/>
              <w:jc w:val="center"/>
              <w:rPr>
                <w:rFonts w:hint="eastAsia" w:ascii="Times New Roman" w:hAnsi="Times New Roman" w:eastAsia="宋体" w:cs="宋体"/>
                <w:b w:val="0"/>
                <w:color w:val="000000"/>
                <w:kern w:val="0"/>
                <w:sz w:val="18"/>
                <w:szCs w:val="18"/>
              </w:rPr>
            </w:pPr>
            <w:r>
              <w:rPr>
                <w:rFonts w:hint="eastAsia" w:ascii="Times New Roman" w:hAnsi="Times New Roman" w:eastAsia="宋体" w:cs="宋体"/>
                <w:b w:val="0"/>
                <w:color w:val="000000"/>
                <w:kern w:val="0"/>
                <w:sz w:val="18"/>
                <w:szCs w:val="18"/>
              </w:rPr>
              <w:t>开展新型职业农民培训（人次）</w:t>
            </w:r>
          </w:p>
        </w:tc>
        <w:tc>
          <w:tcPr>
            <w:tcW w:w="1405"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widowControl/>
              <w:spacing w:line="360" w:lineRule="auto"/>
              <w:jc w:val="center"/>
              <w:rPr>
                <w:rFonts w:hint="eastAsia" w:ascii="Times New Roman" w:hAnsi="Times New Roman" w:eastAsia="宋体" w:cs="宋体"/>
                <w:b w:val="0"/>
                <w:color w:val="000000"/>
                <w:kern w:val="0"/>
                <w:sz w:val="18"/>
                <w:szCs w:val="18"/>
                <w:lang w:val="en-US" w:eastAsia="zh-CN"/>
              </w:rPr>
            </w:pPr>
            <w:r>
              <w:rPr>
                <w:rFonts w:hint="eastAsia" w:ascii="Times New Roman" w:hAnsi="Times New Roman" w:eastAsia="宋体" w:cs="宋体"/>
                <w:b w:val="0"/>
                <w:color w:val="000000"/>
                <w:kern w:val="2"/>
                <w:sz w:val="18"/>
                <w:szCs w:val="18"/>
                <w:lang w:val="en-US" w:eastAsia="zh-CN"/>
              </w:rPr>
              <w:t>2132</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499" w:hRule="exact"/>
          <w:jc w:val="center"/>
        </w:trPr>
        <w:tc>
          <w:tcPr>
            <w:tcW w:w="1843"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widowControl/>
              <w:spacing w:line="360" w:lineRule="auto"/>
              <w:jc w:val="center"/>
              <w:rPr>
                <w:rFonts w:hint="eastAsia" w:ascii="Times New Roman" w:hAnsi="Times New Roman" w:eastAsia="宋体" w:cs="宋体"/>
                <w:b w:val="0"/>
                <w:bCs/>
                <w:color w:val="000000"/>
                <w:kern w:val="0"/>
                <w:sz w:val="18"/>
                <w:szCs w:val="18"/>
              </w:rPr>
            </w:pPr>
          </w:p>
        </w:tc>
        <w:tc>
          <w:tcPr>
            <w:tcW w:w="484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widowControl/>
              <w:spacing w:line="360" w:lineRule="auto"/>
              <w:jc w:val="center"/>
              <w:rPr>
                <w:rFonts w:hint="eastAsia" w:ascii="Times New Roman" w:hAnsi="Times New Roman" w:eastAsia="宋体" w:cs="宋体"/>
                <w:b w:val="0"/>
                <w:color w:val="000000"/>
                <w:kern w:val="0"/>
                <w:sz w:val="18"/>
                <w:szCs w:val="18"/>
              </w:rPr>
            </w:pPr>
            <w:r>
              <w:rPr>
                <w:rFonts w:hint="eastAsia" w:ascii="Times New Roman" w:hAnsi="Times New Roman" w:eastAsia="宋体" w:cs="宋体"/>
                <w:b w:val="0"/>
                <w:color w:val="000000"/>
                <w:kern w:val="0"/>
                <w:sz w:val="18"/>
                <w:szCs w:val="18"/>
              </w:rPr>
              <w:t>选派干部教师挂职（支教）（人次）</w:t>
            </w:r>
          </w:p>
        </w:tc>
        <w:tc>
          <w:tcPr>
            <w:tcW w:w="140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widowControl/>
              <w:spacing w:line="360" w:lineRule="auto"/>
              <w:jc w:val="center"/>
              <w:rPr>
                <w:rFonts w:hint="eastAsia" w:ascii="Times New Roman" w:hAnsi="Times New Roman" w:eastAsia="宋体" w:cs="宋体"/>
                <w:b w:val="0"/>
                <w:color w:val="000000"/>
                <w:kern w:val="0"/>
                <w:sz w:val="18"/>
                <w:szCs w:val="18"/>
                <w:lang w:val="en-US" w:eastAsia="zh-CN"/>
              </w:rPr>
            </w:pPr>
            <w:r>
              <w:rPr>
                <w:rFonts w:hint="eastAsia" w:ascii="Times New Roman" w:hAnsi="Times New Roman" w:eastAsia="宋体" w:cs="宋体"/>
                <w:b w:val="0"/>
                <w:color w:val="000000"/>
                <w:kern w:val="0"/>
                <w:sz w:val="18"/>
                <w:szCs w:val="18"/>
                <w:lang w:val="en-US" w:eastAsia="zh-CN"/>
              </w:rPr>
              <w:t>53</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499" w:hRule="exact"/>
          <w:jc w:val="center"/>
        </w:trPr>
        <w:tc>
          <w:tcPr>
            <w:tcW w:w="1843"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widowControl/>
              <w:spacing w:line="360" w:lineRule="auto"/>
              <w:jc w:val="center"/>
              <w:rPr>
                <w:rFonts w:hint="eastAsia" w:ascii="Times New Roman" w:hAnsi="Times New Roman" w:eastAsia="宋体" w:cs="宋体"/>
                <w:b w:val="0"/>
                <w:bCs/>
                <w:color w:val="000000"/>
                <w:kern w:val="0"/>
                <w:sz w:val="18"/>
                <w:szCs w:val="18"/>
              </w:rPr>
            </w:pPr>
          </w:p>
        </w:tc>
        <w:tc>
          <w:tcPr>
            <w:tcW w:w="4844"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widowControl/>
              <w:spacing w:line="360" w:lineRule="auto"/>
              <w:jc w:val="center"/>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劳动品牌培训</w:t>
            </w:r>
            <w:r>
              <w:rPr>
                <w:rFonts w:hint="eastAsia" w:ascii="Times New Roman" w:hAnsi="Times New Roman" w:eastAsia="宋体" w:cs="宋体"/>
                <w:b w:val="0"/>
                <w:color w:val="000000"/>
                <w:kern w:val="0"/>
                <w:sz w:val="18"/>
                <w:szCs w:val="18"/>
              </w:rPr>
              <w:t>（人次）</w:t>
            </w:r>
          </w:p>
        </w:tc>
        <w:tc>
          <w:tcPr>
            <w:tcW w:w="1405"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widowControl/>
              <w:spacing w:line="360" w:lineRule="auto"/>
              <w:jc w:val="center"/>
              <w:rPr>
                <w:rFonts w:hint="eastAsia" w:ascii="Times New Roman" w:hAnsi="Times New Roman" w:eastAsia="宋体" w:cs="宋体"/>
                <w:b w:val="0"/>
                <w:color w:val="000000"/>
                <w:sz w:val="18"/>
                <w:szCs w:val="18"/>
                <w:lang w:val="en-US" w:eastAsia="zh-CN"/>
              </w:rPr>
            </w:pPr>
            <w:r>
              <w:rPr>
                <w:rFonts w:hint="eastAsia" w:ascii="Times New Roman" w:hAnsi="Times New Roman" w:eastAsia="宋体" w:cs="宋体"/>
                <w:b w:val="0"/>
                <w:color w:val="000000"/>
                <w:kern w:val="2"/>
                <w:sz w:val="18"/>
                <w:szCs w:val="18"/>
                <w:lang w:val="en-US" w:eastAsia="zh-CN"/>
              </w:rPr>
              <w:t>2</w:t>
            </w:r>
            <w:r>
              <w:rPr>
                <w:rFonts w:hint="eastAsia" w:ascii="Times New Roman" w:hAnsi="Times New Roman" w:eastAsia="宋体" w:cs="宋体"/>
                <w:b w:val="0"/>
                <w:color w:val="000000"/>
                <w:kern w:val="2"/>
                <w:sz w:val="18"/>
                <w:szCs w:val="18"/>
              </w:rPr>
              <w:t>25</w:t>
            </w:r>
            <w:r>
              <w:rPr>
                <w:rFonts w:hint="eastAsia" w:ascii="Times New Roman" w:hAnsi="Times New Roman" w:eastAsia="宋体" w:cs="宋体"/>
                <w:b w:val="0"/>
                <w:color w:val="000000"/>
                <w:kern w:val="2"/>
                <w:sz w:val="18"/>
                <w:szCs w:val="18"/>
                <w:lang w:val="en-US" w:eastAsia="zh-CN"/>
              </w:rPr>
              <w:t>6</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499" w:hRule="exact"/>
          <w:jc w:val="center"/>
        </w:trPr>
        <w:tc>
          <w:tcPr>
            <w:tcW w:w="1843"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widowControl/>
              <w:spacing w:line="360" w:lineRule="auto"/>
              <w:jc w:val="center"/>
              <w:rPr>
                <w:rFonts w:hint="eastAsia" w:ascii="Times New Roman" w:hAnsi="Times New Roman" w:eastAsia="宋体" w:cs="宋体"/>
                <w:b w:val="0"/>
                <w:bCs/>
                <w:color w:val="000000"/>
                <w:kern w:val="0"/>
                <w:sz w:val="18"/>
                <w:szCs w:val="18"/>
              </w:rPr>
            </w:pPr>
          </w:p>
        </w:tc>
        <w:tc>
          <w:tcPr>
            <w:tcW w:w="484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widowControl/>
              <w:spacing w:line="360" w:lineRule="auto"/>
              <w:jc w:val="center"/>
              <w:rPr>
                <w:rFonts w:hint="eastAsia" w:ascii="Times New Roman" w:hAnsi="Times New Roman" w:eastAsia="宋体" w:cs="宋体"/>
                <w:b w:val="0"/>
                <w:color w:val="000000"/>
                <w:sz w:val="18"/>
                <w:szCs w:val="18"/>
              </w:rPr>
            </w:pPr>
            <w:r>
              <w:rPr>
                <w:rFonts w:hint="eastAsia" w:ascii="Times New Roman" w:hAnsi="Times New Roman" w:eastAsia="宋体" w:cs="宋体"/>
                <w:b w:val="0"/>
                <w:color w:val="000000"/>
                <w:sz w:val="18"/>
                <w:szCs w:val="18"/>
              </w:rPr>
              <w:t>农村劳动力转移培训</w:t>
            </w:r>
            <w:r>
              <w:rPr>
                <w:rFonts w:hint="eastAsia" w:ascii="Times New Roman" w:hAnsi="Times New Roman" w:eastAsia="宋体" w:cs="宋体"/>
                <w:b w:val="0"/>
                <w:color w:val="000000"/>
                <w:kern w:val="0"/>
                <w:sz w:val="18"/>
                <w:szCs w:val="18"/>
              </w:rPr>
              <w:t>（人次）</w:t>
            </w:r>
          </w:p>
        </w:tc>
        <w:tc>
          <w:tcPr>
            <w:tcW w:w="140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widowControl/>
              <w:spacing w:line="360" w:lineRule="auto"/>
              <w:jc w:val="center"/>
              <w:rPr>
                <w:rFonts w:hint="eastAsia" w:ascii="Times New Roman" w:hAnsi="Times New Roman" w:eastAsia="宋体" w:cs="宋体"/>
                <w:b w:val="0"/>
                <w:color w:val="000000"/>
                <w:sz w:val="18"/>
                <w:szCs w:val="18"/>
                <w:lang w:val="en-US" w:eastAsia="zh-CN"/>
              </w:rPr>
            </w:pPr>
            <w:r>
              <w:rPr>
                <w:rFonts w:hint="eastAsia" w:ascii="Times New Roman" w:hAnsi="Times New Roman" w:eastAsia="宋体" w:cs="宋体"/>
                <w:b w:val="0"/>
                <w:color w:val="000000"/>
                <w:kern w:val="2"/>
                <w:sz w:val="18"/>
                <w:szCs w:val="18"/>
              </w:rPr>
              <w:t>28</w:t>
            </w:r>
            <w:r>
              <w:rPr>
                <w:rFonts w:hint="eastAsia" w:ascii="Times New Roman" w:hAnsi="Times New Roman" w:eastAsia="宋体" w:cs="宋体"/>
                <w:b w:val="0"/>
                <w:color w:val="000000"/>
                <w:kern w:val="2"/>
                <w:sz w:val="18"/>
                <w:szCs w:val="18"/>
                <w:lang w:val="en-US" w:eastAsia="zh-CN"/>
              </w:rPr>
              <w:t>2</w:t>
            </w:r>
            <w:r>
              <w:rPr>
                <w:rFonts w:hint="eastAsia" w:ascii="Times New Roman" w:hAnsi="Times New Roman" w:eastAsia="宋体" w:cs="宋体"/>
                <w:b w:val="0"/>
                <w:color w:val="000000"/>
                <w:kern w:val="2"/>
                <w:sz w:val="18"/>
                <w:szCs w:val="18"/>
              </w:rPr>
              <w:t>6</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499" w:hRule="exact"/>
          <w:jc w:val="center"/>
        </w:trPr>
        <w:tc>
          <w:tcPr>
            <w:tcW w:w="1843"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widowControl/>
              <w:spacing w:line="360" w:lineRule="auto"/>
              <w:jc w:val="center"/>
              <w:rPr>
                <w:rFonts w:hint="eastAsia" w:ascii="Times New Roman" w:hAnsi="Times New Roman" w:eastAsia="宋体" w:cs="宋体"/>
                <w:b w:val="0"/>
                <w:bCs/>
                <w:color w:val="000000"/>
                <w:kern w:val="0"/>
                <w:sz w:val="18"/>
                <w:szCs w:val="18"/>
              </w:rPr>
            </w:pPr>
          </w:p>
        </w:tc>
        <w:tc>
          <w:tcPr>
            <w:tcW w:w="4844"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widowControl/>
              <w:spacing w:line="360" w:lineRule="auto"/>
              <w:jc w:val="center"/>
              <w:rPr>
                <w:rFonts w:hint="eastAsia" w:ascii="Times New Roman" w:hAnsi="Times New Roman" w:eastAsia="宋体" w:cs="宋体"/>
                <w:b w:val="0"/>
                <w:color w:val="000000"/>
                <w:kern w:val="0"/>
                <w:sz w:val="18"/>
                <w:szCs w:val="18"/>
              </w:rPr>
            </w:pPr>
            <w:r>
              <w:rPr>
                <w:rFonts w:hint="eastAsia" w:ascii="Times New Roman" w:hAnsi="Times New Roman" w:eastAsia="宋体" w:cs="宋体"/>
                <w:b w:val="0"/>
                <w:color w:val="000000"/>
                <w:kern w:val="0"/>
                <w:sz w:val="18"/>
                <w:szCs w:val="18"/>
              </w:rPr>
              <w:t>技术（专业）指导（人次）</w:t>
            </w:r>
          </w:p>
        </w:tc>
        <w:tc>
          <w:tcPr>
            <w:tcW w:w="1405"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widowControl/>
              <w:spacing w:line="360" w:lineRule="auto"/>
              <w:jc w:val="center"/>
              <w:rPr>
                <w:rFonts w:hint="eastAsia" w:ascii="Times New Roman" w:hAnsi="Times New Roman" w:eastAsia="宋体" w:cs="宋体"/>
                <w:b w:val="0"/>
                <w:color w:val="000000"/>
                <w:kern w:val="0"/>
                <w:sz w:val="18"/>
                <w:szCs w:val="18"/>
                <w:lang w:val="en-US" w:eastAsia="zh-CN"/>
              </w:rPr>
            </w:pPr>
            <w:r>
              <w:rPr>
                <w:rFonts w:hint="eastAsia" w:ascii="Times New Roman" w:hAnsi="Times New Roman" w:eastAsia="宋体" w:cs="宋体"/>
                <w:b w:val="0"/>
                <w:color w:val="000000"/>
                <w:kern w:val="0"/>
                <w:sz w:val="18"/>
                <w:szCs w:val="18"/>
                <w:lang w:val="en-US" w:eastAsia="zh-CN"/>
              </w:rPr>
              <w:t>58</w:t>
            </w:r>
          </w:p>
        </w:tc>
      </w:tr>
    </w:tbl>
    <w:p>
      <w:pPr>
        <w:pStyle w:val="8"/>
        <w:keepNext w:val="0"/>
        <w:keepLines w:val="0"/>
        <w:pageBreakBefore w:val="0"/>
        <w:widowControl w:val="0"/>
        <w:kinsoku/>
        <w:wordWrap/>
        <w:overflowPunct/>
        <w:topLinePunct w:val="0"/>
        <w:autoSpaceDE/>
        <w:autoSpaceDN/>
        <w:bidi w:val="0"/>
        <w:adjustRightInd w:val="0"/>
        <w:snapToGrid w:val="0"/>
        <w:spacing w:line="240" w:lineRule="atLeast"/>
        <w:contextualSpacing/>
        <w:jc w:val="left"/>
        <w:textAlignment w:val="auto"/>
        <w:outlineLvl w:val="9"/>
        <w:rPr>
          <w:rFonts w:hint="eastAsia" w:ascii="楷体" w:hAnsi="楷体" w:eastAsia="楷体" w:cs="楷体"/>
          <w:b/>
          <w:bCs/>
          <w:color w:val="C55A11" w:themeColor="accent2" w:themeShade="BF"/>
          <w:sz w:val="24"/>
          <w:szCs w:val="24"/>
          <w:lang w:eastAsia="zh-CN"/>
        </w:rPr>
      </w:pPr>
    </w:p>
    <w:p>
      <w:pPr>
        <w:rPr>
          <w:rFonts w:hint="eastAsia" w:ascii="楷体" w:hAnsi="楷体" w:eastAsia="楷体" w:cs="楷体"/>
          <w:b/>
          <w:bCs/>
          <w:color w:val="C55A11" w:themeColor="accent2" w:themeShade="BF"/>
          <w:sz w:val="24"/>
          <w:szCs w:val="24"/>
          <w:lang w:eastAsia="zh-CN"/>
        </w:rPr>
      </w:pPr>
    </w:p>
    <w:p>
      <w:pPr>
        <w:pStyle w:val="2"/>
        <w:rPr>
          <w:rFonts w:hint="eastAsia" w:ascii="楷体" w:hAnsi="楷体" w:eastAsia="楷体" w:cs="楷体"/>
          <w:b/>
          <w:bCs/>
          <w:color w:val="C55A11" w:themeColor="accent2" w:themeShade="BF"/>
          <w:sz w:val="24"/>
          <w:szCs w:val="24"/>
          <w:lang w:eastAsia="zh-CN"/>
        </w:rPr>
      </w:pPr>
    </w:p>
    <w:p>
      <w:pPr>
        <w:pStyle w:val="2"/>
        <w:rPr>
          <w:rFonts w:hint="eastAsia" w:ascii="楷体" w:hAnsi="楷体" w:eastAsia="楷体" w:cs="楷体"/>
          <w:b/>
          <w:bCs/>
          <w:color w:val="C55A11" w:themeColor="accent2" w:themeShade="BF"/>
          <w:sz w:val="24"/>
          <w:szCs w:val="24"/>
          <w:lang w:eastAsia="zh-CN"/>
        </w:rPr>
      </w:pPr>
    </w:p>
    <w:p>
      <w:pPr>
        <w:pStyle w:val="2"/>
        <w:rPr>
          <w:rFonts w:hint="eastAsia" w:ascii="楷体" w:hAnsi="楷体" w:eastAsia="楷体" w:cs="楷体"/>
          <w:b/>
          <w:bCs/>
          <w:color w:val="C55A11" w:themeColor="accent2" w:themeShade="BF"/>
          <w:sz w:val="24"/>
          <w:szCs w:val="24"/>
          <w:lang w:eastAsia="zh-CN"/>
        </w:rPr>
      </w:pPr>
    </w:p>
    <w:p>
      <w:pPr>
        <w:pStyle w:val="2"/>
        <w:rPr>
          <w:rFonts w:hint="eastAsia" w:ascii="楷体" w:hAnsi="楷体" w:eastAsia="楷体" w:cs="楷体"/>
          <w:b/>
          <w:bCs/>
          <w:color w:val="C55A11" w:themeColor="accent2" w:themeShade="BF"/>
          <w:sz w:val="24"/>
          <w:szCs w:val="24"/>
          <w:lang w:eastAsia="zh-CN"/>
        </w:rPr>
      </w:pPr>
    </w:p>
    <w:p>
      <w:pPr>
        <w:pStyle w:val="2"/>
        <w:rPr>
          <w:rFonts w:hint="eastAsia" w:ascii="楷体" w:hAnsi="楷体" w:eastAsia="楷体" w:cs="楷体"/>
          <w:b/>
          <w:bCs/>
          <w:color w:val="C55A11" w:themeColor="accent2" w:themeShade="BF"/>
          <w:sz w:val="24"/>
          <w:szCs w:val="24"/>
          <w:lang w:eastAsia="zh-CN"/>
        </w:rPr>
      </w:pPr>
    </w:p>
    <w:p>
      <w:pPr>
        <w:pStyle w:val="8"/>
        <w:keepNext w:val="0"/>
        <w:keepLines w:val="0"/>
        <w:pageBreakBefore w:val="0"/>
        <w:widowControl w:val="0"/>
        <w:kinsoku/>
        <w:wordWrap/>
        <w:overflowPunct/>
        <w:topLinePunct w:val="0"/>
        <w:autoSpaceDE/>
        <w:autoSpaceDN/>
        <w:bidi w:val="0"/>
        <w:adjustRightInd w:val="0"/>
        <w:snapToGrid w:val="0"/>
        <w:spacing w:line="480" w:lineRule="exact"/>
        <w:contextualSpacing/>
        <w:jc w:val="left"/>
        <w:textAlignment w:val="auto"/>
        <w:outlineLvl w:val="2"/>
        <w:rPr>
          <w:rFonts w:hint="eastAsia" w:ascii="黑体" w:hAnsi="黑体" w:eastAsia="黑体" w:cs="黑体"/>
          <w:b/>
          <w:bCs/>
          <w:color w:val="C55A11" w:themeColor="accent2" w:themeShade="BF"/>
          <w:sz w:val="24"/>
          <w:szCs w:val="24"/>
          <w:lang w:val="en-US" w:eastAsia="zh-CN"/>
        </w:rPr>
      </w:pPr>
      <w:r>
        <w:rPr>
          <w:rFonts w:hint="eastAsia" w:ascii="黑体" w:hAnsi="黑体" w:eastAsia="黑体" w:cs="黑体"/>
          <w:b/>
          <w:bCs/>
          <w:color w:val="C55A11" w:themeColor="accent2" w:themeShade="BF"/>
          <w:sz w:val="24"/>
          <w:szCs w:val="24"/>
          <w:lang w:eastAsia="zh-CN"/>
        </w:rPr>
        <w:t>【案例</w:t>
      </w:r>
      <w:r>
        <w:rPr>
          <w:rFonts w:hint="eastAsia" w:ascii="黑体" w:hAnsi="黑体" w:eastAsia="黑体" w:cs="黑体"/>
          <w:b/>
          <w:bCs/>
          <w:color w:val="C55A11" w:themeColor="accent2" w:themeShade="BF"/>
          <w:sz w:val="24"/>
          <w:szCs w:val="24"/>
          <w:lang w:eastAsia="zh-CN"/>
        </w:rPr>
        <w:fldChar w:fldCharType="begin"/>
      </w:r>
      <w:r>
        <w:rPr>
          <w:rFonts w:hint="eastAsia" w:ascii="黑体" w:hAnsi="黑体" w:eastAsia="黑体" w:cs="黑体"/>
          <w:b/>
          <w:bCs/>
          <w:color w:val="C55A11" w:themeColor="accent2" w:themeShade="BF"/>
          <w:sz w:val="24"/>
          <w:szCs w:val="24"/>
          <w:lang w:eastAsia="zh-CN"/>
        </w:rPr>
        <w:instrText xml:space="preserve"> SEQ 案例 \* ARABIC </w:instrText>
      </w:r>
      <w:r>
        <w:rPr>
          <w:rFonts w:hint="eastAsia" w:ascii="黑体" w:hAnsi="黑体" w:eastAsia="黑体" w:cs="黑体"/>
          <w:b/>
          <w:bCs/>
          <w:color w:val="C55A11" w:themeColor="accent2" w:themeShade="BF"/>
          <w:sz w:val="24"/>
          <w:szCs w:val="24"/>
          <w:lang w:eastAsia="zh-CN"/>
        </w:rPr>
        <w:fldChar w:fldCharType="separate"/>
      </w:r>
      <w:r>
        <w:rPr>
          <w:rFonts w:hint="eastAsia" w:ascii="黑体" w:hAnsi="黑体" w:eastAsia="黑体" w:cs="黑体"/>
          <w:b/>
          <w:bCs/>
          <w:color w:val="C55A11" w:themeColor="accent2" w:themeShade="BF"/>
          <w:sz w:val="24"/>
          <w:szCs w:val="24"/>
          <w:lang w:eastAsia="zh-CN"/>
        </w:rPr>
        <w:t>4</w:t>
      </w:r>
      <w:r>
        <w:rPr>
          <w:rFonts w:hint="eastAsia" w:ascii="黑体" w:hAnsi="黑体" w:eastAsia="黑体" w:cs="黑体"/>
          <w:b/>
          <w:bCs/>
          <w:color w:val="C55A11" w:themeColor="accent2" w:themeShade="BF"/>
          <w:sz w:val="24"/>
          <w:szCs w:val="24"/>
          <w:lang w:eastAsia="zh-CN"/>
        </w:rPr>
        <w:fldChar w:fldCharType="end"/>
      </w:r>
      <w:bookmarkStart w:id="249" w:name="_Toc11194"/>
      <w:r>
        <w:rPr>
          <w:rFonts w:hint="eastAsia" w:ascii="黑体" w:hAnsi="黑体" w:eastAsia="黑体" w:cs="黑体"/>
          <w:b/>
          <w:bCs/>
          <w:color w:val="C55A11" w:themeColor="accent2" w:themeShade="BF"/>
          <w:sz w:val="24"/>
          <w:szCs w:val="24"/>
          <w:lang w:val="en-US" w:eastAsia="zh-CN"/>
        </w:rPr>
        <w:t>】四方协同共建共享，助力大英乡村振兴</w:t>
      </w:r>
      <w:bookmarkEnd w:id="249"/>
    </w:p>
    <w:p>
      <w:pPr>
        <w:pStyle w:val="8"/>
        <w:keepNext w:val="0"/>
        <w:keepLines w:val="0"/>
        <w:pageBreakBefore w:val="0"/>
        <w:widowControl w:val="0"/>
        <w:kinsoku/>
        <w:wordWrap/>
        <w:overflowPunct/>
        <w:topLinePunct w:val="0"/>
        <w:autoSpaceDE/>
        <w:autoSpaceDN/>
        <w:bidi w:val="0"/>
        <w:adjustRightInd w:val="0"/>
        <w:snapToGrid w:val="0"/>
        <w:spacing w:line="480" w:lineRule="exact"/>
        <w:contextualSpacing/>
        <w:jc w:val="right"/>
        <w:textAlignment w:val="auto"/>
        <w:outlineLvl w:val="2"/>
        <w:rPr>
          <w:rFonts w:hint="eastAsia" w:ascii="黑体" w:hAnsi="黑体" w:eastAsia="黑体" w:cs="黑体"/>
          <w:b/>
          <w:bCs/>
          <w:color w:val="C55A11" w:themeColor="accent2" w:themeShade="BF"/>
          <w:sz w:val="24"/>
          <w:szCs w:val="24"/>
          <w:lang w:eastAsia="zh-CN"/>
        </w:rPr>
      </w:pPr>
      <w:r>
        <w:rPr>
          <w:rFonts w:hint="eastAsia" w:ascii="黑体" w:hAnsi="黑体" w:eastAsia="黑体" w:cs="黑体"/>
          <w:b/>
          <w:bCs/>
          <w:color w:val="C55A11" w:themeColor="accent2" w:themeShade="BF"/>
          <w:sz w:val="24"/>
          <w:szCs w:val="24"/>
          <w:lang w:val="en-US" w:eastAsia="zh-CN"/>
        </w:rPr>
        <w:t>——</w:t>
      </w:r>
      <w:r>
        <w:rPr>
          <w:rFonts w:hint="eastAsia" w:ascii="黑体" w:hAnsi="黑体" w:eastAsia="黑体" w:cs="黑体"/>
          <w:b/>
          <w:bCs/>
          <w:color w:val="C55A11" w:themeColor="accent2" w:themeShade="BF"/>
          <w:sz w:val="24"/>
          <w:szCs w:val="24"/>
          <w:lang w:eastAsia="zh-CN"/>
        </w:rPr>
        <w:t>四川省大英县中等职业技术学校</w:t>
      </w:r>
    </w:p>
    <w:p>
      <w:pPr>
        <w:keepNext w:val="0"/>
        <w:keepLines w:val="0"/>
        <w:pageBreakBefore w:val="0"/>
        <w:widowControl w:val="0"/>
        <w:kinsoku/>
        <w:wordWrap/>
        <w:overflowPunct/>
        <w:topLinePunct w:val="0"/>
        <w:autoSpaceDE/>
        <w:autoSpaceDN/>
        <w:bidi w:val="0"/>
        <w:adjustRightInd/>
        <w:snapToGrid/>
        <w:spacing w:line="440" w:lineRule="exact"/>
        <w:ind w:firstLine="481"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一、实施背景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遂宁市农业调查数据显示，我市从事农业生产经营人员，其中初中及以下教育程度的人员占93.3%，高中或中专的占5.9%，大专及以上的仅占0.8%。人才匮乏、素质不高等问题长期困扰“三农”工作的开展和乡村社会的发展。面对当前实际存在的问题和挑战，近年来一系列政策出台都明确指出要大力发展面向农村的职业教育，助推职业教育更好地为乡村振兴服务。</w:t>
      </w:r>
    </w:p>
    <w:p>
      <w:pPr>
        <w:keepNext w:val="0"/>
        <w:keepLines w:val="0"/>
        <w:pageBreakBefore w:val="0"/>
        <w:widowControl w:val="0"/>
        <w:kinsoku/>
        <w:wordWrap/>
        <w:overflowPunct/>
        <w:topLinePunct w:val="0"/>
        <w:autoSpaceDE/>
        <w:autoSpaceDN/>
        <w:bidi w:val="0"/>
        <w:adjustRightInd/>
        <w:snapToGrid/>
        <w:spacing w:line="440" w:lineRule="exact"/>
        <w:ind w:firstLine="481"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二、实施举措</w:t>
      </w:r>
    </w:p>
    <w:p>
      <w:pPr>
        <w:keepNext w:val="0"/>
        <w:keepLines w:val="0"/>
        <w:pageBreakBefore w:val="0"/>
        <w:widowControl w:val="0"/>
        <w:kinsoku/>
        <w:wordWrap/>
        <w:overflowPunct/>
        <w:topLinePunct w:val="0"/>
        <w:autoSpaceDE/>
        <w:autoSpaceDN/>
        <w:bidi w:val="0"/>
        <w:adjustRightInd/>
        <w:snapToGrid/>
        <w:spacing w:line="440" w:lineRule="exact"/>
        <w:ind w:firstLine="481"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（一）积极践行“升学+就业”人才培养路径</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学校坚持以加德纳多元智能理论、霍兰德六边形人格理论为基础，以学生为本，以升学、就业并重为导向，践行“对口升学”“中高职衔接”“创业就业”三条人才培养路径，实现“差异发展、特色发展、多元成长”的人才培养目标。</w:t>
      </w:r>
    </w:p>
    <w:p>
      <w:pPr>
        <w:keepNext w:val="0"/>
        <w:keepLines w:val="0"/>
        <w:pageBreakBefore w:val="0"/>
        <w:widowControl w:val="0"/>
        <w:kinsoku/>
        <w:wordWrap/>
        <w:overflowPunct/>
        <w:topLinePunct w:val="0"/>
        <w:autoSpaceDE/>
        <w:autoSpaceDN/>
        <w:bidi w:val="0"/>
        <w:adjustRightInd/>
        <w:snapToGrid/>
        <w:spacing w:line="440" w:lineRule="exact"/>
        <w:ind w:firstLine="481"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（二）依托集团化办学搭建院校合作育人平台</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学校加入了四川现代畜牧业产教融合联盟并成为副理事长单位。集团通过资源共享、共建、开放、共赢平台整体推进涉农类专业建设，围绕对口升学与就业等积极探索产教融合、中高职衔接、教育教学改革、课程资源建设等，共同开发校本教材。通过企业、中高职院校相互引领，精准培养，提升办学质量，为地区农业发展输送人才，助力地区农业经济建设。</w:t>
      </w:r>
    </w:p>
    <w:p>
      <w:pPr>
        <w:keepNext w:val="0"/>
        <w:keepLines w:val="0"/>
        <w:pageBreakBefore w:val="0"/>
        <w:widowControl w:val="0"/>
        <w:kinsoku/>
        <w:wordWrap/>
        <w:overflowPunct/>
        <w:topLinePunct w:val="0"/>
        <w:autoSpaceDE/>
        <w:autoSpaceDN/>
        <w:bidi w:val="0"/>
        <w:adjustRightInd/>
        <w:snapToGrid/>
        <w:spacing w:line="440" w:lineRule="exact"/>
        <w:ind w:firstLine="481"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（三）创新“学校+企业+农场+农户”产教融合育人模式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为进一步提升学生专业技能素养，顺应现代化农业发展人才需要，大英中职校农作物生产技术专业积极推进产教融合校企合作，与县内宋井桃源乡村振兴示范项目、中草药现代农业产业园良种繁育中心、锦森丹丹农业开发有限公司以及县内外多家农场，积极探索产教融合育人模式，共同制定人才培养方案。</w:t>
      </w:r>
    </w:p>
    <w:p>
      <w:pPr>
        <w:keepNext w:val="0"/>
        <w:keepLines w:val="0"/>
        <w:pageBreakBefore w:val="0"/>
        <w:widowControl w:val="0"/>
        <w:kinsoku/>
        <w:wordWrap/>
        <w:overflowPunct/>
        <w:topLinePunct w:val="0"/>
        <w:autoSpaceDE/>
        <w:autoSpaceDN/>
        <w:bidi w:val="0"/>
        <w:adjustRightInd/>
        <w:snapToGrid/>
        <w:spacing w:line="440" w:lineRule="exact"/>
        <w:ind w:firstLine="481"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三、实施成效</w:t>
      </w:r>
    </w:p>
    <w:p>
      <w:pPr>
        <w:keepNext w:val="0"/>
        <w:keepLines w:val="0"/>
        <w:pageBreakBefore w:val="0"/>
        <w:widowControl w:val="0"/>
        <w:kinsoku/>
        <w:wordWrap/>
        <w:overflowPunct/>
        <w:topLinePunct w:val="0"/>
        <w:autoSpaceDE/>
        <w:autoSpaceDN/>
        <w:bidi w:val="0"/>
        <w:adjustRightInd/>
        <w:snapToGrid/>
        <w:spacing w:line="440" w:lineRule="exact"/>
        <w:ind w:firstLine="481"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（一）向高校输送毕业生，中高职一体化人才培养成效显著</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自办学以来大英中职校升入四川农业大学、西南科技大学、内江师范学院、四川轻化工等本科高等院校累计636人，优秀毕业生刘佳慧升入四川农业大学后保研升博。累计为川渝地区输送人才2500余人，就业率达90%以上，部分学生升学后就业进入国家行政机关、事业单位、职业院校以及新希望集团、巨星农牧、德康畜牧有限公司等农业相关企业在各大企业均任职重要技术岗位或管理岗位。还有部分毕业生回乡创业，唐玲于2022年创建了青之初家庭农场，致力于打造特色“亲子绿色农场”，主打农产品有机蔬菜，进一步推动了我县有机农产品市场发展。</w:t>
      </w:r>
    </w:p>
    <w:p>
      <w:pPr>
        <w:keepNext w:val="0"/>
        <w:keepLines w:val="0"/>
        <w:pageBreakBefore w:val="0"/>
        <w:widowControl w:val="0"/>
        <w:kinsoku/>
        <w:wordWrap/>
        <w:overflowPunct/>
        <w:topLinePunct w:val="0"/>
        <w:autoSpaceDE/>
        <w:autoSpaceDN/>
        <w:bidi w:val="0"/>
        <w:adjustRightInd/>
        <w:snapToGrid/>
        <w:spacing w:line="440" w:lineRule="exact"/>
        <w:ind w:firstLine="481"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（二）送课下乡，解决“三农”技术问题，助力乡村振兴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依据省、市、县的发展战略，强县必先强农。一方面在大力发展学历教育和学生职业技能培训的同时，还利用现有的师资、技术、场地、设备面向社会累计培训社会人员1100余人/次，缓解了大英县农业技术服务的紧缺局面。另一方面在地方政府的牵头下开展“技术助农”，累计送课下乡30余堂，为农户提供技术服务20余次，培训农业生产人员500余人，累计助农增收约120万元。</w:t>
      </w:r>
    </w:p>
    <w:p>
      <w:pPr>
        <w:keepNext w:val="0"/>
        <w:keepLines w:val="0"/>
        <w:pageBreakBefore w:val="0"/>
        <w:widowControl w:val="0"/>
        <w:kinsoku/>
        <w:wordWrap/>
        <w:overflowPunct/>
        <w:topLinePunct w:val="0"/>
        <w:autoSpaceDE/>
        <w:autoSpaceDN/>
        <w:bidi w:val="0"/>
        <w:adjustRightInd/>
        <w:snapToGrid/>
        <w:spacing w:line="440" w:lineRule="exact"/>
        <w:ind w:firstLine="481"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（三）依托专业优势，创新产品营销模式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学校组织专业教师搭建电商平台，加大对果品的包装设计、绿色种植模式宣传等，由原来单一的地推销售创新为线上线下相结合的混合销售模式，帮助农户降低销售成本20%，销量提高约60%，产品知名度大幅提升。</w:t>
      </w:r>
    </w:p>
    <w:p>
      <w:pPr>
        <w:keepNext w:val="0"/>
        <w:keepLines w:val="0"/>
        <w:pageBreakBefore w:val="0"/>
        <w:widowControl w:val="0"/>
        <w:kinsoku/>
        <w:wordWrap/>
        <w:overflowPunct/>
        <w:topLinePunct w:val="0"/>
        <w:autoSpaceDE/>
        <w:autoSpaceDN/>
        <w:bidi w:val="0"/>
        <w:adjustRightInd/>
        <w:snapToGrid/>
        <w:spacing w:line="440" w:lineRule="exact"/>
        <w:ind w:firstLine="481"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（四）完善基地功能，满足人才培养需求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2022年至今，农作物生产技术专业已在大英宋井桃园、大英景森丹丹实践基地成功创建2个工作站，3个研学基地，与3家企业4个家庭农场深度合作，建成农林牧渔大类的实训基地，实践项目开出率达到100%。</w:t>
      </w:r>
    </w:p>
    <w:p>
      <w:pPr>
        <w:keepNext w:val="0"/>
        <w:keepLines w:val="0"/>
        <w:pageBreakBefore w:val="0"/>
        <w:widowControl w:val="0"/>
        <w:kinsoku/>
        <w:wordWrap/>
        <w:overflowPunct/>
        <w:topLinePunct w:val="0"/>
        <w:autoSpaceDE/>
        <w:autoSpaceDN/>
        <w:bidi w:val="0"/>
        <w:adjustRightInd/>
        <w:snapToGrid/>
        <w:spacing w:line="240" w:lineRule="atLeast"/>
        <w:textAlignment w:val="auto"/>
      </w:pPr>
      <w:r>
        <w:rPr>
          <w:rFonts w:hint="eastAsia" w:ascii="宋体" w:hAnsi="宋体" w:eastAsia="宋体" w:cs="宋体"/>
          <w:sz w:val="28"/>
          <w:szCs w:val="28"/>
          <w:lang w:eastAsia="zh-CN"/>
        </w:rPr>
        <w:drawing>
          <wp:anchor distT="0" distB="0" distL="114300" distR="114300" simplePos="0" relativeHeight="251678720" behindDoc="0" locked="0" layoutInCell="1" allowOverlap="1">
            <wp:simplePos x="0" y="0"/>
            <wp:positionH relativeFrom="column">
              <wp:posOffset>176530</wp:posOffset>
            </wp:positionH>
            <wp:positionV relativeFrom="paragraph">
              <wp:posOffset>68580</wp:posOffset>
            </wp:positionV>
            <wp:extent cx="2479675" cy="1755140"/>
            <wp:effectExtent l="0" t="0" r="9525" b="10160"/>
            <wp:wrapNone/>
            <wp:docPr id="47" name="图片 19" descr="1e62d55a530396d264205d7fd2b3be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19" descr="1e62d55a530396d264205d7fd2b3be6"/>
                    <pic:cNvPicPr>
                      <a:picLocks noChangeAspect="true"/>
                    </pic:cNvPicPr>
                  </pic:nvPicPr>
                  <pic:blipFill>
                    <a:blip r:embed="rId31"/>
                    <a:stretch>
                      <a:fillRect/>
                    </a:stretch>
                  </pic:blipFill>
                  <pic:spPr>
                    <a:xfrm>
                      <a:off x="0" y="0"/>
                      <a:ext cx="2479675" cy="1755140"/>
                    </a:xfrm>
                    <a:prstGeom prst="rect">
                      <a:avLst/>
                    </a:prstGeom>
                    <a:noFill/>
                    <a:ln>
                      <a:noFill/>
                    </a:ln>
                  </pic:spPr>
                </pic:pic>
              </a:graphicData>
            </a:graphic>
          </wp:anchor>
        </w:drawing>
      </w:r>
      <w:r>
        <w:rPr>
          <w:rFonts w:hint="eastAsia" w:ascii="宋体" w:hAnsi="宋体" w:eastAsia="宋体" w:cs="宋体"/>
          <w:b/>
          <w:bCs/>
          <w:sz w:val="28"/>
          <w:szCs w:val="28"/>
          <w:lang w:eastAsia="zh-CN"/>
        </w:rPr>
        <w:drawing>
          <wp:anchor distT="0" distB="0" distL="114300" distR="114300" simplePos="0" relativeHeight="251679744" behindDoc="0" locked="0" layoutInCell="1" allowOverlap="1">
            <wp:simplePos x="0" y="0"/>
            <wp:positionH relativeFrom="column">
              <wp:posOffset>2715260</wp:posOffset>
            </wp:positionH>
            <wp:positionV relativeFrom="paragraph">
              <wp:posOffset>73660</wp:posOffset>
            </wp:positionV>
            <wp:extent cx="2400935" cy="1757045"/>
            <wp:effectExtent l="0" t="0" r="12065" b="8255"/>
            <wp:wrapNone/>
            <wp:docPr id="49" name="图片 25" descr="d8496ece378f5acc23c013c903973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25" descr="d8496ece378f5acc23c013c90397339"/>
                    <pic:cNvPicPr>
                      <a:picLocks noChangeAspect="true"/>
                    </pic:cNvPicPr>
                  </pic:nvPicPr>
                  <pic:blipFill>
                    <a:blip r:embed="rId32"/>
                    <a:stretch>
                      <a:fillRect/>
                    </a:stretch>
                  </pic:blipFill>
                  <pic:spPr>
                    <a:xfrm>
                      <a:off x="0" y="0"/>
                      <a:ext cx="2400935" cy="1757045"/>
                    </a:xfrm>
                    <a:prstGeom prst="rect">
                      <a:avLst/>
                    </a:prstGeom>
                    <a:noFill/>
                    <a:ln>
                      <a:noFill/>
                    </a:ln>
                  </pic:spPr>
                </pic:pic>
              </a:graphicData>
            </a:graphic>
          </wp:anchor>
        </w:drawing>
      </w:r>
    </w:p>
    <w:p/>
    <w:p/>
    <w:p>
      <w:pPr>
        <w:keepNext w:val="0"/>
        <w:keepLines w:val="0"/>
        <w:pageBreakBefore w:val="0"/>
        <w:widowControl w:val="0"/>
        <w:kinsoku/>
        <w:wordWrap/>
        <w:overflowPunct/>
        <w:topLinePunct w:val="0"/>
        <w:autoSpaceDE/>
        <w:autoSpaceDN/>
        <w:bidi w:val="0"/>
        <w:adjustRightInd/>
        <w:snapToGrid/>
        <w:spacing w:line="240" w:lineRule="atLeast"/>
        <w:textAlignment w:val="auto"/>
      </w:pPr>
    </w:p>
    <w:p>
      <w:pPr>
        <w:keepNext w:val="0"/>
        <w:keepLines w:val="0"/>
        <w:pageBreakBefore w:val="0"/>
        <w:widowControl w:val="0"/>
        <w:kinsoku/>
        <w:wordWrap/>
        <w:overflowPunct/>
        <w:topLinePunct w:val="0"/>
        <w:autoSpaceDE/>
        <w:autoSpaceDN/>
        <w:bidi w:val="0"/>
        <w:adjustRightInd/>
        <w:snapToGrid/>
        <w:spacing w:line="240" w:lineRule="atLeast"/>
        <w:textAlignment w:val="auto"/>
      </w:pPr>
    </w:p>
    <w:p>
      <w:pPr>
        <w:keepNext/>
        <w:keepLines/>
        <w:pageBreakBefore w:val="0"/>
        <w:widowControl w:val="0"/>
        <w:kinsoku/>
        <w:wordWrap/>
        <w:overflowPunct/>
        <w:topLinePunct w:val="0"/>
        <w:autoSpaceDE/>
        <w:autoSpaceDN/>
        <w:bidi w:val="0"/>
        <w:adjustRightInd/>
        <w:snapToGrid/>
        <w:spacing w:line="579" w:lineRule="auto"/>
        <w:textAlignment w:val="auto"/>
        <w:outlineLvl w:val="9"/>
      </w:pPr>
    </w:p>
    <w:p/>
    <w:p/>
    <w:p>
      <w:pPr>
        <w:pStyle w:val="2"/>
      </w:pPr>
      <w:r>
        <w:rPr>
          <w:rFonts w:hint="eastAsia" w:ascii="宋体" w:hAnsi="宋体" w:eastAsia="宋体" w:cs="宋体"/>
          <w:sz w:val="28"/>
          <w:szCs w:val="28"/>
        </w:rPr>
        <w:drawing>
          <wp:anchor distT="0" distB="0" distL="114300" distR="114300" simplePos="0" relativeHeight="251680768" behindDoc="0" locked="0" layoutInCell="1" allowOverlap="1">
            <wp:simplePos x="0" y="0"/>
            <wp:positionH relativeFrom="column">
              <wp:posOffset>149860</wp:posOffset>
            </wp:positionH>
            <wp:positionV relativeFrom="paragraph">
              <wp:posOffset>5715</wp:posOffset>
            </wp:positionV>
            <wp:extent cx="2489835" cy="1757045"/>
            <wp:effectExtent l="0" t="0" r="12065" b="8255"/>
            <wp:wrapNone/>
            <wp:docPr id="46" name="图片 12" descr="微信图片_202212111948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12" descr="微信图片_20221211194848"/>
                    <pic:cNvPicPr>
                      <a:picLocks noChangeAspect="true"/>
                    </pic:cNvPicPr>
                  </pic:nvPicPr>
                  <pic:blipFill>
                    <a:blip r:embed="rId33"/>
                    <a:stretch>
                      <a:fillRect/>
                    </a:stretch>
                  </pic:blipFill>
                  <pic:spPr>
                    <a:xfrm>
                      <a:off x="0" y="0"/>
                      <a:ext cx="2489835" cy="1757045"/>
                    </a:xfrm>
                    <a:prstGeom prst="rect">
                      <a:avLst/>
                    </a:prstGeom>
                    <a:noFill/>
                    <a:ln>
                      <a:noFill/>
                    </a:ln>
                  </pic:spPr>
                </pic:pic>
              </a:graphicData>
            </a:graphic>
          </wp:anchor>
        </w:drawing>
      </w:r>
      <w:r>
        <w:drawing>
          <wp:anchor distT="0" distB="0" distL="114300" distR="114300" simplePos="0" relativeHeight="251681792" behindDoc="0" locked="0" layoutInCell="1" allowOverlap="1">
            <wp:simplePos x="0" y="0"/>
            <wp:positionH relativeFrom="column">
              <wp:posOffset>2703830</wp:posOffset>
            </wp:positionH>
            <wp:positionV relativeFrom="paragraph">
              <wp:posOffset>10795</wp:posOffset>
            </wp:positionV>
            <wp:extent cx="2424430" cy="1757045"/>
            <wp:effectExtent l="0" t="0" r="1270" b="8255"/>
            <wp:wrapNone/>
            <wp:docPr id="48" name="图片 4" descr="e822451201fd64a58caaf5b84a44d4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 descr="e822451201fd64a58caaf5b84a44d4c"/>
                    <pic:cNvPicPr>
                      <a:picLocks noChangeAspect="true"/>
                    </pic:cNvPicPr>
                  </pic:nvPicPr>
                  <pic:blipFill>
                    <a:blip r:embed="rId34"/>
                    <a:stretch>
                      <a:fillRect/>
                    </a:stretch>
                  </pic:blipFill>
                  <pic:spPr>
                    <a:xfrm>
                      <a:off x="0" y="0"/>
                      <a:ext cx="2424430" cy="1757045"/>
                    </a:xfrm>
                    <a:prstGeom prst="rect">
                      <a:avLst/>
                    </a:prstGeom>
                    <a:noFill/>
                    <a:ln>
                      <a:noFill/>
                    </a:ln>
                  </pic:spPr>
                </pic:pic>
              </a:graphicData>
            </a:graphic>
          </wp:anchor>
        </w:drawing>
      </w:r>
    </w:p>
    <w:p>
      <w:pPr>
        <w:pStyle w:val="2"/>
      </w:pPr>
    </w:p>
    <w:p>
      <w:pPr>
        <w:pageBreakBefore w:val="0"/>
        <w:widowControl w:val="0"/>
        <w:kinsoku/>
        <w:wordWrap/>
        <w:overflowPunct/>
        <w:topLinePunct w:val="0"/>
        <w:autoSpaceDE/>
        <w:autoSpaceDN/>
        <w:bidi w:val="0"/>
        <w:adjustRightInd/>
        <w:snapToGrid/>
        <w:textAlignment w:val="auto"/>
        <w:outlineLvl w:val="9"/>
      </w:pPr>
    </w:p>
    <w:p>
      <w:pPr>
        <w:pageBreakBefore w:val="0"/>
        <w:widowControl w:val="0"/>
        <w:kinsoku/>
        <w:wordWrap/>
        <w:overflowPunct/>
        <w:topLinePunct w:val="0"/>
        <w:autoSpaceDE/>
        <w:autoSpaceDN/>
        <w:bidi w:val="0"/>
        <w:adjustRightInd/>
        <w:snapToGrid/>
        <w:textAlignment w:val="auto"/>
        <w:outlineLvl w:val="9"/>
      </w:pPr>
    </w:p>
    <w:p>
      <w:pPr>
        <w:pageBreakBefore w:val="0"/>
        <w:widowControl w:val="0"/>
        <w:kinsoku/>
        <w:wordWrap/>
        <w:overflowPunct/>
        <w:topLinePunct w:val="0"/>
        <w:autoSpaceDE/>
        <w:autoSpaceDN/>
        <w:bidi w:val="0"/>
        <w:adjustRightInd/>
        <w:snapToGrid/>
        <w:textAlignment w:val="auto"/>
        <w:outlineLvl w:val="9"/>
      </w:pPr>
    </w:p>
    <w:p>
      <w:pPr>
        <w:pageBreakBefore w:val="0"/>
        <w:widowControl w:val="0"/>
        <w:kinsoku/>
        <w:wordWrap/>
        <w:overflowPunct/>
        <w:topLinePunct w:val="0"/>
        <w:autoSpaceDE/>
        <w:autoSpaceDN/>
        <w:bidi w:val="0"/>
        <w:adjustRightInd/>
        <w:snapToGrid/>
        <w:textAlignment w:val="auto"/>
        <w:outlineLvl w:val="9"/>
      </w:pPr>
    </w:p>
    <w:p>
      <w:pPr>
        <w:pageBreakBefore w:val="0"/>
        <w:widowControl w:val="0"/>
        <w:kinsoku/>
        <w:wordWrap/>
        <w:overflowPunct/>
        <w:topLinePunct w:val="0"/>
        <w:autoSpaceDE/>
        <w:autoSpaceDN/>
        <w:bidi w:val="0"/>
        <w:adjustRightInd/>
        <w:snapToGrid/>
        <w:textAlignment w:val="auto"/>
        <w:outlineLvl w:val="9"/>
        <w:rPr>
          <w:u w:val="none"/>
        </w:rPr>
      </w:pPr>
    </w:p>
    <w:p>
      <w:pPr>
        <w:pStyle w:val="8"/>
        <w:keepNext w:val="0"/>
        <w:keepLines w:val="0"/>
        <w:pageBreakBefore w:val="0"/>
        <w:widowControl w:val="0"/>
        <w:kinsoku/>
        <w:wordWrap/>
        <w:overflowPunct/>
        <w:topLinePunct w:val="0"/>
        <w:autoSpaceDE/>
        <w:autoSpaceDN/>
        <w:bidi w:val="0"/>
        <w:adjustRightInd/>
        <w:snapToGrid/>
        <w:spacing w:before="63" w:beforeLines="20" w:line="240" w:lineRule="auto"/>
        <w:jc w:val="both"/>
        <w:textAlignment w:val="auto"/>
        <w:rPr>
          <w:rFonts w:hint="eastAsia" w:ascii="Times New Roman" w:hAnsi="Times New Roman" w:eastAsia="楷体" w:cs="楷体"/>
          <w:sz w:val="24"/>
          <w:szCs w:val="24"/>
        </w:rPr>
      </w:pPr>
    </w:p>
    <w:p>
      <w:pPr>
        <w:pStyle w:val="8"/>
        <w:keepNext w:val="0"/>
        <w:keepLines w:val="0"/>
        <w:pageBreakBefore w:val="0"/>
        <w:widowControl w:val="0"/>
        <w:kinsoku/>
        <w:wordWrap/>
        <w:overflowPunct/>
        <w:topLinePunct w:val="0"/>
        <w:autoSpaceDE/>
        <w:autoSpaceDN/>
        <w:bidi w:val="0"/>
        <w:adjustRightInd/>
        <w:snapToGrid/>
        <w:spacing w:before="95" w:beforeLines="30" w:line="240" w:lineRule="auto"/>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12</w:t>
      </w:r>
      <w:r>
        <w:rPr>
          <w:rFonts w:hint="eastAsia" w:ascii="Times New Roman" w:hAnsi="Times New Roman" w:eastAsia="楷体" w:cs="楷体"/>
          <w:sz w:val="24"/>
          <w:szCs w:val="24"/>
        </w:rPr>
        <w:fldChar w:fldCharType="end"/>
      </w:r>
      <w:bookmarkStart w:id="250" w:name="_Toc23250"/>
      <w:r>
        <w:rPr>
          <w:rFonts w:hint="eastAsia" w:ascii="Times New Roman" w:hAnsi="Times New Roman" w:eastAsia="楷体" w:cs="楷体"/>
          <w:sz w:val="24"/>
          <w:szCs w:val="24"/>
          <w:lang w:val="en-US" w:eastAsia="zh-CN"/>
        </w:rPr>
        <w:t xml:space="preserve"> “院校+企业+农场+农户”四方协同共建共享，助力大英乡村振兴</w:t>
      </w:r>
      <w:bookmarkEnd w:id="250"/>
    </w:p>
    <w:p>
      <w:pPr>
        <w:spacing w:line="560" w:lineRule="exact"/>
        <w:ind w:firstLine="602" w:firstLineChars="200"/>
        <w:outlineLvl w:val="1"/>
        <w:rPr>
          <w:rFonts w:hint="default" w:ascii="Times New Roman" w:hAnsi="Times New Roman" w:eastAsia="楷体" w:cs="Times New Roman"/>
          <w:b/>
          <w:bCs/>
          <w:color w:val="auto"/>
          <w:sz w:val="30"/>
          <w:szCs w:val="30"/>
          <w:highlight w:val="yellow"/>
          <w:lang w:val="en-US" w:eastAsia="zh-CN"/>
        </w:rPr>
      </w:pPr>
      <w:bookmarkStart w:id="251" w:name="_Toc25838"/>
      <w:r>
        <w:rPr>
          <w:rFonts w:hint="eastAsia" w:ascii="Times New Roman" w:hAnsi="Times New Roman" w:eastAsia="楷体" w:cs="Times New Roman"/>
          <w:b/>
          <w:bCs/>
          <w:color w:val="auto"/>
          <w:sz w:val="30"/>
          <w:szCs w:val="30"/>
          <w:highlight w:val="none"/>
          <w:lang w:val="en-US" w:eastAsia="zh-CN"/>
        </w:rPr>
        <w:t>3.3 服务地方</w:t>
      </w:r>
      <w:bookmarkEnd w:id="241"/>
      <w:bookmarkEnd w:id="242"/>
      <w:bookmarkEnd w:id="243"/>
      <w:bookmarkEnd w:id="244"/>
      <w:r>
        <w:rPr>
          <w:rFonts w:hint="eastAsia" w:ascii="Times New Roman" w:hAnsi="Times New Roman" w:eastAsia="楷体" w:cs="Times New Roman"/>
          <w:b/>
          <w:bCs/>
          <w:color w:val="auto"/>
          <w:sz w:val="30"/>
          <w:szCs w:val="30"/>
          <w:highlight w:val="none"/>
          <w:lang w:val="en-US" w:eastAsia="zh-CN"/>
        </w:rPr>
        <w:t>社区</w:t>
      </w:r>
      <w:bookmarkEnd w:id="251"/>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bookmarkStart w:id="252" w:name="_Toc28092"/>
      <w:bookmarkStart w:id="253" w:name="_Toc3332"/>
      <w:bookmarkStart w:id="254" w:name="_Toc2875"/>
      <w:bookmarkStart w:id="255" w:name="_Toc26797"/>
      <w:bookmarkStart w:id="256" w:name="_Toc6963"/>
      <w:r>
        <w:rPr>
          <w:rFonts w:hint="eastAsia" w:ascii="Times New Roman" w:hAnsi="Times New Roman" w:eastAsia="宋体" w:cs="Times New Roman"/>
          <w:b/>
          <w:bCs/>
          <w:color w:val="auto"/>
          <w:sz w:val="28"/>
          <w:szCs w:val="28"/>
          <w:highlight w:val="none"/>
          <w:lang w:val="en-US" w:eastAsia="zh-CN"/>
        </w:rPr>
        <w:t>3</w:t>
      </w:r>
      <w:r>
        <w:rPr>
          <w:rFonts w:hint="eastAsia"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3</w:t>
      </w:r>
      <w:r>
        <w:rPr>
          <w:rFonts w:hint="eastAsia" w:ascii="Times New Roman" w:hAnsi="Times New Roman" w:eastAsia="宋体" w:cs="Times New Roman"/>
          <w:b/>
          <w:bCs/>
          <w:color w:val="auto"/>
          <w:sz w:val="28"/>
          <w:szCs w:val="28"/>
          <w:highlight w:val="none"/>
        </w:rPr>
        <w:t>.</w:t>
      </w:r>
      <w:r>
        <w:rPr>
          <w:rFonts w:ascii="Times New Roman" w:hAnsi="Times New Roman" w:eastAsia="宋体" w:cs="Times New Roman"/>
          <w:b/>
          <w:bCs/>
          <w:color w:val="auto"/>
          <w:sz w:val="28"/>
          <w:szCs w:val="28"/>
          <w:highlight w:val="none"/>
        </w:rPr>
        <w:t>1</w:t>
      </w:r>
      <w:r>
        <w:rPr>
          <w:rFonts w:hint="eastAsia" w:ascii="Times New Roman" w:hAnsi="Times New Roman" w:eastAsia="宋体" w:cs="Times New Roman"/>
          <w:b/>
          <w:bCs/>
          <w:color w:val="auto"/>
          <w:sz w:val="28"/>
          <w:szCs w:val="28"/>
          <w:highlight w:val="none"/>
          <w:lang w:val="en-US" w:eastAsia="zh-CN"/>
        </w:rPr>
        <w:t xml:space="preserve"> 组建队伍，健全体系</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一是市指导中心成立以来，稳步推进四级终身教育机构联动的发展机制建设。遂宁开放大学全面推动老年教育体系建设和实体运行，成立遂宁开放大学终身教育研学基地。全市建成终身教育机构107个，进一步扩大了覆盖面。二是由学校相关领导带队，参加了2024年（第三届）终身学习成果交流会，深入学习了解了全国其他城市在终身教育体系建设方面的先进经验和做法；三是组织各学院积极报名参加2024年度老年教育工作者在线研修培训，交流及参训人员共计11人，有效提升了全市终身教育管理队伍团队认知和管理水平，搭建了交流和共享平台。</w:t>
      </w:r>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3</w:t>
      </w:r>
      <w:r>
        <w:rPr>
          <w:rFonts w:hint="eastAsia"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3</w:t>
      </w:r>
      <w:r>
        <w:rPr>
          <w:rFonts w:hint="eastAsia"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2 整合资源，丰富活动</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充分整合资源，利用院校和校企合作平台，增设养老护理相关课程，积极开发老年研学场地，形成了资源共享、优势互补的良好局面。持续指导社区教育学习中心按课程计划实施教学，全年开展老年文化艺术课程4000余人次，有效满足了社区居民的学习需求。积极参与省人大、省中心组织的“献礼新中国，奋进新时代”、第二届老年文化艺术节“烹燃心动”、国家老年大学器乐书画舞蹈成果展等各类活动，全年内，获得省级奖项20余个，省级优秀组织奖3次。完成第二批次社区教育示范教学点现场评审工作，提前完成遂宁教育“十四五”规划10个社区教育示范教学点的目标创建任务</w:t>
      </w:r>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3</w:t>
      </w:r>
      <w:r>
        <w:rPr>
          <w:rFonts w:hint="eastAsia"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3</w:t>
      </w:r>
      <w:r>
        <w:rPr>
          <w:rFonts w:hint="eastAsia"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3 科研引领，创建品牌</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为进一步加强对全市社区教育老年教育工作的服务指导，利用“遂宁市社区教育”微信公众号，发布各学院终身教育老年教育相关活动开展情况，共发布信息79篇，上报省终身教育处23篇，8篇报道编入省校四川终身教育工作简报。完成我市2024年全国新时代百姓学习之星和终身学习品牌项目及全省终身教育推介工作，其中，除五个项目获得省级推介荣誉外，大英县象山镇幼儿园保教主任许勤成功获得全国新时代百姓学习之星称号，是我市首个终身教育国家级奖项。遂宁开放大学慈音寺社区教育学习中心获慈音街道2023年度社会服务优秀组织奖，中心两名工作人员获慈音街道2023年度社会服务先进个人。</w:t>
      </w:r>
    </w:p>
    <w:p>
      <w:pPr>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宋体" w:hAnsi="宋体" w:eastAsia="宋体" w:cs="宋体"/>
          <w:b/>
          <w:bCs/>
          <w:color w:val="FF0000"/>
          <w:kern w:val="2"/>
          <w:sz w:val="21"/>
          <w:szCs w:val="21"/>
          <w:lang w:val="en-US" w:eastAsia="zh-CN" w:bidi="ar-SA"/>
        </w:rPr>
      </w:pPr>
      <w:r>
        <w:rPr>
          <w:rFonts w:hint="eastAsia" w:eastAsia="宋体"/>
          <w:lang w:eastAsia="zh-CN"/>
        </w:rPr>
        <w:drawing>
          <wp:anchor distT="0" distB="0" distL="114300" distR="114300" simplePos="0" relativeHeight="251684864" behindDoc="0" locked="0" layoutInCell="1" allowOverlap="1">
            <wp:simplePos x="0" y="0"/>
            <wp:positionH relativeFrom="column">
              <wp:posOffset>132080</wp:posOffset>
            </wp:positionH>
            <wp:positionV relativeFrom="paragraph">
              <wp:posOffset>41275</wp:posOffset>
            </wp:positionV>
            <wp:extent cx="2487295" cy="1757045"/>
            <wp:effectExtent l="0" t="0" r="1905" b="8255"/>
            <wp:wrapNone/>
            <wp:docPr id="38" name="图片 7" descr="76874_1735194497_h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7" descr="76874_1735194497_hd"/>
                    <pic:cNvPicPr>
                      <a:picLocks noChangeAspect="true"/>
                    </pic:cNvPicPr>
                  </pic:nvPicPr>
                  <pic:blipFill>
                    <a:blip r:embed="rId35"/>
                    <a:stretch>
                      <a:fillRect/>
                    </a:stretch>
                  </pic:blipFill>
                  <pic:spPr>
                    <a:xfrm>
                      <a:off x="0" y="0"/>
                      <a:ext cx="2487295" cy="1757045"/>
                    </a:xfrm>
                    <a:prstGeom prst="rect">
                      <a:avLst/>
                    </a:prstGeom>
                    <a:noFill/>
                    <a:ln>
                      <a:noFill/>
                    </a:ln>
                  </pic:spPr>
                </pic:pic>
              </a:graphicData>
            </a:graphic>
          </wp:anchor>
        </w:drawing>
      </w:r>
      <w:r>
        <w:rPr>
          <w:rFonts w:hint="default" w:eastAsia="宋体"/>
          <w:lang w:val="en-US" w:eastAsia="zh-CN"/>
        </w:rPr>
        <w:drawing>
          <wp:anchor distT="0" distB="0" distL="114300" distR="114300" simplePos="0" relativeHeight="251683840" behindDoc="0" locked="0" layoutInCell="1" allowOverlap="1">
            <wp:simplePos x="0" y="0"/>
            <wp:positionH relativeFrom="column">
              <wp:posOffset>2644140</wp:posOffset>
            </wp:positionH>
            <wp:positionV relativeFrom="paragraph">
              <wp:posOffset>42545</wp:posOffset>
            </wp:positionV>
            <wp:extent cx="2513330" cy="1757045"/>
            <wp:effectExtent l="0" t="0" r="1270" b="8255"/>
            <wp:wrapNone/>
            <wp:docPr id="41" name="图片 8" descr="76875_1735194524_h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8" descr="76875_1735194524_hd"/>
                    <pic:cNvPicPr>
                      <a:picLocks noChangeAspect="true"/>
                    </pic:cNvPicPr>
                  </pic:nvPicPr>
                  <pic:blipFill>
                    <a:blip r:embed="rId36"/>
                    <a:stretch>
                      <a:fillRect/>
                    </a:stretch>
                  </pic:blipFill>
                  <pic:spPr>
                    <a:xfrm>
                      <a:off x="0" y="0"/>
                      <a:ext cx="2513330" cy="1757045"/>
                    </a:xfrm>
                    <a:prstGeom prst="rect">
                      <a:avLst/>
                    </a:prstGeom>
                    <a:noFill/>
                    <a:ln>
                      <a:noFill/>
                    </a:ln>
                  </pic:spPr>
                </pic:pic>
              </a:graphicData>
            </a:graphic>
          </wp:anchor>
        </w:drawing>
      </w:r>
    </w:p>
    <w:p>
      <w:pPr>
        <w:rPr>
          <w:rFonts w:hint="default" w:eastAsia="宋体"/>
          <w:lang w:val="en-US" w:eastAsia="zh-CN"/>
        </w:rPr>
      </w:pPr>
      <w:r>
        <w:rPr>
          <w:rFonts w:hint="eastAsia"/>
          <w:lang w:val="en-US" w:eastAsia="zh-CN"/>
        </w:rPr>
        <w:t xml:space="preserve"> </w:t>
      </w:r>
      <w:r>
        <w:rPr>
          <w:rFonts w:hint="eastAsia" w:eastAsia="宋体"/>
          <w:lang w:val="en-US" w:eastAsia="zh-CN"/>
        </w:rPr>
        <w:t xml:space="preserve"> </w:t>
      </w:r>
    </w:p>
    <w:p>
      <w:pPr>
        <w:rPr>
          <w:rFonts w:hint="eastAsia" w:eastAsia="宋体"/>
          <w:lang w:eastAsia="zh-CN"/>
        </w:rPr>
      </w:pPr>
    </w:p>
    <w:p>
      <w:pPr>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lang w:val="en-US" w:eastAsia="zh-CN"/>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atLeast"/>
        <w:jc w:val="both"/>
        <w:textAlignment w:val="auto"/>
        <w:outlineLvl w:val="9"/>
        <w:rPr>
          <w:rFonts w:hint="eastAsia"/>
          <w:lang w:val="en-US" w:eastAsia="zh-CN"/>
        </w:rPr>
      </w:pPr>
    </w:p>
    <w:p>
      <w:pPr>
        <w:pStyle w:val="2"/>
        <w:rPr>
          <w:rFonts w:hint="eastAsia"/>
          <w:lang w:val="en-US" w:eastAsia="zh-CN"/>
        </w:rPr>
      </w:pPr>
    </w:p>
    <w:p>
      <w:pPr>
        <w:pStyle w:val="2"/>
        <w:rPr>
          <w:rFonts w:hint="eastAsia"/>
          <w:lang w:val="en-US" w:eastAsia="zh-CN"/>
        </w:rPr>
      </w:pPr>
      <w:r>
        <w:rPr>
          <w:rFonts w:hint="eastAsia" w:ascii="宋体" w:hAnsi="宋体" w:eastAsia="宋体" w:cs="宋体"/>
          <w:b/>
          <w:bCs/>
          <w:color w:val="FF0000"/>
          <w:kern w:val="2"/>
          <w:sz w:val="21"/>
          <w:szCs w:val="21"/>
          <w:lang w:val="en-US" w:eastAsia="zh-CN" w:bidi="ar-SA"/>
        </w:rPr>
        <w:drawing>
          <wp:anchor distT="0" distB="0" distL="114300" distR="114300" simplePos="0" relativeHeight="251686912" behindDoc="0" locked="0" layoutInCell="1" allowOverlap="1">
            <wp:simplePos x="0" y="0"/>
            <wp:positionH relativeFrom="column">
              <wp:posOffset>2652395</wp:posOffset>
            </wp:positionH>
            <wp:positionV relativeFrom="paragraph">
              <wp:posOffset>186055</wp:posOffset>
            </wp:positionV>
            <wp:extent cx="2512695" cy="1757045"/>
            <wp:effectExtent l="0" t="0" r="1905" b="8255"/>
            <wp:wrapNone/>
            <wp:docPr id="52" name="图片 52" descr="76877_1735194557_hd"/>
            <wp:cNvGraphicFramePr/>
            <a:graphic xmlns:a="http://schemas.openxmlformats.org/drawingml/2006/main">
              <a:graphicData uri="http://schemas.openxmlformats.org/drawingml/2006/picture">
                <pic:pic xmlns:pic="http://schemas.openxmlformats.org/drawingml/2006/picture">
                  <pic:nvPicPr>
                    <pic:cNvPr id="52" name="图片 52" descr="76877_1735194557_hd"/>
                    <pic:cNvPicPr/>
                  </pic:nvPicPr>
                  <pic:blipFill>
                    <a:blip r:embed="rId37"/>
                    <a:stretch>
                      <a:fillRect/>
                    </a:stretch>
                  </pic:blipFill>
                  <pic:spPr>
                    <a:xfrm>
                      <a:off x="0" y="0"/>
                      <a:ext cx="2512695" cy="1757045"/>
                    </a:xfrm>
                    <a:prstGeom prst="rect">
                      <a:avLst/>
                    </a:prstGeom>
                  </pic:spPr>
                </pic:pic>
              </a:graphicData>
            </a:graphic>
          </wp:anchor>
        </w:drawing>
      </w:r>
      <w:r>
        <w:rPr>
          <w:rFonts w:hint="eastAsia" w:eastAsia="宋体"/>
          <w:lang w:eastAsia="zh-CN"/>
        </w:rPr>
        <w:drawing>
          <wp:anchor distT="0" distB="0" distL="114300" distR="114300" simplePos="0" relativeHeight="251685888" behindDoc="0" locked="0" layoutInCell="1" allowOverlap="1">
            <wp:simplePos x="0" y="0"/>
            <wp:positionH relativeFrom="column">
              <wp:posOffset>128905</wp:posOffset>
            </wp:positionH>
            <wp:positionV relativeFrom="paragraph">
              <wp:posOffset>178435</wp:posOffset>
            </wp:positionV>
            <wp:extent cx="2490470" cy="1757045"/>
            <wp:effectExtent l="0" t="0" r="11430" b="8255"/>
            <wp:wrapNone/>
            <wp:docPr id="51" name="图片 10" descr="76873_1735194484_h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10" descr="76873_1735194484_hd"/>
                    <pic:cNvPicPr>
                      <a:picLocks noChangeAspect="true"/>
                    </pic:cNvPicPr>
                  </pic:nvPicPr>
                  <pic:blipFill>
                    <a:blip r:embed="rId38"/>
                    <a:stretch>
                      <a:fillRect/>
                    </a:stretch>
                  </pic:blipFill>
                  <pic:spPr>
                    <a:xfrm>
                      <a:off x="0" y="0"/>
                      <a:ext cx="2490470" cy="1757045"/>
                    </a:xfrm>
                    <a:prstGeom prst="rect">
                      <a:avLst/>
                    </a:prstGeom>
                    <a:noFill/>
                    <a:ln>
                      <a:noFill/>
                    </a:ln>
                  </pic:spPr>
                </pic:pic>
              </a:graphicData>
            </a:graphic>
          </wp:anchor>
        </w:drawing>
      </w:r>
    </w:p>
    <w:p>
      <w:pPr>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lang w:val="en-US" w:eastAsia="zh-CN"/>
        </w:rPr>
      </w:pPr>
    </w:p>
    <w:p>
      <w:pPr>
        <w:pStyle w:val="2"/>
        <w:rPr>
          <w:rFonts w:hint="eastAsia"/>
          <w:lang w:val="en-US" w:eastAsia="zh-CN"/>
        </w:rPr>
      </w:pPr>
    </w:p>
    <w:p>
      <w:pPr>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lang w:val="en-US" w:eastAsia="zh-CN"/>
        </w:rPr>
      </w:pPr>
    </w:p>
    <w:p>
      <w:pPr>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lang w:val="en-US" w:eastAsia="zh-CN"/>
        </w:rPr>
      </w:pPr>
    </w:p>
    <w:p>
      <w:pPr>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宋体" w:hAnsi="宋体" w:eastAsia="宋体" w:cs="宋体"/>
          <w:b/>
          <w:bCs/>
          <w:color w:val="FF0000"/>
          <w:kern w:val="2"/>
          <w:sz w:val="21"/>
          <w:szCs w:val="21"/>
          <w:lang w:val="en-US" w:eastAsia="zh-CN" w:bidi="ar-SA"/>
        </w:rPr>
      </w:pPr>
    </w:p>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13</w:t>
      </w:r>
      <w:r>
        <w:rPr>
          <w:rFonts w:hint="eastAsia" w:ascii="Times New Roman" w:hAnsi="Times New Roman" w:eastAsia="楷体" w:cs="楷体"/>
          <w:sz w:val="24"/>
          <w:szCs w:val="24"/>
        </w:rPr>
        <w:fldChar w:fldCharType="end"/>
      </w:r>
      <w:bookmarkStart w:id="257" w:name="_Toc30521"/>
      <w:r>
        <w:rPr>
          <w:rFonts w:hint="eastAsia" w:ascii="Times New Roman" w:hAnsi="Times New Roman" w:eastAsia="楷体" w:cs="楷体"/>
          <w:sz w:val="24"/>
          <w:szCs w:val="24"/>
          <w:lang w:val="en-US" w:eastAsia="zh-CN"/>
        </w:rPr>
        <w:t xml:space="preserve"> 开展社区教育活动</w:t>
      </w:r>
      <w:bookmarkEnd w:id="257"/>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val="en-US" w:eastAsia="zh-CN"/>
        </w:rPr>
      </w:pPr>
    </w:p>
    <w:p>
      <w:pPr>
        <w:spacing w:line="560" w:lineRule="exact"/>
        <w:ind w:firstLine="602" w:firstLineChars="200"/>
        <w:outlineLvl w:val="1"/>
        <w:rPr>
          <w:rFonts w:hint="default" w:ascii="Times New Roman" w:hAnsi="Times New Roman" w:eastAsia="楷体" w:cs="Times New Roman"/>
          <w:b/>
          <w:bCs/>
          <w:color w:val="auto"/>
          <w:sz w:val="30"/>
          <w:szCs w:val="30"/>
          <w:highlight w:val="none"/>
          <w:lang w:val="en-US" w:eastAsia="zh-CN"/>
        </w:rPr>
      </w:pPr>
      <w:bookmarkStart w:id="258" w:name="_Toc13458"/>
      <w:r>
        <w:rPr>
          <w:rFonts w:hint="eastAsia" w:ascii="Times New Roman" w:hAnsi="Times New Roman" w:eastAsia="楷体" w:cs="Times New Roman"/>
          <w:b/>
          <w:bCs/>
          <w:color w:val="auto"/>
          <w:sz w:val="30"/>
          <w:szCs w:val="30"/>
          <w:highlight w:val="none"/>
          <w:lang w:val="en-US" w:eastAsia="zh-CN"/>
        </w:rPr>
        <w:t>3</w:t>
      </w:r>
      <w:r>
        <w:rPr>
          <w:rFonts w:hint="eastAsia" w:ascii="Times New Roman" w:hAnsi="Times New Roman" w:eastAsia="楷体" w:cs="Times New Roman"/>
          <w:b/>
          <w:bCs/>
          <w:color w:val="auto"/>
          <w:sz w:val="30"/>
          <w:szCs w:val="30"/>
          <w:highlight w:val="none"/>
        </w:rPr>
        <w:t>.</w:t>
      </w:r>
      <w:r>
        <w:rPr>
          <w:rFonts w:hint="eastAsia" w:ascii="Times New Roman" w:hAnsi="Times New Roman" w:eastAsia="楷体" w:cs="Times New Roman"/>
          <w:b/>
          <w:bCs/>
          <w:color w:val="auto"/>
          <w:sz w:val="30"/>
          <w:szCs w:val="30"/>
          <w:highlight w:val="none"/>
          <w:lang w:val="en-US" w:eastAsia="zh-CN"/>
        </w:rPr>
        <w:t>4</w:t>
      </w:r>
      <w:r>
        <w:rPr>
          <w:rFonts w:hint="eastAsia" w:ascii="Times New Roman" w:hAnsi="Times New Roman" w:eastAsia="楷体" w:cs="Times New Roman"/>
          <w:b/>
          <w:bCs/>
          <w:color w:val="auto"/>
          <w:sz w:val="30"/>
          <w:szCs w:val="30"/>
          <w:highlight w:val="none"/>
        </w:rPr>
        <w:t xml:space="preserve"> 具有地域特色的服务</w:t>
      </w:r>
      <w:bookmarkEnd w:id="258"/>
      <w:r>
        <w:rPr>
          <w:rFonts w:hint="eastAsia" w:ascii="Times New Roman" w:hAnsi="Times New Roman" w:eastAsia="楷体" w:cs="Times New Roman"/>
          <w:b/>
          <w:bCs/>
          <w:color w:val="auto"/>
          <w:sz w:val="30"/>
          <w:szCs w:val="30"/>
          <w:highlight w:val="none"/>
          <w:lang w:val="en-US" w:eastAsia="zh-CN"/>
        </w:rPr>
        <w:t xml:space="preserve">  </w:t>
      </w:r>
      <w:bookmarkEnd w:id="252"/>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t>3.4.1 全力推进区域职教中心项目建设</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职业院校区域职教中心项目建设成效显著。按照“分解年度任务，细化季度目标”工作原则，印发《2024年遂宁市区域职业教育中心建设任务清单》，明确年度建设目标任务。市委、市政府主要领导、分管领导先后多次通过现场调研、到省厅相关部门汇报对接等形式推动项目建设，为项目推进创造条件。按月收集工程进度，印发1次会议纪要，迎接上级部门调研活动5次。截至目前，所有院校建设项目累计完成投资208亿元，完成总投资计划的90%，新增8所高校（校区），迁建1所中等职业技术学校，已全部投入使用。</w:t>
      </w:r>
    </w:p>
    <w:p>
      <w:pPr>
        <w:spacing w:line="560" w:lineRule="exact"/>
        <w:ind w:firstLine="562" w:firstLineChars="200"/>
        <w:outlineLvl w:val="2"/>
        <w:rPr>
          <w:rFonts w:ascii="Times New Roman" w:hAnsi="Times New Roman" w:eastAsia="宋体" w:cs="Times New Roman"/>
          <w:b/>
          <w:bCs/>
          <w:color w:val="auto"/>
          <w:sz w:val="28"/>
          <w:szCs w:val="28"/>
          <w:highlight w:val="none"/>
        </w:rPr>
      </w:pPr>
      <w:bookmarkStart w:id="259" w:name="_Toc21214"/>
      <w:r>
        <w:rPr>
          <w:rFonts w:hint="eastAsia" w:ascii="Times New Roman" w:hAnsi="Times New Roman" w:eastAsia="宋体" w:cs="Times New Roman"/>
          <w:b/>
          <w:bCs/>
          <w:color w:val="auto"/>
          <w:sz w:val="28"/>
          <w:szCs w:val="28"/>
          <w:highlight w:val="none"/>
          <w:lang w:val="en-US" w:eastAsia="zh-CN"/>
        </w:rPr>
        <w:t>3</w:t>
      </w:r>
      <w:r>
        <w:rPr>
          <w:rFonts w:hint="eastAsia"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4</w:t>
      </w:r>
      <w:r>
        <w:rPr>
          <w:rFonts w:hint="eastAsia" w:ascii="Times New Roman" w:hAnsi="Times New Roman" w:eastAsia="宋体" w:cs="Times New Roman"/>
          <w:b/>
          <w:bCs/>
          <w:color w:val="auto"/>
          <w:sz w:val="28"/>
          <w:szCs w:val="28"/>
          <w:highlight w:val="none"/>
        </w:rPr>
        <w:t>.</w:t>
      </w:r>
      <w:r>
        <w:rPr>
          <w:rFonts w:ascii="Times New Roman" w:hAnsi="Times New Roman" w:eastAsia="宋体" w:cs="Times New Roman"/>
          <w:b/>
          <w:bCs/>
          <w:color w:val="auto"/>
          <w:sz w:val="28"/>
          <w:szCs w:val="28"/>
          <w:highlight w:val="none"/>
        </w:rPr>
        <w:t>2</w:t>
      </w:r>
      <w:r>
        <w:rPr>
          <w:rFonts w:hint="eastAsia" w:ascii="Times New Roman" w:hAnsi="Times New Roman" w:eastAsia="宋体" w:cs="Times New Roman"/>
          <w:b/>
          <w:bCs/>
          <w:color w:val="auto"/>
          <w:sz w:val="28"/>
          <w:szCs w:val="28"/>
          <w:highlight w:val="none"/>
          <w:lang w:val="en-US" w:eastAsia="zh-CN"/>
        </w:rPr>
        <w:t xml:space="preserve"> 组建市域产教联合体</w:t>
      </w:r>
      <w:bookmarkEnd w:id="259"/>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遂宁市域产教联合体牵头单位——遂宁市经开区、四川职业技术学院积极发挥天齐锂业、四川裕能、蜂巢能源、英创力、托璞勒等行业龙头企业主体作用，联合政府部门14个，成渝地区中职学校10所、高职院校（含职教本科）7所、普通本科学校5所，以及锂电上下游企业98家，建成“遂宁锂电新能源产教联合体”，成功入围四川省第二批省级产教联合体。</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遂宁市域产教联合体自成立一年来，在遂宁市政府指导下，聚焦锂电产业，政行企校共同打造实训设施共用、专业特色共建、招生就业联动、技术人才共育、技能大赛共办、信息资源共享、内涵建设共推、科技与社会服务共进等合作平台。</w:t>
      </w:r>
    </w:p>
    <w:bookmarkEnd w:id="253"/>
    <w:bookmarkEnd w:id="254"/>
    <w:bookmarkEnd w:id="255"/>
    <w:bookmarkEnd w:id="256"/>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drawing>
          <wp:anchor distT="0" distB="0" distL="114300" distR="114300" simplePos="0" relativeHeight="251687936" behindDoc="0" locked="0" layoutInCell="1" allowOverlap="1">
            <wp:simplePos x="0" y="0"/>
            <wp:positionH relativeFrom="column">
              <wp:posOffset>262255</wp:posOffset>
            </wp:positionH>
            <wp:positionV relativeFrom="paragraph">
              <wp:posOffset>21590</wp:posOffset>
            </wp:positionV>
            <wp:extent cx="4749800" cy="2454275"/>
            <wp:effectExtent l="0" t="0" r="0" b="9525"/>
            <wp:wrapNone/>
            <wp:docPr id="57" name="图片 57" descr="76933_1735196680_h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57" descr="76933_1735196680_hd"/>
                    <pic:cNvPicPr>
                      <a:picLocks noChangeAspect="true"/>
                    </pic:cNvPicPr>
                  </pic:nvPicPr>
                  <pic:blipFill>
                    <a:blip r:embed="rId39"/>
                    <a:stretch>
                      <a:fillRect/>
                    </a:stretch>
                  </pic:blipFill>
                  <pic:spPr>
                    <a:xfrm>
                      <a:off x="0" y="0"/>
                      <a:ext cx="4749800" cy="24542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14</w:t>
      </w:r>
      <w:r>
        <w:rPr>
          <w:rFonts w:hint="eastAsia" w:ascii="Times New Roman" w:hAnsi="Times New Roman" w:eastAsia="楷体" w:cs="楷体"/>
          <w:sz w:val="24"/>
          <w:szCs w:val="24"/>
        </w:rPr>
        <w:fldChar w:fldCharType="end"/>
      </w:r>
      <w:bookmarkStart w:id="260" w:name="_Toc27857"/>
      <w:r>
        <w:rPr>
          <w:rFonts w:hint="eastAsia" w:ascii="Times New Roman" w:hAnsi="Times New Roman" w:eastAsia="楷体" w:cs="楷体"/>
          <w:sz w:val="24"/>
          <w:szCs w:val="24"/>
          <w:lang w:val="en-US" w:eastAsia="zh-CN"/>
        </w:rPr>
        <w:t xml:space="preserve"> 遂宁市域产教联合体签约仪式</w:t>
      </w:r>
      <w:bookmarkEnd w:id="260"/>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四川职业技术学院与天齐锂业公司成功申报并获批省级试点项目—“绿色锂电”产教融合试点项目，形成“产业驱动·园校融合”校企合作共育人才的经典范式，促进锂电产业链服务国家能源战略，加快遂宁建设“锂电之都”，并获取省级财政专项支持资金5000万元。</w:t>
      </w:r>
    </w:p>
    <w:p>
      <w:pPr>
        <w:spacing w:line="560" w:lineRule="exact"/>
        <w:ind w:firstLine="480" w:firstLineChars="200"/>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仿宋"/>
          <w:color w:val="auto"/>
          <w:sz w:val="24"/>
          <w:szCs w:val="24"/>
          <w:highlight w:val="none"/>
          <w:lang w:val="en-US" w:eastAsia="zh-CN"/>
        </w:rPr>
        <w:t>遂宁市域产教联合体积极推动集团化办学，依托中高职一体化发展联盟，学校联合四川英创力电子科技股份有限公司和遂宁鸿图电子电路技术职业学校共同实践中职一体化发展。构建以企业需求为导向、以实践能力培养为核心的“企业+中高职学校”深度合作的产教融合路径。通过企业深度参与职业教育，高职引领中职学校，形成教育分层分类、协同发展的良好态势，提高电子信息类专业人才培养的针对性，满足企业用人需求，彰显学校社会担当。</w:t>
      </w:r>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eastAsia="zh-CN"/>
        </w:rPr>
      </w:pPr>
      <w:r>
        <w:rPr>
          <w:rFonts w:hint="eastAsia" w:ascii="Times New Roman" w:hAnsi="Times New Roman" w:eastAsia="宋体" w:cs="Times New Roman"/>
          <w:b/>
          <w:bCs/>
          <w:color w:val="auto"/>
          <w:sz w:val="28"/>
          <w:szCs w:val="28"/>
          <w:highlight w:val="none"/>
          <w:lang w:val="en-US" w:eastAsia="zh-CN"/>
        </w:rPr>
        <w:t>3</w:t>
      </w:r>
      <w:r>
        <w:rPr>
          <w:rFonts w:hint="eastAsia"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4</w:t>
      </w:r>
      <w:r>
        <w:rPr>
          <w:rFonts w:hint="eastAsia"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3</w:t>
      </w:r>
      <w:r>
        <w:rPr>
          <w:rFonts w:hint="eastAsia" w:ascii="Times New Roman" w:hAnsi="Times New Roman" w:eastAsia="宋体" w:cs="Times New Roman"/>
          <w:b/>
          <w:bCs/>
          <w:color w:val="auto"/>
          <w:sz w:val="28"/>
          <w:szCs w:val="28"/>
          <w:highlight w:val="none"/>
          <w:lang w:eastAsia="zh-CN"/>
        </w:rPr>
        <w:t>重点建设持续推进项目</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一是“双示范”建设通过省级验收。2024年度“双示范”建设顺利完成了全部建设任务，顺利通过省级验收，使学校真正成为改革创新的示范、提高质量的示范、办出特色的示范和规范管理的示范。</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二是“三名工程”建设通过省级中期验收及绩效评估。通过两年的建设，2024年6月接受省级中期验收及绩效评估验收，射洪市职业中专学校（五星）、遂宁市职业技术学校（四星）、安居职业高级中学校（四星）三所学校以优秀等级通过验收，船山职业技术学校（三星）、大英中等职业技术学校（三星）以优良等级通过验收。引领办学条件实现新提升，引领内涵建设取得新突破，专业特色优势进一步凸显，标志性成果进一步提升，服务地方产业发展能力显著提高；引领治理水平迈上新台阶，教育教学质量在省内、区域内起到明显示范引领作用。</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三是项目建设取得重大突破。四川省射洪市职业中专学校、四川省遂宁市安居职业高级中学校、遂宁市职业技术学校省第一批标杆学校立项成功；四川省大英县中等职业技术学校被省教育厅列为首批省教师教育实践基地；省职业教育人才培养和教育教学改革研究项目共15个省级项目立项成功。</w:t>
      </w:r>
    </w:p>
    <w:p>
      <w:pPr>
        <w:pStyle w:val="2"/>
        <w:rPr>
          <w:rFonts w:hint="eastAsia" w:ascii="Times New Roman" w:hAnsi="Times New Roman" w:eastAsia="宋体" w:cs="仿宋"/>
          <w:color w:val="auto"/>
          <w:sz w:val="24"/>
          <w:szCs w:val="24"/>
          <w:highlight w:val="none"/>
          <w:lang w:val="en-US" w:eastAsia="zh-CN"/>
        </w:rPr>
      </w:pPr>
    </w:p>
    <w:p>
      <w:pPr>
        <w:pStyle w:val="2"/>
        <w:rPr>
          <w:rFonts w:hint="eastAsia" w:ascii="Times New Roman" w:hAnsi="Times New Roman" w:eastAsia="宋体" w:cs="仿宋"/>
          <w:color w:val="auto"/>
          <w:sz w:val="24"/>
          <w:szCs w:val="24"/>
          <w:highlight w:val="none"/>
          <w:lang w:val="en-US" w:eastAsia="zh-CN"/>
        </w:rPr>
      </w:pPr>
    </w:p>
    <w:p>
      <w:pPr>
        <w:pStyle w:val="2"/>
        <w:rPr>
          <w:rFonts w:hint="eastAsia" w:ascii="Times New Roman" w:hAnsi="Times New Roman" w:eastAsia="宋体" w:cs="仿宋"/>
          <w:color w:val="auto"/>
          <w:sz w:val="24"/>
          <w:szCs w:val="24"/>
          <w:highlight w:val="none"/>
          <w:lang w:val="en-US" w:eastAsia="zh-CN"/>
        </w:rPr>
      </w:pPr>
    </w:p>
    <w:p>
      <w:pPr>
        <w:pStyle w:val="2"/>
        <w:rPr>
          <w:rFonts w:hint="eastAsia" w:ascii="Times New Roman" w:hAnsi="Times New Roman" w:eastAsia="宋体" w:cs="仿宋"/>
          <w:color w:val="auto"/>
          <w:sz w:val="24"/>
          <w:szCs w:val="24"/>
          <w:highlight w:val="none"/>
          <w:lang w:val="en-US" w:eastAsia="zh-CN"/>
        </w:rPr>
      </w:pPr>
    </w:p>
    <w:p>
      <w:pPr>
        <w:pStyle w:val="2"/>
        <w:rPr>
          <w:rFonts w:hint="eastAsia" w:ascii="Times New Roman" w:hAnsi="Times New Roman" w:eastAsia="宋体" w:cs="仿宋"/>
          <w:color w:val="auto"/>
          <w:sz w:val="24"/>
          <w:szCs w:val="24"/>
          <w:highlight w:val="none"/>
          <w:lang w:val="en-US" w:eastAsia="zh-CN"/>
        </w:rPr>
      </w:pPr>
    </w:p>
    <w:p>
      <w:pPr>
        <w:pStyle w:val="2"/>
        <w:rPr>
          <w:rFonts w:hint="eastAsia" w:ascii="Times New Roman" w:hAnsi="Times New Roman" w:eastAsia="宋体" w:cs="仿宋"/>
          <w:color w:val="auto"/>
          <w:sz w:val="24"/>
          <w:szCs w:val="24"/>
          <w:highlight w:val="none"/>
          <w:lang w:val="en-US" w:eastAsia="zh-CN"/>
        </w:rPr>
      </w:pPr>
    </w:p>
    <w:p>
      <w:pPr>
        <w:pStyle w:val="2"/>
        <w:rPr>
          <w:rFonts w:hint="eastAsia" w:ascii="Times New Roman" w:hAnsi="Times New Roman" w:eastAsia="宋体" w:cs="仿宋"/>
          <w:color w:val="auto"/>
          <w:sz w:val="24"/>
          <w:szCs w:val="24"/>
          <w:highlight w:val="none"/>
          <w:lang w:val="en-US" w:eastAsia="zh-CN"/>
        </w:rPr>
      </w:pPr>
    </w:p>
    <w:p>
      <w:pPr>
        <w:pStyle w:val="2"/>
        <w:rPr>
          <w:rFonts w:hint="eastAsia" w:ascii="Times New Roman" w:hAnsi="Times New Roman" w:eastAsia="宋体" w:cs="仿宋"/>
          <w:color w:val="auto"/>
          <w:sz w:val="24"/>
          <w:szCs w:val="24"/>
          <w:highlight w:val="none"/>
          <w:lang w:val="en-US" w:eastAsia="zh-CN"/>
        </w:rPr>
      </w:pPr>
    </w:p>
    <w:p>
      <w:pPr>
        <w:pStyle w:val="2"/>
        <w:rPr>
          <w:rFonts w:hint="eastAsia" w:ascii="Times New Roman" w:hAnsi="Times New Roman" w:eastAsia="宋体" w:cs="仿宋"/>
          <w:color w:val="auto"/>
          <w:sz w:val="24"/>
          <w:szCs w:val="24"/>
          <w:highlight w:val="none"/>
          <w:lang w:val="en-US" w:eastAsia="zh-CN"/>
        </w:rPr>
      </w:pPr>
    </w:p>
    <w:p>
      <w:pPr>
        <w:adjustRightInd w:val="0"/>
        <w:spacing w:line="560" w:lineRule="exact"/>
        <w:ind w:firstLine="642" w:firstLineChars="200"/>
        <w:outlineLvl w:val="0"/>
        <w:rPr>
          <w:rFonts w:ascii="Times New Roman" w:hAnsi="Times New Roman" w:eastAsia="黑体" w:cs="Times New Roman"/>
          <w:b/>
          <w:bCs/>
          <w:color w:val="CE6B2A"/>
          <w:sz w:val="32"/>
          <w:szCs w:val="32"/>
          <w:highlight w:val="none"/>
        </w:rPr>
      </w:pPr>
      <w:bookmarkStart w:id="261" w:name="_Toc20801"/>
      <w:r>
        <w:rPr>
          <w:rFonts w:hint="eastAsia" w:ascii="Times New Roman" w:hAnsi="Times New Roman" w:eastAsia="黑体" w:cs="Times New Roman"/>
          <w:b/>
          <w:bCs/>
          <w:color w:val="CE6B2A"/>
          <w:sz w:val="32"/>
          <w:szCs w:val="32"/>
          <w:highlight w:val="none"/>
          <w:lang w:val="en-US" w:eastAsia="zh-CN"/>
        </w:rPr>
        <w:t>4</w:t>
      </w:r>
      <w:r>
        <w:rPr>
          <w:rFonts w:hint="eastAsia" w:ascii="Times New Roman" w:hAnsi="Times New Roman" w:eastAsia="黑体" w:cs="Times New Roman"/>
          <w:b/>
          <w:bCs/>
          <w:color w:val="CE6B2A"/>
          <w:sz w:val="32"/>
          <w:szCs w:val="32"/>
          <w:highlight w:val="none"/>
        </w:rPr>
        <w:t xml:space="preserve"> </w:t>
      </w:r>
      <w:r>
        <w:rPr>
          <w:rFonts w:hint="eastAsia" w:ascii="Times New Roman" w:hAnsi="Times New Roman" w:eastAsia="黑体" w:cs="Times New Roman"/>
          <w:b/>
          <w:bCs/>
          <w:color w:val="CE6B2A"/>
          <w:sz w:val="32"/>
          <w:szCs w:val="32"/>
          <w:highlight w:val="none"/>
          <w:lang w:val="en-US" w:eastAsia="zh-CN"/>
        </w:rPr>
        <w:t>文化传承</w:t>
      </w:r>
      <w:bookmarkEnd w:id="261"/>
    </w:p>
    <w:p>
      <w:pPr>
        <w:spacing w:line="560" w:lineRule="exact"/>
        <w:ind w:firstLine="602" w:firstLineChars="200"/>
        <w:outlineLvl w:val="1"/>
        <w:rPr>
          <w:rFonts w:hint="default" w:ascii="Times New Roman" w:hAnsi="Times New Roman" w:eastAsia="楷体" w:cs="Times New Roman"/>
          <w:b/>
          <w:bCs/>
          <w:color w:val="auto"/>
          <w:sz w:val="30"/>
          <w:szCs w:val="30"/>
          <w:highlight w:val="none"/>
          <w:lang w:val="en-US" w:eastAsia="zh-CN"/>
        </w:rPr>
      </w:pPr>
      <w:bookmarkStart w:id="262" w:name="_Toc23186"/>
      <w:r>
        <w:rPr>
          <w:rFonts w:hint="eastAsia" w:ascii="Times New Roman" w:hAnsi="Times New Roman" w:eastAsia="楷体" w:cs="Times New Roman"/>
          <w:b/>
          <w:bCs/>
          <w:color w:val="auto"/>
          <w:sz w:val="30"/>
          <w:szCs w:val="30"/>
          <w:highlight w:val="none"/>
          <w:lang w:val="en-US" w:eastAsia="zh-CN"/>
        </w:rPr>
        <w:t>4</w:t>
      </w:r>
      <w:r>
        <w:rPr>
          <w:rFonts w:hint="eastAsia" w:ascii="Times New Roman" w:hAnsi="Times New Roman" w:eastAsia="楷体" w:cs="Times New Roman"/>
          <w:b/>
          <w:bCs/>
          <w:color w:val="auto"/>
          <w:sz w:val="30"/>
          <w:szCs w:val="30"/>
          <w:highlight w:val="none"/>
        </w:rPr>
        <w:t>.</w:t>
      </w:r>
      <w:r>
        <w:rPr>
          <w:rFonts w:hint="eastAsia" w:ascii="Times New Roman" w:hAnsi="Times New Roman" w:eastAsia="楷体" w:cs="Times New Roman"/>
          <w:b/>
          <w:bCs/>
          <w:color w:val="auto"/>
          <w:sz w:val="30"/>
          <w:szCs w:val="30"/>
          <w:highlight w:val="none"/>
          <w:lang w:val="en-US" w:eastAsia="zh-CN"/>
        </w:rPr>
        <w:t>1 红色文化</w:t>
      </w:r>
      <w:bookmarkEnd w:id="262"/>
      <w:r>
        <w:rPr>
          <w:rFonts w:hint="eastAsia" w:ascii="Times New Roman" w:hAnsi="Times New Roman" w:eastAsia="楷体" w:cs="Times New Roman"/>
          <w:b/>
          <w:bCs/>
          <w:color w:val="auto"/>
          <w:sz w:val="30"/>
          <w:szCs w:val="30"/>
          <w:highlight w:val="none"/>
          <w:lang w:val="en-US" w:eastAsia="zh-CN"/>
        </w:rPr>
        <w:t>传承</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为增强学生的民族自豪感、文化自信心和集体认同感，遂宁市中等职业学校依托红色革命老区的优势，开展了一系列红色文化传承活动。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t>4.1.1 开放红色课程，根植红色文化</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红色文化的主要内容就是进行革命传统教育，学习革命先辈在老区进行的艰苦卓绝的革命斗争历史，始终用革命老区精神教育下一代，把着力培养既具有时代素养、又有革命先辈优良品质的新一代作为学校的培养目标。</w:t>
      </w:r>
      <w:r>
        <w:rPr>
          <w:rFonts w:hint="default" w:ascii="Times New Roman" w:hAnsi="Times New Roman" w:eastAsia="宋体" w:cs="仿宋"/>
          <w:color w:val="auto"/>
          <w:sz w:val="24"/>
          <w:szCs w:val="24"/>
          <w:highlight w:val="none"/>
          <w:lang w:val="en-US" w:eastAsia="zh-CN"/>
        </w:rPr>
        <w:t>开展</w:t>
      </w:r>
      <w:r>
        <w:rPr>
          <w:rFonts w:hint="eastAsia" w:ascii="Times New Roman" w:hAnsi="Times New Roman" w:eastAsia="宋体" w:cs="仿宋"/>
          <w:color w:val="auto"/>
          <w:sz w:val="24"/>
          <w:szCs w:val="24"/>
          <w:highlight w:val="none"/>
          <w:lang w:val="en-US" w:eastAsia="zh-CN"/>
        </w:rPr>
        <w:t>红色教育</w:t>
      </w:r>
      <w:r>
        <w:rPr>
          <w:rFonts w:hint="default" w:ascii="Times New Roman" w:hAnsi="Times New Roman" w:eastAsia="宋体" w:cs="仿宋"/>
          <w:color w:val="auto"/>
          <w:sz w:val="24"/>
          <w:szCs w:val="24"/>
          <w:highlight w:val="none"/>
          <w:lang w:val="en-US" w:eastAsia="zh-CN"/>
        </w:rPr>
        <w:t>，</w:t>
      </w:r>
      <w:r>
        <w:rPr>
          <w:rFonts w:hint="eastAsia" w:ascii="Times New Roman" w:hAnsi="Times New Roman" w:eastAsia="宋体" w:cs="仿宋"/>
          <w:color w:val="auto"/>
          <w:sz w:val="24"/>
          <w:szCs w:val="24"/>
          <w:highlight w:val="none"/>
          <w:lang w:val="en-US" w:eastAsia="zh-CN"/>
        </w:rPr>
        <w:t>传承长征精神、延安精神，讲述革命历史事件和人物，参观革命遗址遗迹，欣赏红色文艺作品，</w:t>
      </w:r>
      <w:r>
        <w:rPr>
          <w:rFonts w:hint="default" w:ascii="Times New Roman" w:hAnsi="Times New Roman" w:eastAsia="宋体" w:cs="仿宋"/>
          <w:color w:val="auto"/>
          <w:sz w:val="24"/>
          <w:szCs w:val="24"/>
          <w:highlight w:val="none"/>
          <w:lang w:val="en-US" w:eastAsia="zh-CN"/>
        </w:rPr>
        <w:t>引导学生始终坚持爱国主义、社会主义和党的领导的有机统一，把爱国根植灵魂，让理想扎根心田</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让红色基因入脑、入心、入行</w:t>
      </w:r>
      <w:r>
        <w:rPr>
          <w:rFonts w:hint="eastAsia" w:ascii="Times New Roman" w:hAnsi="Times New Roman" w:eastAsia="宋体" w:cs="仿宋"/>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t>4.1.2 制定工作方案，建立组织机构</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为全面贯彻红色文化进校园活动精神，遂宁市领导高度重视。成立了活动领导小组，制定了《红色校园文化建设工作方案》。各校都制定了各类红色主题活动，打造具有红色元素的校园环境，提升教师红色文化教育能力，建立红色教育效果评估体系，充分利用校内外红色资源开展红色教育。进一步明确将弘扬老区革命传统、彰显红色文化特色作为学校德育主要内容。明确各部门职责，明晰工作思路，确保红色校园文化建设能得到长期、有序、扎实、有效地开展。</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t>4.1.3 开展红色活动，学生全员参与</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default" w:ascii="Times New Roman" w:hAnsi="Times New Roman" w:eastAsia="宋体" w:cs="仿宋"/>
          <w:color w:val="auto"/>
          <w:sz w:val="24"/>
          <w:szCs w:val="24"/>
          <w:highlight w:val="none"/>
          <w:lang w:val="en-US" w:eastAsia="zh-CN"/>
        </w:rPr>
        <w:t>开展</w:t>
      </w:r>
      <w:r>
        <w:rPr>
          <w:rFonts w:hint="eastAsia" w:ascii="Times New Roman" w:hAnsi="Times New Roman" w:eastAsia="宋体" w:cs="仿宋"/>
          <w:color w:val="auto"/>
          <w:sz w:val="24"/>
          <w:szCs w:val="24"/>
          <w:highlight w:val="none"/>
          <w:lang w:val="en-US" w:eastAsia="zh-CN"/>
        </w:rPr>
        <w:t>红色教育</w:t>
      </w:r>
      <w:r>
        <w:rPr>
          <w:rFonts w:hint="default" w:ascii="Times New Roman" w:hAnsi="Times New Roman" w:eastAsia="宋体" w:cs="仿宋"/>
          <w:color w:val="auto"/>
          <w:sz w:val="24"/>
          <w:szCs w:val="24"/>
          <w:highlight w:val="none"/>
          <w:lang w:val="en-US" w:eastAsia="zh-CN"/>
        </w:rPr>
        <w:t>学习</w:t>
      </w:r>
      <w:r>
        <w:rPr>
          <w:rFonts w:hint="eastAsia" w:ascii="Times New Roman" w:hAnsi="Times New Roman" w:eastAsia="宋体" w:cs="仿宋"/>
          <w:color w:val="auto"/>
          <w:sz w:val="24"/>
          <w:szCs w:val="24"/>
          <w:highlight w:val="none"/>
          <w:lang w:val="en-US" w:eastAsia="zh-CN"/>
        </w:rPr>
        <w:t>系列</w:t>
      </w:r>
      <w:r>
        <w:rPr>
          <w:rFonts w:hint="default" w:ascii="Times New Roman" w:hAnsi="Times New Roman" w:eastAsia="宋体" w:cs="仿宋"/>
          <w:color w:val="auto"/>
          <w:sz w:val="24"/>
          <w:szCs w:val="24"/>
          <w:highlight w:val="none"/>
          <w:lang w:val="en-US" w:eastAsia="zh-CN"/>
        </w:rPr>
        <w:t>活动</w:t>
      </w:r>
      <w:r>
        <w:rPr>
          <w:rFonts w:hint="eastAsia" w:ascii="Times New Roman" w:hAnsi="Times New Roman" w:eastAsia="宋体" w:cs="仿宋"/>
          <w:color w:val="auto"/>
          <w:sz w:val="24"/>
          <w:szCs w:val="24"/>
          <w:highlight w:val="none"/>
          <w:lang w:val="en-US" w:eastAsia="zh-CN"/>
        </w:rPr>
        <w:t>。参观旷继勋、伍先华革命烈士纪念馆、红色文化主题班会、</w:t>
      </w:r>
      <w:r>
        <w:rPr>
          <w:rFonts w:hint="default" w:ascii="Times New Roman" w:hAnsi="Times New Roman" w:eastAsia="宋体" w:cs="仿宋"/>
          <w:color w:val="auto"/>
          <w:sz w:val="24"/>
          <w:szCs w:val="24"/>
          <w:highlight w:val="none"/>
          <w:lang w:val="en-US" w:eastAsia="zh-CN"/>
        </w:rPr>
        <w:t>主题演讲比赛</w:t>
      </w:r>
      <w:r>
        <w:rPr>
          <w:rFonts w:hint="eastAsia" w:ascii="Times New Roman" w:hAnsi="Times New Roman" w:eastAsia="宋体" w:cs="仿宋"/>
          <w:color w:val="auto"/>
          <w:sz w:val="24"/>
          <w:szCs w:val="24"/>
          <w:highlight w:val="none"/>
          <w:lang w:val="en-US" w:eastAsia="zh-CN"/>
        </w:rPr>
        <w:t>、手抄报比赛、红色文艺会演、读党报有感、红色文化电影放映、讲红色故事等系列活动多渠道开展教育，动员所有师生参与，让红色文化渗透学校的每一个角落，营造浓厚的爱国主义教育氛围，丰富学生们的校园文化生活，</w:t>
      </w:r>
      <w:r>
        <w:rPr>
          <w:rFonts w:hint="default" w:ascii="Times New Roman" w:hAnsi="Times New Roman" w:eastAsia="宋体" w:cs="仿宋"/>
          <w:color w:val="auto"/>
          <w:sz w:val="24"/>
          <w:szCs w:val="24"/>
          <w:highlight w:val="none"/>
          <w:lang w:val="en-US" w:eastAsia="zh-CN"/>
        </w:rPr>
        <w:t>让红色成为中职学生</w:t>
      </w:r>
      <w:r>
        <w:rPr>
          <w:rFonts w:hint="eastAsia" w:ascii="Times New Roman" w:hAnsi="Times New Roman" w:eastAsia="宋体" w:cs="仿宋"/>
          <w:color w:val="auto"/>
          <w:sz w:val="24"/>
          <w:szCs w:val="24"/>
          <w:highlight w:val="none"/>
          <w:lang w:val="en-US" w:eastAsia="zh-CN"/>
        </w:rPr>
        <w:t>的</w:t>
      </w:r>
      <w:r>
        <w:rPr>
          <w:rFonts w:hint="default" w:ascii="Times New Roman" w:hAnsi="Times New Roman" w:eastAsia="宋体" w:cs="仿宋"/>
          <w:color w:val="auto"/>
          <w:sz w:val="24"/>
          <w:szCs w:val="24"/>
          <w:highlight w:val="none"/>
          <w:lang w:val="en-US" w:eastAsia="zh-CN"/>
        </w:rPr>
        <w:t>灵魂底色。</w:t>
      </w:r>
    </w:p>
    <w:p>
      <w:pPr>
        <w:pStyle w:val="2"/>
        <w:rPr>
          <w:rFonts w:hint="default" w:ascii="Times New Roman" w:hAnsi="Times New Roman" w:eastAsia="宋体" w:cs="仿宋"/>
          <w:color w:val="auto"/>
          <w:sz w:val="24"/>
          <w:szCs w:val="24"/>
          <w:highlight w:val="none"/>
          <w:lang w:val="en-US" w:eastAsia="zh-CN"/>
        </w:rPr>
      </w:pPr>
    </w:p>
    <w:p>
      <w:pPr>
        <w:pStyle w:val="2"/>
        <w:spacing w:line="360" w:lineRule="auto"/>
        <w:rPr>
          <w:rFonts w:hint="default" w:ascii="Times New Roman" w:hAnsi="Times New Roman" w:eastAsia="宋体" w:cs="仿宋"/>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宋体" w:cs="仿宋"/>
          <w:color w:val="auto"/>
          <w:sz w:val="24"/>
          <w:szCs w:val="24"/>
          <w:lang w:val="en-US" w:eastAsia="zh-CN"/>
        </w:rPr>
      </w:pPr>
      <w:r>
        <w:rPr>
          <w:rFonts w:hint="eastAsia" w:ascii="黑体" w:hAnsi="黑体" w:eastAsia="黑体" w:cs="黑体"/>
          <w:sz w:val="24"/>
        </w:rPr>
        <w:drawing>
          <wp:anchor distT="0" distB="0" distL="114300" distR="114300" simplePos="0" relativeHeight="251674624" behindDoc="0" locked="0" layoutInCell="1" allowOverlap="1">
            <wp:simplePos x="0" y="0"/>
            <wp:positionH relativeFrom="column">
              <wp:posOffset>635</wp:posOffset>
            </wp:positionH>
            <wp:positionV relativeFrom="paragraph">
              <wp:posOffset>36830</wp:posOffset>
            </wp:positionV>
            <wp:extent cx="5273040" cy="2550795"/>
            <wp:effectExtent l="0" t="0" r="10160" b="1905"/>
            <wp:wrapNone/>
            <wp:docPr id="27" name="图片 27" descr="C:/Users/HUAWEI/Desktop/图片3.png图片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C:/Users/HUAWEI/Desktop/图片3.png图片3"/>
                    <pic:cNvPicPr>
                      <a:picLocks noChangeAspect="true"/>
                    </pic:cNvPicPr>
                  </pic:nvPicPr>
                  <pic:blipFill>
                    <a:blip r:embed="rId40"/>
                    <a:srcRect t="12271" b="12271"/>
                    <a:stretch>
                      <a:fillRect/>
                    </a:stretch>
                  </pic:blipFill>
                  <pic:spPr>
                    <a:xfrm>
                      <a:off x="0" y="0"/>
                      <a:ext cx="5273040" cy="25507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pStyle w:val="8"/>
        <w:keepNext w:val="0"/>
        <w:keepLines w:val="0"/>
        <w:pageBreakBefore w:val="0"/>
        <w:widowControl w:val="0"/>
        <w:kinsoku/>
        <w:wordWrap/>
        <w:overflowPunct/>
        <w:topLinePunct w:val="0"/>
        <w:autoSpaceDE/>
        <w:autoSpaceDN/>
        <w:bidi w:val="0"/>
        <w:adjustRightInd/>
        <w:snapToGrid/>
        <w:spacing w:before="188" w:beforeLines="60" w:line="240" w:lineRule="auto"/>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15</w:t>
      </w:r>
      <w:r>
        <w:rPr>
          <w:rFonts w:hint="eastAsia" w:ascii="Times New Roman" w:hAnsi="Times New Roman" w:eastAsia="楷体" w:cs="楷体"/>
          <w:sz w:val="24"/>
          <w:szCs w:val="24"/>
        </w:rPr>
        <w:fldChar w:fldCharType="end"/>
      </w:r>
      <w:bookmarkStart w:id="263" w:name="_Toc15724"/>
      <w:r>
        <w:rPr>
          <w:rFonts w:hint="eastAsia" w:ascii="Times New Roman" w:hAnsi="Times New Roman" w:eastAsia="楷体" w:cs="楷体"/>
          <w:sz w:val="24"/>
          <w:szCs w:val="24"/>
          <w:lang w:val="en-US" w:eastAsia="zh-CN"/>
        </w:rPr>
        <w:t xml:space="preserve"> 四川省蓬溪县中等职业技术学校开展</w:t>
      </w:r>
      <w:r>
        <w:rPr>
          <w:rFonts w:hint="default" w:ascii="Times New Roman" w:hAnsi="Times New Roman" w:eastAsia="楷体" w:cs="楷体"/>
          <w:sz w:val="24"/>
          <w:szCs w:val="24"/>
          <w:lang w:val="en-US" w:eastAsia="zh-CN"/>
        </w:rPr>
        <w:t>纪念旷继勋牛角沟起义95周年红色之旅远足研学活动</w:t>
      </w:r>
      <w:bookmarkEnd w:id="263"/>
    </w:p>
    <w:p>
      <w:pPr>
        <w:pStyle w:val="8"/>
        <w:keepNext w:val="0"/>
        <w:keepLines w:val="0"/>
        <w:pageBreakBefore w:val="0"/>
        <w:widowControl w:val="0"/>
        <w:kinsoku/>
        <w:wordWrap/>
        <w:overflowPunct/>
        <w:topLinePunct w:val="0"/>
        <w:autoSpaceDE/>
        <w:autoSpaceDN/>
        <w:bidi w:val="0"/>
        <w:adjustRightInd/>
        <w:snapToGrid/>
        <w:spacing w:before="188" w:beforeLines="60" w:line="240" w:lineRule="auto"/>
        <w:jc w:val="left"/>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 xml:space="preserve">                                   </w:t>
      </w:r>
    </w:p>
    <w:p>
      <w:pPr>
        <w:rPr>
          <w:rFonts w:hint="default"/>
          <w:lang w:val="en-US" w:eastAsia="zh-CN"/>
        </w:rPr>
      </w:pPr>
    </w:p>
    <w:p>
      <w:pPr>
        <w:jc w:val="center"/>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Fonts w:hint="eastAsia" w:ascii="黑体" w:hAnsi="黑体" w:eastAsia="黑体" w:cs="黑体"/>
          <w:sz w:val="24"/>
        </w:rPr>
        <w:drawing>
          <wp:inline distT="0" distB="0" distL="114300" distR="114300">
            <wp:extent cx="5266055" cy="2548255"/>
            <wp:effectExtent l="0" t="0" r="4445" b="4445"/>
            <wp:docPr id="31" name="图片 31"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图片1"/>
                    <pic:cNvPicPr>
                      <a:picLocks noChangeAspect="true"/>
                    </pic:cNvPicPr>
                  </pic:nvPicPr>
                  <pic:blipFill>
                    <a:blip r:embed="rId41"/>
                    <a:stretch>
                      <a:fillRect/>
                    </a:stretch>
                  </pic:blipFill>
                  <pic:spPr>
                    <a:xfrm>
                      <a:off x="0" y="0"/>
                      <a:ext cx="5266055" cy="25482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r>
        <w:rPr>
          <w:rFonts w:ascii="仿宋" w:hAnsi="仿宋" w:eastAsia="仿宋" w:cs="仿宋"/>
          <w:sz w:val="30"/>
          <w:szCs w:val="30"/>
        </w:rPr>
        <w:drawing>
          <wp:anchor distT="0" distB="0" distL="114300" distR="114300" simplePos="0" relativeHeight="251675648" behindDoc="0" locked="0" layoutInCell="1" allowOverlap="1">
            <wp:simplePos x="0" y="0"/>
            <wp:positionH relativeFrom="column">
              <wp:posOffset>2632710</wp:posOffset>
            </wp:positionH>
            <wp:positionV relativeFrom="paragraph">
              <wp:posOffset>13970</wp:posOffset>
            </wp:positionV>
            <wp:extent cx="2626995" cy="1778635"/>
            <wp:effectExtent l="0" t="0" r="1905" b="12065"/>
            <wp:wrapNone/>
            <wp:docPr id="29" name="图片 3" descr="d068f1cf436ea8a10e2fa623d57557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3" descr="d068f1cf436ea8a10e2fa623d575575"/>
                    <pic:cNvPicPr>
                      <a:picLocks noChangeAspect="true"/>
                    </pic:cNvPicPr>
                  </pic:nvPicPr>
                  <pic:blipFill>
                    <a:blip r:embed="rId42"/>
                    <a:stretch>
                      <a:fillRect/>
                    </a:stretch>
                  </pic:blipFill>
                  <pic:spPr>
                    <a:xfrm>
                      <a:off x="0" y="0"/>
                      <a:ext cx="2626995" cy="1778635"/>
                    </a:xfrm>
                    <a:prstGeom prst="rect">
                      <a:avLst/>
                    </a:prstGeom>
                    <a:noFill/>
                    <a:ln>
                      <a:noFill/>
                    </a:ln>
                  </pic:spPr>
                </pic:pic>
              </a:graphicData>
            </a:graphic>
          </wp:anchor>
        </w:drawing>
      </w:r>
      <w:r>
        <w:rPr>
          <w:rFonts w:hint="eastAsia" w:ascii="仿宋" w:hAnsi="仿宋" w:eastAsia="仿宋" w:cs="仿宋"/>
          <w:sz w:val="30"/>
          <w:szCs w:val="30"/>
        </w:rPr>
        <w:drawing>
          <wp:anchor distT="0" distB="0" distL="114300" distR="114300" simplePos="0" relativeHeight="251676672" behindDoc="0" locked="0" layoutInCell="1" allowOverlap="1">
            <wp:simplePos x="0" y="0"/>
            <wp:positionH relativeFrom="column">
              <wp:posOffset>-5715</wp:posOffset>
            </wp:positionH>
            <wp:positionV relativeFrom="paragraph">
              <wp:posOffset>12065</wp:posOffset>
            </wp:positionV>
            <wp:extent cx="2611120" cy="1779270"/>
            <wp:effectExtent l="0" t="0" r="5080" b="11430"/>
            <wp:wrapNone/>
            <wp:docPr id="28" name="图片 1" descr="3ef3928efd32d4ed6486703db2e68d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1" descr="3ef3928efd32d4ed6486703db2e68d4"/>
                    <pic:cNvPicPr>
                      <a:picLocks noChangeAspect="true"/>
                    </pic:cNvPicPr>
                  </pic:nvPicPr>
                  <pic:blipFill>
                    <a:blip r:embed="rId43"/>
                    <a:stretch>
                      <a:fillRect/>
                    </a:stretch>
                  </pic:blipFill>
                  <pic:spPr>
                    <a:xfrm>
                      <a:off x="0" y="0"/>
                      <a:ext cx="2611120" cy="177927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pStyle w:val="8"/>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16</w:t>
      </w:r>
      <w:r>
        <w:rPr>
          <w:rFonts w:hint="eastAsia" w:ascii="Times New Roman" w:hAnsi="Times New Roman" w:eastAsia="楷体" w:cs="楷体"/>
          <w:sz w:val="24"/>
          <w:szCs w:val="24"/>
        </w:rPr>
        <w:fldChar w:fldCharType="end"/>
      </w:r>
      <w:bookmarkStart w:id="264" w:name="_Toc32705"/>
      <w:r>
        <w:rPr>
          <w:rFonts w:hint="eastAsia" w:ascii="Times New Roman" w:hAnsi="Times New Roman" w:eastAsia="楷体" w:cs="楷体"/>
          <w:sz w:val="24"/>
          <w:szCs w:val="24"/>
          <w:lang w:val="en-US" w:eastAsia="zh-CN"/>
        </w:rPr>
        <w:t xml:space="preserve"> 大英县蓝议科技职业技术学校开展研学、演讲等系列红色文化传承活动</w:t>
      </w:r>
      <w:bookmarkEnd w:id="264"/>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pStyle w:val="8"/>
        <w:keepNext w:val="0"/>
        <w:keepLines w:val="0"/>
        <w:pageBreakBefore w:val="0"/>
        <w:widowControl w:val="0"/>
        <w:kinsoku/>
        <w:wordWrap/>
        <w:overflowPunct/>
        <w:topLinePunct w:val="0"/>
        <w:autoSpaceDE/>
        <w:autoSpaceDN/>
        <w:bidi w:val="0"/>
        <w:adjustRightInd w:val="0"/>
        <w:snapToGrid w:val="0"/>
        <w:spacing w:line="480" w:lineRule="exact"/>
        <w:contextualSpacing/>
        <w:jc w:val="left"/>
        <w:textAlignment w:val="auto"/>
        <w:outlineLvl w:val="2"/>
        <w:rPr>
          <w:rFonts w:hint="eastAsia" w:ascii="黑体" w:hAnsi="黑体" w:eastAsia="黑体" w:cs="黑体"/>
          <w:b/>
          <w:bCs/>
          <w:color w:val="C55A11" w:themeColor="accent2" w:themeShade="BF"/>
          <w:sz w:val="24"/>
          <w:szCs w:val="24"/>
          <w:lang w:val="en-US" w:eastAsia="zh-CN"/>
        </w:rPr>
      </w:pPr>
      <w:r>
        <w:rPr>
          <w:rFonts w:hint="eastAsia" w:ascii="黑体" w:hAnsi="黑体" w:eastAsia="黑体" w:cs="黑体"/>
          <w:b/>
          <w:bCs/>
          <w:color w:val="C55A11" w:themeColor="accent2" w:themeShade="BF"/>
          <w:sz w:val="24"/>
          <w:szCs w:val="24"/>
          <w:lang w:eastAsia="zh-CN"/>
        </w:rPr>
        <w:t>【案例</w:t>
      </w:r>
      <w:r>
        <w:rPr>
          <w:rFonts w:hint="eastAsia" w:ascii="黑体" w:hAnsi="黑体" w:eastAsia="黑体" w:cs="黑体"/>
          <w:b/>
          <w:bCs/>
          <w:color w:val="C55A11" w:themeColor="accent2" w:themeShade="BF"/>
          <w:sz w:val="24"/>
          <w:szCs w:val="24"/>
          <w:lang w:eastAsia="zh-CN"/>
        </w:rPr>
        <w:fldChar w:fldCharType="begin"/>
      </w:r>
      <w:r>
        <w:rPr>
          <w:rFonts w:hint="eastAsia" w:ascii="黑体" w:hAnsi="黑体" w:eastAsia="黑体" w:cs="黑体"/>
          <w:b/>
          <w:bCs/>
          <w:color w:val="C55A11" w:themeColor="accent2" w:themeShade="BF"/>
          <w:sz w:val="24"/>
          <w:szCs w:val="24"/>
          <w:lang w:eastAsia="zh-CN"/>
        </w:rPr>
        <w:instrText xml:space="preserve"> SEQ 案例 \* ARABIC </w:instrText>
      </w:r>
      <w:r>
        <w:rPr>
          <w:rFonts w:hint="eastAsia" w:ascii="黑体" w:hAnsi="黑体" w:eastAsia="黑体" w:cs="黑体"/>
          <w:b/>
          <w:bCs/>
          <w:color w:val="C55A11" w:themeColor="accent2" w:themeShade="BF"/>
          <w:sz w:val="24"/>
          <w:szCs w:val="24"/>
          <w:lang w:eastAsia="zh-CN"/>
        </w:rPr>
        <w:fldChar w:fldCharType="separate"/>
      </w:r>
      <w:r>
        <w:rPr>
          <w:rFonts w:hint="eastAsia" w:ascii="黑体" w:hAnsi="黑体" w:eastAsia="黑体" w:cs="黑体"/>
          <w:b/>
          <w:bCs/>
          <w:color w:val="C55A11" w:themeColor="accent2" w:themeShade="BF"/>
          <w:sz w:val="24"/>
          <w:szCs w:val="24"/>
          <w:lang w:eastAsia="zh-CN"/>
        </w:rPr>
        <w:t>5</w:t>
      </w:r>
      <w:r>
        <w:rPr>
          <w:rFonts w:hint="eastAsia" w:ascii="黑体" w:hAnsi="黑体" w:eastAsia="黑体" w:cs="黑体"/>
          <w:b/>
          <w:bCs/>
          <w:color w:val="C55A11" w:themeColor="accent2" w:themeShade="BF"/>
          <w:sz w:val="24"/>
          <w:szCs w:val="24"/>
          <w:lang w:eastAsia="zh-CN"/>
        </w:rPr>
        <w:fldChar w:fldCharType="end"/>
      </w:r>
      <w:bookmarkStart w:id="265" w:name="_Toc21930"/>
      <w:r>
        <w:rPr>
          <w:rFonts w:hint="eastAsia" w:ascii="黑体" w:hAnsi="黑体" w:eastAsia="黑体" w:cs="黑体"/>
          <w:b/>
          <w:bCs/>
          <w:color w:val="C55A11" w:themeColor="accent2" w:themeShade="BF"/>
          <w:sz w:val="24"/>
          <w:szCs w:val="24"/>
          <w:lang w:val="en-US" w:eastAsia="zh-CN"/>
        </w:rPr>
        <w:t>】传承红色基因，爱国励志成才</w:t>
      </w:r>
      <w:bookmarkEnd w:id="265"/>
    </w:p>
    <w:p>
      <w:pPr>
        <w:pStyle w:val="8"/>
        <w:keepNext w:val="0"/>
        <w:keepLines w:val="0"/>
        <w:pageBreakBefore w:val="0"/>
        <w:widowControl w:val="0"/>
        <w:kinsoku/>
        <w:wordWrap/>
        <w:overflowPunct/>
        <w:topLinePunct w:val="0"/>
        <w:autoSpaceDE/>
        <w:autoSpaceDN/>
        <w:bidi w:val="0"/>
        <w:adjustRightInd w:val="0"/>
        <w:snapToGrid w:val="0"/>
        <w:spacing w:line="480" w:lineRule="exact"/>
        <w:contextualSpacing/>
        <w:jc w:val="right"/>
        <w:textAlignment w:val="auto"/>
        <w:outlineLvl w:val="2"/>
        <w:rPr>
          <w:rFonts w:hint="eastAsia" w:ascii="黑体" w:hAnsi="黑体" w:eastAsia="黑体" w:cs="黑体"/>
          <w:b/>
          <w:bCs/>
          <w:color w:val="C55A11" w:themeColor="accent2" w:themeShade="BF"/>
          <w:sz w:val="24"/>
          <w:szCs w:val="24"/>
          <w:lang w:val="en-US" w:eastAsia="zh-CN"/>
        </w:rPr>
      </w:pPr>
      <w:r>
        <w:rPr>
          <w:rFonts w:hint="eastAsia" w:ascii="黑体" w:hAnsi="黑体" w:eastAsia="黑体" w:cs="黑体"/>
          <w:b/>
          <w:bCs/>
          <w:color w:val="C55A11" w:themeColor="accent2" w:themeShade="BF"/>
          <w:sz w:val="24"/>
          <w:szCs w:val="24"/>
          <w:lang w:val="en-US" w:eastAsia="zh-CN"/>
        </w:rPr>
        <w:t>——四川省射洪市职业中专学校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射洪市职业中专学校是首批接收“9+3”免费职业教育试点学校，学校始终把学生思想政治工作放在首位，定期开展红色研学活动，弘扬传统文化，热心公益活动，提升藏区学生的爱国情感和综合素养。</w:t>
      </w:r>
    </w:p>
    <w:p>
      <w:pPr>
        <w:keepNext w:val="0"/>
        <w:keepLines w:val="0"/>
        <w:pageBreakBefore w:val="0"/>
        <w:widowControl w:val="0"/>
        <w:kinsoku/>
        <w:wordWrap/>
        <w:overflowPunct/>
        <w:topLinePunct w:val="0"/>
        <w:autoSpaceDE/>
        <w:autoSpaceDN/>
        <w:bidi w:val="0"/>
        <w:adjustRightInd/>
        <w:snapToGrid/>
        <w:spacing w:line="440" w:lineRule="exact"/>
        <w:ind w:firstLine="481"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b/>
          <w:bCs/>
          <w:color w:val="auto"/>
          <w:sz w:val="24"/>
          <w:szCs w:val="24"/>
          <w:lang w:val="en-US" w:eastAsia="zh-CN"/>
        </w:rPr>
        <w:t>一、参观红色教育基地，实地教育培训</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组织藏区学生参观李庄抗战博物馆和赵一曼纪念馆，通过观看文物、图片、视频和音频资料等，体会革命先烈们崇高的革命理想和不怕牺牲的革命精神。在参观国防教育园中，通过以实物、图片、视频、模型、场景的方式呈现，能够让师生领略中国兵器的独特魅力，探寻中国兵器的无穷奥妙，增强民族自豪感和自信心，弘扬爱国主义精神，提升忧患意识，增强国防责任，提高保家卫国的能力。</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drawing>
          <wp:anchor distT="0" distB="0" distL="114300" distR="114300" simplePos="0" relativeHeight="251671552" behindDoc="0" locked="0" layoutInCell="1" allowOverlap="1">
            <wp:simplePos x="0" y="0"/>
            <wp:positionH relativeFrom="column">
              <wp:posOffset>366395</wp:posOffset>
            </wp:positionH>
            <wp:positionV relativeFrom="paragraph">
              <wp:posOffset>63500</wp:posOffset>
            </wp:positionV>
            <wp:extent cx="4542155" cy="3027045"/>
            <wp:effectExtent l="0" t="0" r="4445" b="8255"/>
            <wp:wrapNone/>
            <wp:docPr id="12" name="图片 12" descr="C:/Users/HUAWEI/Desktop/WPS图片(1).jpgWPS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C:/Users/HUAWEI/Desktop/WPS图片(1).jpgWPS图片(1)"/>
                    <pic:cNvPicPr>
                      <a:picLocks noChangeAspect="true"/>
                    </pic:cNvPicPr>
                  </pic:nvPicPr>
                  <pic:blipFill>
                    <a:blip r:embed="rId44"/>
                    <a:srcRect t="4271" b="4271"/>
                    <a:stretch>
                      <a:fillRect/>
                    </a:stretch>
                  </pic:blipFill>
                  <pic:spPr>
                    <a:xfrm>
                      <a:off x="0" y="0"/>
                      <a:ext cx="4542155" cy="302704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color w:val="auto"/>
          <w:sz w:val="24"/>
          <w:szCs w:val="24"/>
          <w:lang w:val="en-US" w:eastAsia="zh-CN"/>
        </w:rPr>
      </w:pPr>
    </w:p>
    <w:p>
      <w:pPr>
        <w:pStyle w:val="8"/>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rPr>
          <w:rFonts w:hint="eastAsia" w:ascii="仿宋" w:hAnsi="仿宋" w:eastAsia="仿宋"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color w:val="auto"/>
          <w:sz w:val="24"/>
          <w:szCs w:val="24"/>
          <w:lang w:val="en-US" w:eastAsia="zh-CN"/>
        </w:rPr>
      </w:pPr>
    </w:p>
    <w:p>
      <w:pPr>
        <w:pStyle w:val="28"/>
        <w:keepNext w:val="0"/>
        <w:keepLines w:val="0"/>
        <w:pageBreakBefore w:val="0"/>
        <w:widowControl w:val="0"/>
        <w:kinsoku/>
        <w:wordWrap/>
        <w:overflowPunct/>
        <w:topLinePunct w:val="0"/>
        <w:autoSpaceDE/>
        <w:autoSpaceDN/>
        <w:bidi w:val="0"/>
        <w:adjustRightInd/>
        <w:snapToGrid/>
        <w:spacing w:line="120" w:lineRule="exact"/>
        <w:ind w:firstLine="240"/>
        <w:jc w:val="center"/>
        <w:textAlignment w:val="auto"/>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63" w:beforeLines="20" w:after="95" w:afterLines="30" w:line="240" w:lineRule="auto"/>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17</w:t>
      </w:r>
      <w:r>
        <w:rPr>
          <w:rFonts w:hint="eastAsia" w:ascii="Times New Roman" w:hAnsi="Times New Roman" w:eastAsia="楷体" w:cs="楷体"/>
          <w:sz w:val="24"/>
          <w:szCs w:val="24"/>
        </w:rPr>
        <w:fldChar w:fldCharType="end"/>
      </w:r>
      <w:bookmarkStart w:id="266" w:name="_Toc22832"/>
      <w:r>
        <w:rPr>
          <w:rFonts w:hint="eastAsia" w:ascii="Times New Roman" w:hAnsi="Times New Roman" w:eastAsia="楷体" w:cs="楷体"/>
          <w:sz w:val="24"/>
          <w:szCs w:val="24"/>
          <w:lang w:val="en-US" w:eastAsia="zh-CN"/>
        </w:rPr>
        <w:t xml:space="preserve"> 射洪市职中开展“9+3”学生红色文化教育研学活动</w:t>
      </w:r>
      <w:bookmarkEnd w:id="266"/>
    </w:p>
    <w:p>
      <w:pPr>
        <w:keepNext w:val="0"/>
        <w:keepLines w:val="0"/>
        <w:pageBreakBefore w:val="0"/>
        <w:widowControl w:val="0"/>
        <w:kinsoku/>
        <w:wordWrap/>
        <w:overflowPunct/>
        <w:topLinePunct w:val="0"/>
        <w:autoSpaceDE/>
        <w:autoSpaceDN/>
        <w:bidi w:val="0"/>
        <w:adjustRightInd/>
        <w:snapToGrid/>
        <w:spacing w:line="440" w:lineRule="exact"/>
        <w:ind w:firstLine="481"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二、办好校园艺术节，弘扬传统文化</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学校以校园环境打造和校园艺术节等为载体，举办“国学讲坛”“朗诵经典”等系列展示活动，通过朗诵比赛、汉字书写大赛弘扬传统文化。激发对祖国语言文字和优秀传统文化的学习热情，增强民族自信心和自豪感。与此同时，学校大力推进社团建设，把中国传统文化与社团活动紧密对接。以“学校引导、自主选择、发展特长、培养能力”为宗旨，让学生人人在社团，人人一专多能，将工匠精神发扬光大。</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81" w:firstLineChars="200"/>
        <w:textAlignment w:val="auto"/>
        <w:rPr>
          <w:rFonts w:hint="eastAsia"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三、开展志愿服务活动，紧随先辈步伐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学校通过开展社会实践活动，让藏区学生身体力行，将先辈们艰苦奋斗的精神发扬光大。安排他们前往当地贫困地区，开展志愿服务活动，帮助孤寡老人、贫困儿童和残障人士。安排社区环保行动、校园志愿服务等，让他们亲身参与其中，锻炼实践能力和团队合作精神。学校还开设了一些创新创业课程，鼓励学生根据自己的兴趣和特长开展创业实践，为他们今后的创业之路奠定坚实的基础。</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val="en-US" w:eastAsia="zh-CN"/>
        </w:rPr>
      </w:pPr>
    </w:p>
    <w:p>
      <w:pPr>
        <w:spacing w:line="560" w:lineRule="exact"/>
        <w:ind w:firstLine="602" w:firstLineChars="200"/>
        <w:outlineLvl w:val="1"/>
        <w:rPr>
          <w:rFonts w:hint="default" w:ascii="Times New Roman" w:hAnsi="Times New Roman" w:eastAsia="楷体" w:cs="Times New Roman"/>
          <w:b/>
          <w:bCs/>
          <w:color w:val="auto"/>
          <w:sz w:val="30"/>
          <w:szCs w:val="30"/>
          <w:highlight w:val="none"/>
          <w:lang w:val="en-US" w:eastAsia="zh-CN"/>
        </w:rPr>
      </w:pPr>
      <w:bookmarkStart w:id="267" w:name="_Toc23026"/>
      <w:r>
        <w:rPr>
          <w:rFonts w:hint="eastAsia" w:ascii="Times New Roman" w:hAnsi="Times New Roman" w:eastAsia="楷体" w:cs="Times New Roman"/>
          <w:b/>
          <w:bCs/>
          <w:color w:val="auto"/>
          <w:sz w:val="30"/>
          <w:szCs w:val="30"/>
          <w:highlight w:val="none"/>
          <w:lang w:val="en-US" w:eastAsia="zh-CN"/>
        </w:rPr>
        <w:t>4.2 传统文化传承</w:t>
      </w:r>
      <w:bookmarkEnd w:id="267"/>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遂宁市以立德树人为根本任务，在传承传统文化的基础上，着重培养学生的传统文化素养和爱国精神，增强学生的文化自信和民族自豪感。</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t>4.2.1 传统文化传承进课堂</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按照教育部对中职学校公共基础课程开设要求，开足开齐《中华优秀传统文化》《公共艺术》等传统文化相关课程，让学生系统地学习传统文化知识技能。</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t>4.2.2 主题活动全覆盖</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利用清明节、中秋节、重阳节等传统节日开展“清明祭英烈”“中秋庆团圆”“重阳暖夕阳”等主题教育活动，让学生在活动中能感受到传统文化的魅力。</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t>4.2.3 诵读经典赏文化</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积极组织开展和让学生参与“中华经典诵读写”“诵读中国”“书香天府 阅读之星”“中华经典诵写讲演”等系列活动，让学生接受传统文化的浸润和滋养。</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lang w:val="en-US" w:eastAsia="zh-CN"/>
        </w:rPr>
      </w:pP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02"/>
        <w:gridCol w:w="43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top"/>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548890" cy="1911985"/>
                  <wp:effectExtent l="0" t="0" r="3810" b="12065"/>
                  <wp:docPr id="5" name="图片 5"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true"/>
                          </pic:cNvPicPr>
                        </pic:nvPicPr>
                        <pic:blipFill>
                          <a:blip r:embed="rId45"/>
                          <a:stretch>
                            <a:fillRect/>
                          </a:stretch>
                        </pic:blipFill>
                        <pic:spPr>
                          <a:xfrm>
                            <a:off x="0" y="0"/>
                            <a:ext cx="2548890" cy="1911985"/>
                          </a:xfrm>
                          <a:prstGeom prst="rect">
                            <a:avLst/>
                          </a:prstGeom>
                        </pic:spPr>
                      </pic:pic>
                    </a:graphicData>
                  </a:graphic>
                </wp:inline>
              </w:drawing>
            </w:r>
          </w:p>
        </w:tc>
        <w:tc>
          <w:tcPr>
            <w:tcW w:w="4261" w:type="dxa"/>
            <w:tcBorders>
              <w:tl2br w:val="nil"/>
              <w:tr2bl w:val="nil"/>
            </w:tcBorders>
            <w:vAlign w:val="top"/>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548890" cy="1911985"/>
                  <wp:effectExtent l="0" t="0" r="3810" b="12065"/>
                  <wp:docPr id="13" name="图片 13" descr="诗教中国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诗教中国1"/>
                          <pic:cNvPicPr>
                            <a:picLocks noChangeAspect="true"/>
                          </pic:cNvPicPr>
                        </pic:nvPicPr>
                        <pic:blipFill>
                          <a:blip r:embed="rId46"/>
                          <a:stretch>
                            <a:fillRect/>
                          </a:stretch>
                        </pic:blipFill>
                        <pic:spPr>
                          <a:xfrm>
                            <a:off x="0" y="0"/>
                            <a:ext cx="2548890" cy="19119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 w:hRule="atLeast"/>
        </w:trPr>
        <w:tc>
          <w:tcPr>
            <w:tcW w:w="4261" w:type="dxa"/>
            <w:tcBorders>
              <w:tl2br w:val="nil"/>
              <w:tr2bl w:val="nil"/>
            </w:tcBorders>
            <w:vAlign w:val="top"/>
          </w:tcPr>
          <w:p>
            <w:pPr>
              <w:pStyle w:val="8"/>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18</w:t>
            </w:r>
            <w:r>
              <w:rPr>
                <w:rFonts w:hint="eastAsia" w:ascii="Times New Roman" w:hAnsi="Times New Roman" w:eastAsia="楷体" w:cs="楷体"/>
                <w:sz w:val="24"/>
                <w:szCs w:val="24"/>
              </w:rPr>
              <w:fldChar w:fldCharType="end"/>
            </w:r>
            <w:bookmarkStart w:id="268" w:name="_Toc23217"/>
            <w:r>
              <w:rPr>
                <w:rFonts w:hint="eastAsia" w:ascii="Times New Roman" w:hAnsi="Times New Roman" w:eastAsia="楷体" w:cs="楷体"/>
                <w:sz w:val="24"/>
                <w:szCs w:val="24"/>
                <w:lang w:val="en-US" w:eastAsia="zh-CN"/>
              </w:rPr>
              <w:t xml:space="preserve"> 2024年3月参加川渝“诵读红色经典 弘扬英烈精神”活动</w:t>
            </w:r>
            <w:bookmarkEnd w:id="268"/>
          </w:p>
        </w:tc>
        <w:tc>
          <w:tcPr>
            <w:tcW w:w="4261" w:type="dxa"/>
            <w:tcBorders>
              <w:tl2br w:val="nil"/>
              <w:tr2bl w:val="nil"/>
            </w:tcBorders>
            <w:vAlign w:val="top"/>
          </w:tcPr>
          <w:p>
            <w:pPr>
              <w:pStyle w:val="8"/>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19</w:t>
            </w:r>
            <w:r>
              <w:rPr>
                <w:rFonts w:hint="eastAsia" w:ascii="Times New Roman" w:hAnsi="Times New Roman" w:eastAsia="楷体" w:cs="楷体"/>
                <w:sz w:val="24"/>
                <w:szCs w:val="24"/>
              </w:rPr>
              <w:fldChar w:fldCharType="end"/>
            </w:r>
            <w:bookmarkStart w:id="269" w:name="_Toc565"/>
            <w:r>
              <w:rPr>
                <w:rFonts w:hint="eastAsia" w:ascii="Times New Roman" w:hAnsi="Times New Roman" w:eastAsia="楷体" w:cs="楷体"/>
                <w:sz w:val="24"/>
                <w:szCs w:val="24"/>
                <w:lang w:val="en-US" w:eastAsia="zh-CN"/>
              </w:rPr>
              <w:t xml:space="preserve"> 2024年遂宁市中华经典诵写讲演系列活动（诗教中国评审现场）</w:t>
            </w:r>
            <w:bookmarkEnd w:id="269"/>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top"/>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560320" cy="1920240"/>
                  <wp:effectExtent l="0" t="0" r="11430" b="3810"/>
                  <wp:docPr id="7" name="图片 7" descr="笔墨、印记中国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笔墨、印记中国4"/>
                          <pic:cNvPicPr>
                            <a:picLocks noChangeAspect="true"/>
                          </pic:cNvPicPr>
                        </pic:nvPicPr>
                        <pic:blipFill>
                          <a:blip r:embed="rId47"/>
                          <a:stretch>
                            <a:fillRect/>
                          </a:stretch>
                        </pic:blipFill>
                        <pic:spPr>
                          <a:xfrm>
                            <a:off x="0" y="0"/>
                            <a:ext cx="2560320" cy="1920240"/>
                          </a:xfrm>
                          <a:prstGeom prst="rect">
                            <a:avLst/>
                          </a:prstGeom>
                        </pic:spPr>
                      </pic:pic>
                    </a:graphicData>
                  </a:graphic>
                </wp:inline>
              </w:drawing>
            </w:r>
          </w:p>
        </w:tc>
        <w:tc>
          <w:tcPr>
            <w:tcW w:w="4261" w:type="dxa"/>
            <w:tcBorders>
              <w:tl2br w:val="nil"/>
              <w:tr2bl w:val="nil"/>
            </w:tcBorders>
            <w:vAlign w:val="top"/>
          </w:tcPr>
          <w:p>
            <w:pPr>
              <w:rPr>
                <w:vertAlign w:val="baseline"/>
              </w:rPr>
            </w:pPr>
            <w:r>
              <w:rPr>
                <w:rFonts w:hint="eastAsia" w:eastAsiaTheme="minorEastAsia"/>
                <w:vertAlign w:val="baseline"/>
                <w:lang w:eastAsia="zh-CN"/>
              </w:rPr>
              <w:drawing>
                <wp:inline distT="0" distB="0" distL="114300" distR="114300">
                  <wp:extent cx="2568575" cy="1926590"/>
                  <wp:effectExtent l="0" t="0" r="9525" b="3810"/>
                  <wp:docPr id="15" name="图片 15" descr="诵读中国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诵读中国1"/>
                          <pic:cNvPicPr>
                            <a:picLocks noChangeAspect="true"/>
                          </pic:cNvPicPr>
                        </pic:nvPicPr>
                        <pic:blipFill>
                          <a:blip r:embed="rId48"/>
                          <a:stretch>
                            <a:fillRect/>
                          </a:stretch>
                        </pic:blipFill>
                        <pic:spPr>
                          <a:xfrm>
                            <a:off x="0" y="0"/>
                            <a:ext cx="2568575" cy="19265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top"/>
          </w:tcPr>
          <w:p>
            <w:pPr>
              <w:pStyle w:val="8"/>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20</w:t>
            </w:r>
            <w:r>
              <w:rPr>
                <w:rFonts w:hint="eastAsia" w:ascii="Times New Roman" w:hAnsi="Times New Roman" w:eastAsia="楷体" w:cs="楷体"/>
                <w:sz w:val="24"/>
                <w:szCs w:val="24"/>
              </w:rPr>
              <w:fldChar w:fldCharType="end"/>
            </w:r>
            <w:bookmarkStart w:id="270" w:name="_Toc27641"/>
            <w:r>
              <w:rPr>
                <w:rFonts w:hint="eastAsia" w:ascii="Times New Roman" w:hAnsi="Times New Roman" w:eastAsia="楷体" w:cs="楷体"/>
                <w:sz w:val="24"/>
                <w:szCs w:val="24"/>
                <w:lang w:val="en-US" w:eastAsia="zh-CN"/>
              </w:rPr>
              <w:t xml:space="preserve"> 2024年遂宁市中华经典诵写讲演系列活动（笔墨中国 印记中国评审现场）</w:t>
            </w:r>
            <w:bookmarkEnd w:id="270"/>
          </w:p>
        </w:tc>
        <w:tc>
          <w:tcPr>
            <w:tcW w:w="4261" w:type="dxa"/>
            <w:tcBorders>
              <w:tl2br w:val="nil"/>
              <w:tr2bl w:val="nil"/>
            </w:tcBorders>
            <w:vAlign w:val="top"/>
          </w:tcPr>
          <w:p>
            <w:pPr>
              <w:pStyle w:val="8"/>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21</w:t>
            </w:r>
            <w:r>
              <w:rPr>
                <w:rFonts w:hint="eastAsia" w:ascii="Times New Roman" w:hAnsi="Times New Roman" w:eastAsia="楷体" w:cs="楷体"/>
                <w:sz w:val="24"/>
                <w:szCs w:val="24"/>
              </w:rPr>
              <w:fldChar w:fldCharType="end"/>
            </w:r>
            <w:bookmarkStart w:id="271" w:name="_Toc23460"/>
            <w:r>
              <w:rPr>
                <w:rFonts w:hint="eastAsia" w:ascii="Times New Roman" w:hAnsi="Times New Roman" w:eastAsia="楷体" w:cs="楷体"/>
                <w:sz w:val="24"/>
                <w:szCs w:val="24"/>
                <w:lang w:val="en-US" w:eastAsia="zh-CN"/>
              </w:rPr>
              <w:t xml:space="preserve"> 2024年遂宁市中华经典诵写讲演系列活动（诵读中国评审现场）</w:t>
            </w:r>
            <w:bookmarkEnd w:id="271"/>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top"/>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560320" cy="1920240"/>
                  <wp:effectExtent l="0" t="0" r="11430" b="3810"/>
                  <wp:docPr id="18" name="图片 18" descr="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02"/>
                          <pic:cNvPicPr>
                            <a:picLocks noChangeAspect="true"/>
                          </pic:cNvPicPr>
                        </pic:nvPicPr>
                        <pic:blipFill>
                          <a:blip r:embed="rId49"/>
                          <a:stretch>
                            <a:fillRect/>
                          </a:stretch>
                        </pic:blipFill>
                        <pic:spPr>
                          <a:xfrm>
                            <a:off x="0" y="0"/>
                            <a:ext cx="2560320" cy="1920240"/>
                          </a:xfrm>
                          <a:prstGeom prst="rect">
                            <a:avLst/>
                          </a:prstGeom>
                        </pic:spPr>
                      </pic:pic>
                    </a:graphicData>
                  </a:graphic>
                </wp:inline>
              </w:drawing>
            </w:r>
          </w:p>
        </w:tc>
        <w:tc>
          <w:tcPr>
            <w:tcW w:w="4261" w:type="dxa"/>
            <w:tcBorders>
              <w:tl2br w:val="nil"/>
              <w:tr2bl w:val="nil"/>
            </w:tcBorders>
            <w:vAlign w:val="top"/>
          </w:tcPr>
          <w:p>
            <w:pPr>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2637155" cy="1898015"/>
                  <wp:effectExtent l="0" t="0" r="10795" b="6985"/>
                  <wp:docPr id="24" name="图片 24" descr="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12"/>
                          <pic:cNvPicPr>
                            <a:picLocks noChangeAspect="true"/>
                          </pic:cNvPicPr>
                        </pic:nvPicPr>
                        <pic:blipFill>
                          <a:blip r:embed="rId50"/>
                          <a:stretch>
                            <a:fillRect/>
                          </a:stretch>
                        </pic:blipFill>
                        <pic:spPr>
                          <a:xfrm>
                            <a:off x="0" y="0"/>
                            <a:ext cx="2637155" cy="18980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top"/>
          </w:tcPr>
          <w:p>
            <w:pPr>
              <w:pStyle w:val="8"/>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22</w:t>
            </w:r>
            <w:r>
              <w:rPr>
                <w:rFonts w:hint="eastAsia" w:ascii="Times New Roman" w:hAnsi="Times New Roman" w:eastAsia="楷体" w:cs="楷体"/>
                <w:sz w:val="24"/>
                <w:szCs w:val="24"/>
              </w:rPr>
              <w:fldChar w:fldCharType="end"/>
            </w:r>
            <w:bookmarkStart w:id="272" w:name="_Toc17192"/>
            <w:r>
              <w:rPr>
                <w:rFonts w:hint="eastAsia" w:ascii="Times New Roman" w:hAnsi="Times New Roman" w:eastAsia="楷体" w:cs="楷体"/>
                <w:sz w:val="24"/>
                <w:szCs w:val="24"/>
                <w:lang w:val="en-US" w:eastAsia="zh-CN"/>
              </w:rPr>
              <w:t xml:space="preserve"> 2024年遂宁市中华经典诵写讲演系列活动（书香天府 阅读之星市级决赛现场）</w:t>
            </w:r>
            <w:bookmarkEnd w:id="272"/>
          </w:p>
        </w:tc>
        <w:tc>
          <w:tcPr>
            <w:tcW w:w="4261" w:type="dxa"/>
            <w:tcBorders>
              <w:tl2br w:val="nil"/>
              <w:tr2bl w:val="nil"/>
            </w:tcBorders>
            <w:vAlign w:val="top"/>
          </w:tcPr>
          <w:p>
            <w:pPr>
              <w:pStyle w:val="8"/>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23</w:t>
            </w:r>
            <w:r>
              <w:rPr>
                <w:rFonts w:hint="eastAsia" w:ascii="Times New Roman" w:hAnsi="Times New Roman" w:eastAsia="楷体" w:cs="楷体"/>
                <w:sz w:val="24"/>
                <w:szCs w:val="24"/>
              </w:rPr>
              <w:fldChar w:fldCharType="end"/>
            </w:r>
            <w:bookmarkStart w:id="273" w:name="_Toc23987"/>
            <w:r>
              <w:rPr>
                <w:rFonts w:hint="eastAsia" w:ascii="Times New Roman" w:hAnsi="Times New Roman" w:eastAsia="楷体" w:cs="楷体"/>
                <w:sz w:val="24"/>
                <w:szCs w:val="24"/>
                <w:lang w:val="en-US" w:eastAsia="zh-CN"/>
              </w:rPr>
              <w:t xml:space="preserve"> 2024年遂宁市中华经典诵写讲演系列活动（书香天府 阅读之星市级决赛现场）</w:t>
            </w:r>
            <w:bookmarkEnd w:id="273"/>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val="en-US" w:eastAsia="zh-CN"/>
              </w:rPr>
            </w:pPr>
          </w:p>
        </w:tc>
      </w:tr>
    </w:tbl>
    <w:p>
      <w:pPr>
        <w:spacing w:line="560" w:lineRule="exact"/>
        <w:ind w:firstLine="602" w:firstLineChars="200"/>
        <w:outlineLvl w:val="1"/>
        <w:rPr>
          <w:rFonts w:hint="eastAsia" w:ascii="Times New Roman" w:hAnsi="Times New Roman" w:eastAsia="楷体" w:cs="Times New Roman"/>
          <w:b/>
          <w:bCs/>
          <w:color w:val="auto"/>
          <w:sz w:val="30"/>
          <w:szCs w:val="30"/>
          <w:highlight w:val="none"/>
          <w:lang w:val="en-US" w:eastAsia="zh-CN"/>
        </w:rPr>
      </w:pPr>
      <w:bookmarkStart w:id="274" w:name="_Toc7566"/>
      <w:r>
        <w:rPr>
          <w:rFonts w:hint="eastAsia" w:ascii="Times New Roman" w:hAnsi="Times New Roman" w:eastAsia="楷体" w:cs="Times New Roman"/>
          <w:b/>
          <w:bCs/>
          <w:color w:val="auto"/>
          <w:sz w:val="30"/>
          <w:szCs w:val="30"/>
          <w:highlight w:val="none"/>
          <w:lang w:val="en-US" w:eastAsia="zh-CN"/>
        </w:rPr>
        <w:t>4.3 地方文化传承</w:t>
      </w:r>
      <w:bookmarkEnd w:id="274"/>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遂宁市职业学校深入贯彻落实《关于传承发展中华优秀传统文化的实施意见》《中华人民共和国非物质文化遗产法》等政策文件的精神要求，按照“保护为主、抢救第一、合理利用、传承发展”的工作方针，以科学、严谨、认真的态度推动我市非物质文化遗产保护传承和发展，不断增强我市非物质文化遗产的生命力和影响力，形成全社会共同参与的良好局面。</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t>4.3.1 将非遗文化传承保护纳入研学实践教育</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职业教育充分认识到非遗传承保护的重要性，将非遗传承保护纳入职业教育研学实践教育，联合市文化广播电视和旅游局、市乡村振兴局制发了《遂宁市教育和体育局 遂宁市文化广播电视和旅游局关于规范开展中小学生研学旅行实践的通知》《遂宁市教育和体育局 遂宁市文化广播电视和旅游局遂宁市乡村振兴局关于印发〈推进市域内可持续循环研学旅行实践的指导意见〉的通知》，认定</w:t>
      </w:r>
      <w:r>
        <w:rPr>
          <w:rFonts w:hint="default" w:ascii="Times New Roman" w:hAnsi="Times New Roman" w:eastAsia="宋体" w:cs="仿宋"/>
          <w:color w:val="auto"/>
          <w:sz w:val="24"/>
          <w:szCs w:val="24"/>
          <w:highlight w:val="none"/>
          <w:lang w:val="en-US" w:eastAsia="zh-CN"/>
        </w:rPr>
        <w:t>宋瓷博物馆、大英县卓筒井研学实践基地</w:t>
      </w:r>
      <w:r>
        <w:rPr>
          <w:rFonts w:hint="eastAsia" w:ascii="Times New Roman" w:hAnsi="Times New Roman" w:eastAsia="宋体" w:cs="仿宋"/>
          <w:color w:val="auto"/>
          <w:sz w:val="24"/>
          <w:szCs w:val="24"/>
          <w:highlight w:val="none"/>
          <w:lang w:val="en-US" w:eastAsia="zh-CN"/>
        </w:rPr>
        <w:t>等研学旅行实践基地13个，建成“自然之美”“人文之美”等研学线路5条，其中涉非遗研学体验基地5个，线路2条。各中职学校充分利用研学旅行活动大力开展中华优秀传统文化教育、非遗研学体验活动，在2024年度组织2万余人次参与了研学实践活动，</w:t>
      </w:r>
      <w:r>
        <w:rPr>
          <w:rFonts w:hint="default" w:ascii="Times New Roman" w:hAnsi="Times New Roman" w:eastAsia="宋体" w:cs="仿宋"/>
          <w:color w:val="auto"/>
          <w:sz w:val="24"/>
          <w:szCs w:val="24"/>
          <w:highlight w:val="none"/>
          <w:lang w:val="en-US" w:eastAsia="zh-CN"/>
        </w:rPr>
        <w:t>让优秀传统文化与</w:t>
      </w:r>
      <w:r>
        <w:rPr>
          <w:rFonts w:hint="eastAsia" w:ascii="Times New Roman" w:hAnsi="Times New Roman" w:eastAsia="宋体" w:cs="仿宋"/>
          <w:color w:val="auto"/>
          <w:sz w:val="24"/>
          <w:szCs w:val="24"/>
          <w:highlight w:val="none"/>
          <w:lang w:val="en-US" w:eastAsia="zh-CN"/>
        </w:rPr>
        <w:t>职业</w:t>
      </w:r>
      <w:r>
        <w:rPr>
          <w:rFonts w:hint="default" w:ascii="Times New Roman" w:hAnsi="Times New Roman" w:eastAsia="宋体" w:cs="仿宋"/>
          <w:color w:val="auto"/>
          <w:sz w:val="24"/>
          <w:szCs w:val="24"/>
          <w:highlight w:val="none"/>
          <w:lang w:val="en-US" w:eastAsia="zh-CN"/>
        </w:rPr>
        <w:t>教育</w:t>
      </w:r>
      <w:r>
        <w:rPr>
          <w:rFonts w:hint="eastAsia" w:ascii="Times New Roman" w:hAnsi="Times New Roman" w:eastAsia="宋体" w:cs="仿宋"/>
          <w:color w:val="auto"/>
          <w:sz w:val="24"/>
          <w:szCs w:val="24"/>
          <w:highlight w:val="none"/>
          <w:lang w:val="en-US" w:eastAsia="zh-CN"/>
        </w:rPr>
        <w:t>真正</w:t>
      </w:r>
      <w:r>
        <w:rPr>
          <w:rFonts w:hint="default" w:ascii="Times New Roman" w:hAnsi="Times New Roman" w:eastAsia="宋体" w:cs="仿宋"/>
          <w:color w:val="auto"/>
          <w:sz w:val="24"/>
          <w:szCs w:val="24"/>
          <w:highlight w:val="none"/>
          <w:lang w:val="en-US" w:eastAsia="zh-CN"/>
        </w:rPr>
        <w:t>“融”为一体，让学生们真正</w:t>
      </w:r>
      <w:r>
        <w:rPr>
          <w:rFonts w:hint="eastAsia" w:ascii="Times New Roman" w:hAnsi="Times New Roman" w:eastAsia="宋体" w:cs="仿宋"/>
          <w:color w:val="auto"/>
          <w:sz w:val="24"/>
          <w:szCs w:val="24"/>
          <w:highlight w:val="none"/>
          <w:lang w:val="en-US" w:eastAsia="zh-CN"/>
        </w:rPr>
        <w:t>感受</w:t>
      </w:r>
      <w:r>
        <w:rPr>
          <w:rFonts w:hint="default" w:ascii="Times New Roman" w:hAnsi="Times New Roman" w:eastAsia="宋体" w:cs="仿宋"/>
          <w:color w:val="auto"/>
          <w:sz w:val="24"/>
          <w:szCs w:val="24"/>
          <w:highlight w:val="none"/>
          <w:lang w:val="en-US" w:eastAsia="zh-CN"/>
        </w:rPr>
        <w:t>到</w:t>
      </w:r>
      <w:r>
        <w:rPr>
          <w:rFonts w:hint="eastAsia" w:ascii="Times New Roman" w:hAnsi="Times New Roman" w:eastAsia="宋体" w:cs="仿宋"/>
          <w:color w:val="auto"/>
          <w:sz w:val="24"/>
          <w:szCs w:val="24"/>
          <w:highlight w:val="none"/>
          <w:lang w:val="en-US" w:eastAsia="zh-CN"/>
        </w:rPr>
        <w:t>研学“</w:t>
      </w:r>
      <w:r>
        <w:rPr>
          <w:rFonts w:hint="default" w:ascii="Times New Roman" w:hAnsi="Times New Roman" w:eastAsia="宋体" w:cs="仿宋"/>
          <w:color w:val="auto"/>
          <w:sz w:val="24"/>
          <w:szCs w:val="24"/>
          <w:highlight w:val="none"/>
          <w:lang w:val="en-US" w:eastAsia="zh-CN"/>
        </w:rPr>
        <w:t>游有所学，学有所用</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outlineLvl w:val="2"/>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t>4.3.2 将非遗文化传承保护纳入选修课</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职业学校通过兴趣小组、社团活动大力开展中华优秀传统文化教育、非遗文化体验活动，部分学校与非遗传承人建立长期合作，开设特色课程，邀请“胡氏剪纸”传承人进校园为学生上剪纸课，邀请“观音绣”传承人到校教授学生刺绣课程等，</w:t>
      </w:r>
      <w:r>
        <w:rPr>
          <w:rFonts w:hint="default" w:ascii="Times New Roman" w:hAnsi="Times New Roman" w:eastAsia="宋体" w:cs="仿宋"/>
          <w:color w:val="auto"/>
          <w:sz w:val="24"/>
          <w:szCs w:val="24"/>
          <w:highlight w:val="none"/>
          <w:lang w:val="en-US" w:eastAsia="zh-CN"/>
        </w:rPr>
        <w:t>把非遗保护的政策及业务水平传递给学生</w:t>
      </w:r>
      <w:r>
        <w:rPr>
          <w:rFonts w:hint="eastAsia" w:ascii="Times New Roman" w:hAnsi="Times New Roman" w:eastAsia="宋体" w:cs="仿宋"/>
          <w:color w:val="auto"/>
          <w:sz w:val="24"/>
          <w:szCs w:val="24"/>
          <w:highlight w:val="none"/>
          <w:lang w:val="en-US" w:eastAsia="zh-CN"/>
        </w:rPr>
        <w:t>，进一步丰富了学生课余生活，极大地增强了学生传承中华文化基因，培养学生家国情怀，增强民族文化自信的自豪感。</w:t>
      </w:r>
    </w:p>
    <w:p>
      <w:pPr>
        <w:pStyle w:val="2"/>
        <w:rPr>
          <w:rFonts w:hint="default"/>
          <w:lang w:val="en-US" w:eastAsia="zh-CN"/>
        </w:rPr>
      </w:pPr>
      <w:r>
        <w:rPr>
          <w:rFonts w:hint="eastAsia" w:ascii="黑体" w:hAnsi="黑体" w:eastAsia="黑体" w:cs="黑体"/>
          <w:sz w:val="24"/>
        </w:rPr>
        <w:drawing>
          <wp:anchor distT="0" distB="0" distL="114300" distR="114300" simplePos="0" relativeHeight="251677696" behindDoc="0" locked="0" layoutInCell="1" allowOverlap="1">
            <wp:simplePos x="0" y="0"/>
            <wp:positionH relativeFrom="column">
              <wp:posOffset>635</wp:posOffset>
            </wp:positionH>
            <wp:positionV relativeFrom="paragraph">
              <wp:posOffset>84455</wp:posOffset>
            </wp:positionV>
            <wp:extent cx="5273040" cy="2904490"/>
            <wp:effectExtent l="0" t="0" r="10160" b="3810"/>
            <wp:wrapNone/>
            <wp:docPr id="34" name="图片 34" descr="C:/Users/HUAWEI/Desktop/图片4.png图片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C:/Users/HUAWEI/Desktop/图片4.png图片4"/>
                    <pic:cNvPicPr>
                      <a:picLocks noChangeAspect="true"/>
                    </pic:cNvPicPr>
                  </pic:nvPicPr>
                  <pic:blipFill>
                    <a:blip r:embed="rId51"/>
                    <a:srcRect t="4672" b="4672"/>
                    <a:stretch>
                      <a:fillRect/>
                    </a:stretch>
                  </pic:blipFill>
                  <pic:spPr>
                    <a:xfrm>
                      <a:off x="0" y="0"/>
                      <a:ext cx="5273040" cy="29044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eastAsia="宋体" w:cs="仿宋"/>
          <w:color w:val="auto"/>
          <w:sz w:val="24"/>
          <w:szCs w:val="24"/>
          <w:lang w:val="en-US" w:eastAsia="zh-CN"/>
        </w:rPr>
      </w:pPr>
    </w:p>
    <w:p>
      <w:pPr>
        <w:pStyle w:val="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24</w:t>
      </w:r>
      <w:r>
        <w:rPr>
          <w:rFonts w:hint="eastAsia" w:ascii="Times New Roman" w:hAnsi="Times New Roman" w:eastAsia="楷体" w:cs="楷体"/>
          <w:sz w:val="24"/>
          <w:szCs w:val="24"/>
        </w:rPr>
        <w:fldChar w:fldCharType="end"/>
      </w:r>
      <w:bookmarkStart w:id="275" w:name="_Toc26430"/>
      <w:r>
        <w:rPr>
          <w:rFonts w:hint="eastAsia" w:ascii="Times New Roman" w:hAnsi="Times New Roman" w:eastAsia="楷体" w:cs="楷体"/>
          <w:sz w:val="24"/>
          <w:szCs w:val="24"/>
          <w:lang w:val="en-US" w:eastAsia="zh-CN"/>
        </w:rPr>
        <w:t xml:space="preserve"> 大英县蓝议科技职业技术学校开展地方特色文艺展示活动</w:t>
      </w:r>
      <w:bookmarkEnd w:id="275"/>
    </w:p>
    <w:p>
      <w:pPr>
        <w:pStyle w:val="2"/>
        <w:rPr>
          <w:rFonts w:hint="eastAsia" w:ascii="Times New Roman" w:hAnsi="Times New Roman" w:eastAsia="宋体" w:cs="仿宋"/>
          <w:color w:val="auto"/>
          <w:sz w:val="24"/>
          <w:szCs w:val="24"/>
          <w:lang w:val="en-US" w:eastAsia="zh-CN"/>
        </w:rPr>
      </w:pPr>
    </w:p>
    <w:p>
      <w:pPr>
        <w:adjustRightInd w:val="0"/>
        <w:spacing w:line="560" w:lineRule="exact"/>
        <w:ind w:firstLine="642" w:firstLineChars="200"/>
        <w:outlineLvl w:val="0"/>
        <w:rPr>
          <w:rFonts w:hint="default" w:ascii="Times New Roman" w:hAnsi="Times New Roman" w:eastAsia="黑体" w:cs="Times New Roman"/>
          <w:b/>
          <w:bCs/>
          <w:color w:val="CE6B2A"/>
          <w:sz w:val="32"/>
          <w:szCs w:val="32"/>
          <w:highlight w:val="none"/>
          <w:lang w:val="en-US" w:eastAsia="zh-CN"/>
        </w:rPr>
      </w:pPr>
      <w:bookmarkStart w:id="276" w:name="_Toc15821"/>
      <w:bookmarkStart w:id="277" w:name="_Toc91576149"/>
      <w:bookmarkStart w:id="278" w:name="_Toc4723"/>
      <w:bookmarkStart w:id="279" w:name="_Toc6713"/>
      <w:bookmarkStart w:id="280" w:name="_Toc2923"/>
      <w:bookmarkStart w:id="281" w:name="_Toc26594"/>
      <w:r>
        <w:rPr>
          <w:rFonts w:hint="eastAsia" w:ascii="Times New Roman" w:hAnsi="Times New Roman" w:eastAsia="黑体" w:cs="Times New Roman"/>
          <w:b/>
          <w:bCs/>
          <w:color w:val="CE6B2A"/>
          <w:sz w:val="32"/>
          <w:szCs w:val="32"/>
          <w:highlight w:val="none"/>
          <w:lang w:val="en-US" w:eastAsia="zh-CN"/>
        </w:rPr>
        <w:t>5 国际合作</w:t>
      </w:r>
      <w:bookmarkEnd w:id="276"/>
      <w:bookmarkEnd w:id="277"/>
      <w:bookmarkEnd w:id="278"/>
      <w:bookmarkEnd w:id="279"/>
      <w:bookmarkEnd w:id="280"/>
      <w:bookmarkEnd w:id="281"/>
    </w:p>
    <w:p>
      <w:pPr>
        <w:spacing w:line="560" w:lineRule="exact"/>
        <w:ind w:firstLine="602" w:firstLineChars="200"/>
        <w:outlineLvl w:val="1"/>
        <w:rPr>
          <w:rFonts w:hint="eastAsia" w:ascii="Times New Roman" w:hAnsi="Times New Roman" w:eastAsia="楷体" w:cs="Times New Roman"/>
          <w:b/>
          <w:bCs/>
          <w:color w:val="auto"/>
          <w:sz w:val="30"/>
          <w:szCs w:val="30"/>
          <w:highlight w:val="none"/>
          <w:lang w:val="en-US" w:eastAsia="zh-CN"/>
        </w:rPr>
      </w:pPr>
      <w:r>
        <w:rPr>
          <w:rFonts w:hint="eastAsia" w:ascii="Times New Roman" w:hAnsi="Times New Roman" w:eastAsia="楷体" w:cs="Times New Roman"/>
          <w:b/>
          <w:bCs/>
          <w:color w:val="auto"/>
          <w:sz w:val="30"/>
          <w:szCs w:val="30"/>
          <w:highlight w:val="none"/>
          <w:lang w:val="en-US" w:eastAsia="zh-CN"/>
        </w:rPr>
        <w:t>5.1 参与国际职教联盟</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职业院校加入中北非国际教育创新联盟、“一带一路”国家院校和企业交流协会等国际职教联盟、协会5个，参与联盟组织的国际职教标准制定研讨会议3次，提交学校国际交流合作案例 2个；借助联盟平台与同行专家交流切磋，拓展人脉资源汲取国际经验。</w:t>
      </w:r>
    </w:p>
    <w:p>
      <w:pPr>
        <w:spacing w:line="560" w:lineRule="exact"/>
        <w:ind w:firstLine="602" w:firstLineChars="200"/>
        <w:outlineLvl w:val="1"/>
        <w:rPr>
          <w:rFonts w:hint="eastAsia" w:ascii="Times New Roman" w:hAnsi="Times New Roman" w:eastAsia="楷体" w:cs="Times New Roman"/>
          <w:b/>
          <w:bCs/>
          <w:color w:val="auto"/>
          <w:sz w:val="30"/>
          <w:szCs w:val="30"/>
          <w:highlight w:val="none"/>
          <w:lang w:val="en-US" w:eastAsia="zh-CN"/>
        </w:rPr>
      </w:pPr>
      <w:r>
        <w:rPr>
          <w:rFonts w:hint="eastAsia" w:ascii="Times New Roman" w:hAnsi="Times New Roman" w:eastAsia="楷体" w:cs="Times New Roman"/>
          <w:b/>
          <w:bCs/>
          <w:color w:val="auto"/>
          <w:sz w:val="30"/>
          <w:szCs w:val="30"/>
          <w:highlight w:val="none"/>
          <w:lang w:val="en-US" w:eastAsia="zh-CN"/>
        </w:rPr>
        <w:t>5.2 洽谈国际交流与合作</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2024年6月19日在四川职业技术学院的积极引荐和安排下，</w:t>
      </w:r>
      <w:r>
        <w:rPr>
          <w:rFonts w:hint="default" w:ascii="Times New Roman" w:hAnsi="Times New Roman" w:eastAsia="宋体" w:cs="仿宋"/>
          <w:color w:val="auto"/>
          <w:sz w:val="24"/>
          <w:szCs w:val="24"/>
          <w:highlight w:val="none"/>
          <w:lang w:val="en-US" w:eastAsia="zh-CN"/>
        </w:rPr>
        <w:t>斯里兰卡国家开放大学代表团一行访问了遂宁市船山职业技术学校，双方就教育合作、文化交流等议题进行了深入的探讨和交流。</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default" w:ascii="Times New Roman" w:hAnsi="Times New Roman" w:eastAsia="宋体" w:cs="仿宋"/>
          <w:color w:val="auto"/>
          <w:sz w:val="24"/>
          <w:szCs w:val="24"/>
          <w:highlight w:val="none"/>
          <w:lang w:val="en-US" w:eastAsia="zh-CN"/>
        </w:rPr>
        <w:t>在座谈会上，船山职业技术学校校长详细介绍了学校的办学理念、发展目标和未来规划。他表示，学校一直致力于为社会培养高素质的技术技能人才，为区域经济发展和产业升级提供有力的人才支撑。同时，他也希望与斯里兰卡国家开放大学建立更加紧密的合作关系，共同推动两国教育事业的发展。</w:t>
      </w:r>
    </w:p>
    <w:p>
      <w:pPr>
        <w:keepNext/>
        <w:keepLines/>
        <w:pageBreakBefore w:val="0"/>
        <w:widowControl w:val="0"/>
        <w:kinsoku/>
        <w:wordWrap/>
        <w:overflowPunct/>
        <w:topLinePunct w:val="0"/>
        <w:autoSpaceDE/>
        <w:autoSpaceDN/>
        <w:bidi w:val="0"/>
        <w:adjustRightInd/>
        <w:snapToGrid/>
        <w:spacing w:line="579" w:lineRule="auto"/>
        <w:textAlignment w:val="auto"/>
        <w:outlineLvl w:val="9"/>
        <w:rPr>
          <w:rFonts w:hint="default" w:ascii="Times New Roman" w:hAnsi="Times New Roman" w:eastAsia="宋体" w:cs="仿宋"/>
          <w:color w:val="auto"/>
          <w:sz w:val="24"/>
          <w:szCs w:val="24"/>
          <w:lang w:val="en-US" w:eastAsia="zh-CN"/>
        </w:rPr>
      </w:pPr>
      <w:r>
        <w:rPr>
          <w:rFonts w:hint="eastAsia" w:ascii="Segoe UI" w:hAnsi="Segoe UI" w:eastAsia="宋体" w:cs="Segoe UI"/>
          <w:i w:val="0"/>
          <w:iCs w:val="0"/>
          <w:caps w:val="0"/>
          <w:color w:val="05073B"/>
          <w:spacing w:val="0"/>
          <w:sz w:val="22"/>
          <w:szCs w:val="22"/>
          <w:shd w:val="clear" w:color="auto" w:fill="FDFDFE"/>
          <w:lang w:eastAsia="zh-CN"/>
        </w:rPr>
        <w:drawing>
          <wp:anchor distT="0" distB="0" distL="114300" distR="114300" simplePos="0" relativeHeight="251669504" behindDoc="0" locked="0" layoutInCell="1" allowOverlap="1">
            <wp:simplePos x="0" y="0"/>
            <wp:positionH relativeFrom="column">
              <wp:posOffset>2837180</wp:posOffset>
            </wp:positionH>
            <wp:positionV relativeFrom="paragraph">
              <wp:posOffset>81280</wp:posOffset>
            </wp:positionV>
            <wp:extent cx="2313940" cy="2077085"/>
            <wp:effectExtent l="0" t="0" r="10160" b="5715"/>
            <wp:wrapNone/>
            <wp:docPr id="2" name="图片 2" descr="499bc39b0c9f5b2f8d3cb7ebad53383"/>
            <wp:cNvGraphicFramePr/>
            <a:graphic xmlns:a="http://schemas.openxmlformats.org/drawingml/2006/main">
              <a:graphicData uri="http://schemas.openxmlformats.org/drawingml/2006/picture">
                <pic:pic xmlns:pic="http://schemas.openxmlformats.org/drawingml/2006/picture">
                  <pic:nvPicPr>
                    <pic:cNvPr id="2" name="图片 2" descr="499bc39b0c9f5b2f8d3cb7ebad53383"/>
                    <pic:cNvPicPr/>
                  </pic:nvPicPr>
                  <pic:blipFill>
                    <a:blip r:embed="rId52"/>
                    <a:stretch>
                      <a:fillRect/>
                    </a:stretch>
                  </pic:blipFill>
                  <pic:spPr>
                    <a:xfrm>
                      <a:off x="0" y="0"/>
                      <a:ext cx="2313940" cy="2077085"/>
                    </a:xfrm>
                    <a:prstGeom prst="rect">
                      <a:avLst/>
                    </a:prstGeom>
                    <a:noFill/>
                    <a:ln>
                      <a:noFill/>
                    </a:ln>
                  </pic:spPr>
                </pic:pic>
              </a:graphicData>
            </a:graphic>
          </wp:anchor>
        </w:drawing>
      </w:r>
      <w:r>
        <w:rPr>
          <w:rFonts w:hint="eastAsia" w:ascii="Segoe UI" w:hAnsi="Segoe UI" w:eastAsia="宋体" w:cs="Segoe UI"/>
          <w:i w:val="0"/>
          <w:iCs w:val="0"/>
          <w:caps w:val="0"/>
          <w:color w:val="05073B"/>
          <w:spacing w:val="0"/>
          <w:sz w:val="22"/>
          <w:szCs w:val="22"/>
          <w:shd w:val="clear" w:color="auto" w:fill="FDFDFE"/>
          <w:lang w:eastAsia="zh-CN"/>
        </w:rPr>
        <w:drawing>
          <wp:anchor distT="0" distB="0" distL="114300" distR="114300" simplePos="0" relativeHeight="251670528" behindDoc="0" locked="0" layoutInCell="1" allowOverlap="1">
            <wp:simplePos x="0" y="0"/>
            <wp:positionH relativeFrom="column">
              <wp:posOffset>107950</wp:posOffset>
            </wp:positionH>
            <wp:positionV relativeFrom="paragraph">
              <wp:posOffset>88900</wp:posOffset>
            </wp:positionV>
            <wp:extent cx="2677795" cy="2076450"/>
            <wp:effectExtent l="0" t="0" r="1905" b="6350"/>
            <wp:wrapNone/>
            <wp:docPr id="9" name="图片 1" descr="0306009e0b243feacf39b9656c4cfef"/>
            <wp:cNvGraphicFramePr/>
            <a:graphic xmlns:a="http://schemas.openxmlformats.org/drawingml/2006/main">
              <a:graphicData uri="http://schemas.openxmlformats.org/drawingml/2006/picture">
                <pic:pic xmlns:pic="http://schemas.openxmlformats.org/drawingml/2006/picture">
                  <pic:nvPicPr>
                    <pic:cNvPr id="9" name="图片 1" descr="0306009e0b243feacf39b9656c4cfef"/>
                    <pic:cNvPicPr/>
                  </pic:nvPicPr>
                  <pic:blipFill>
                    <a:blip r:embed="rId53"/>
                    <a:stretch>
                      <a:fillRect/>
                    </a:stretch>
                  </pic:blipFill>
                  <pic:spPr>
                    <a:xfrm>
                      <a:off x="0" y="0"/>
                      <a:ext cx="2677795" cy="2076450"/>
                    </a:xfrm>
                    <a:prstGeom prst="rect">
                      <a:avLst/>
                    </a:prstGeom>
                    <a:noFill/>
                    <a:ln>
                      <a:noFill/>
                    </a:ln>
                  </pic:spPr>
                </pic:pic>
              </a:graphicData>
            </a:graphic>
          </wp:anchor>
        </w:drawing>
      </w:r>
    </w:p>
    <w:p>
      <w:pPr>
        <w:rPr>
          <w:rFonts w:hint="default" w:ascii="Times New Roman" w:hAnsi="Times New Roman" w:eastAsia="宋体" w:cs="仿宋"/>
          <w:color w:val="auto"/>
          <w:sz w:val="24"/>
          <w:szCs w:val="24"/>
          <w:lang w:val="en-US" w:eastAsia="zh-CN"/>
        </w:rPr>
      </w:pPr>
    </w:p>
    <w:p>
      <w:pPr>
        <w:keepNext/>
        <w:keepLines/>
        <w:pageBreakBefore w:val="0"/>
        <w:widowControl w:val="0"/>
        <w:kinsoku/>
        <w:wordWrap/>
        <w:overflowPunct/>
        <w:topLinePunct w:val="0"/>
        <w:autoSpaceDE/>
        <w:autoSpaceDN/>
        <w:bidi w:val="0"/>
        <w:adjustRightInd/>
        <w:snapToGrid/>
        <w:spacing w:line="579" w:lineRule="auto"/>
        <w:textAlignment w:val="auto"/>
        <w:outlineLvl w:val="9"/>
        <w:rPr>
          <w:rFonts w:hint="default"/>
          <w:lang w:val="en-US" w:eastAsia="zh-CN"/>
        </w:rPr>
      </w:pPr>
    </w:p>
    <w:p>
      <w:pPr>
        <w:keepNext/>
        <w:keepLines/>
        <w:pageBreakBefore w:val="0"/>
        <w:widowControl w:val="0"/>
        <w:kinsoku/>
        <w:wordWrap/>
        <w:overflowPunct/>
        <w:topLinePunct w:val="0"/>
        <w:autoSpaceDE/>
        <w:autoSpaceDN/>
        <w:bidi w:val="0"/>
        <w:adjustRightInd/>
        <w:snapToGrid/>
        <w:spacing w:line="579" w:lineRule="auto"/>
        <w:textAlignment w:val="auto"/>
        <w:outlineLvl w:val="9"/>
        <w:rPr>
          <w:rFonts w:hint="default"/>
          <w:lang w:val="en-US" w:eastAsia="zh-CN"/>
        </w:rPr>
      </w:pPr>
    </w:p>
    <w:p>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color="auto" w:fill="FDFDFE"/>
        <w:spacing w:before="210" w:beforeAutospacing="0" w:after="0" w:afterAutospacing="0" w:line="26" w:lineRule="atLeast"/>
        <w:ind w:right="0"/>
        <w:rPr>
          <w:rFonts w:hint="eastAsia" w:ascii="Segoe UI" w:hAnsi="Segoe UI" w:eastAsia="宋体" w:cs="Segoe UI"/>
          <w:i w:val="0"/>
          <w:iCs w:val="0"/>
          <w:caps w:val="0"/>
          <w:color w:val="05073B"/>
          <w:spacing w:val="0"/>
          <w:sz w:val="22"/>
          <w:szCs w:val="22"/>
          <w:shd w:val="clear" w:color="auto" w:fill="FDFDFE"/>
          <w:lang w:eastAsia="zh-CN"/>
        </w:rPr>
      </w:pPr>
      <w:r>
        <w:rPr>
          <w:rFonts w:hint="eastAsia" w:ascii="Segoe UI" w:hAnsi="Segoe UI" w:cs="Segoe UI"/>
          <w:i w:val="0"/>
          <w:iCs w:val="0"/>
          <w:caps w:val="0"/>
          <w:color w:val="05073B"/>
          <w:spacing w:val="0"/>
          <w:sz w:val="22"/>
          <w:szCs w:val="22"/>
          <w:shd w:val="clear" w:color="auto" w:fill="FDFDFE"/>
          <w:lang w:val="en-US" w:eastAsia="zh-CN"/>
        </w:rPr>
        <w:t xml:space="preserve">             </w:t>
      </w:r>
    </w:p>
    <w:p>
      <w:pPr>
        <w:pStyle w:val="28"/>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hint="eastAsia" w:ascii="宋体" w:hAnsi="宋体" w:eastAsia="宋体" w:cs="宋体"/>
          <w:b/>
          <w:bCs/>
          <w:color w:val="000000" w:themeColor="text1"/>
          <w:sz w:val="21"/>
          <w:szCs w:val="21"/>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25</w:t>
      </w:r>
      <w:r>
        <w:rPr>
          <w:rFonts w:hint="eastAsia" w:ascii="Times New Roman" w:hAnsi="Times New Roman" w:eastAsia="楷体" w:cs="楷体"/>
          <w:sz w:val="24"/>
          <w:szCs w:val="24"/>
        </w:rPr>
        <w:fldChar w:fldCharType="end"/>
      </w:r>
      <w:bookmarkStart w:id="282" w:name="_Toc32120"/>
      <w:r>
        <w:rPr>
          <w:rFonts w:hint="eastAsia" w:ascii="Times New Roman" w:hAnsi="Times New Roman" w:eastAsia="楷体" w:cs="楷体"/>
          <w:sz w:val="24"/>
          <w:szCs w:val="24"/>
          <w:lang w:val="en-US" w:eastAsia="zh-CN"/>
        </w:rPr>
        <w:t xml:space="preserve"> </w:t>
      </w:r>
      <w:r>
        <w:rPr>
          <w:rFonts w:hint="default" w:ascii="Times New Roman" w:hAnsi="Times New Roman" w:eastAsia="楷体" w:cs="楷体"/>
          <w:sz w:val="24"/>
          <w:szCs w:val="24"/>
          <w:lang w:val="en-US" w:eastAsia="zh-CN"/>
        </w:rPr>
        <w:t>斯里兰卡国家开放大学</w:t>
      </w:r>
      <w:r>
        <w:rPr>
          <w:rFonts w:hint="eastAsia" w:ascii="Times New Roman" w:hAnsi="Times New Roman" w:eastAsia="楷体" w:cs="楷体"/>
          <w:sz w:val="24"/>
          <w:szCs w:val="24"/>
          <w:lang w:val="en-US" w:eastAsia="zh-CN"/>
        </w:rPr>
        <w:t>与</w:t>
      </w:r>
      <w:r>
        <w:rPr>
          <w:rFonts w:hint="default" w:ascii="Times New Roman" w:hAnsi="Times New Roman" w:eastAsia="楷体" w:cs="楷体"/>
          <w:sz w:val="24"/>
          <w:szCs w:val="24"/>
          <w:lang w:val="en-US" w:eastAsia="zh-CN"/>
        </w:rPr>
        <w:t>船山职业技术学校</w:t>
      </w:r>
      <w:r>
        <w:rPr>
          <w:rFonts w:hint="eastAsia" w:ascii="Times New Roman" w:hAnsi="Times New Roman" w:eastAsia="楷体" w:cs="楷体"/>
          <w:sz w:val="24"/>
          <w:szCs w:val="24"/>
          <w:lang w:val="en-US" w:eastAsia="zh-CN"/>
        </w:rPr>
        <w:t>交流活动现场</w:t>
      </w:r>
      <w:bookmarkEnd w:id="282"/>
    </w:p>
    <w:p>
      <w:pPr>
        <w:spacing w:line="560" w:lineRule="exact"/>
        <w:ind w:firstLine="602" w:firstLineChars="200"/>
        <w:outlineLvl w:val="1"/>
        <w:rPr>
          <w:rFonts w:hint="eastAsia" w:ascii="Times New Roman" w:hAnsi="Times New Roman" w:eastAsia="楷体" w:cs="Times New Roman"/>
          <w:b/>
          <w:bCs/>
          <w:color w:val="auto"/>
          <w:sz w:val="30"/>
          <w:szCs w:val="30"/>
          <w:highlight w:val="none"/>
          <w:lang w:val="en-US" w:eastAsia="zh-CN"/>
        </w:rPr>
      </w:pPr>
      <w:r>
        <w:rPr>
          <w:rFonts w:hint="eastAsia" w:ascii="Times New Roman" w:hAnsi="Times New Roman" w:eastAsia="楷体" w:cs="Times New Roman"/>
          <w:b/>
          <w:bCs/>
          <w:color w:val="auto"/>
          <w:sz w:val="30"/>
          <w:szCs w:val="30"/>
          <w:highlight w:val="none"/>
          <w:lang w:val="en-US" w:eastAsia="zh-CN"/>
        </w:rPr>
        <w:t>5.3 制定职业院校</w:t>
      </w:r>
      <w:r>
        <w:rPr>
          <w:rFonts w:hint="default" w:ascii="Times New Roman" w:hAnsi="Times New Roman" w:eastAsia="楷体" w:cs="Times New Roman"/>
          <w:b/>
          <w:bCs/>
          <w:color w:val="auto"/>
          <w:sz w:val="30"/>
          <w:szCs w:val="30"/>
          <w:highlight w:val="none"/>
          <w:lang w:val="en-US" w:eastAsia="zh-CN"/>
        </w:rPr>
        <w:t>国际化规划</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一是</w:t>
      </w:r>
      <w:r>
        <w:rPr>
          <w:rFonts w:hint="default" w:ascii="Times New Roman" w:hAnsi="Times New Roman" w:eastAsia="宋体" w:cs="仿宋"/>
          <w:color w:val="auto"/>
          <w:sz w:val="24"/>
          <w:szCs w:val="24"/>
          <w:highlight w:val="none"/>
          <w:lang w:val="en-US" w:eastAsia="zh-CN"/>
        </w:rPr>
        <w:t>积极学习贯彻政府关于中等职业教育国际化发展的政策方针</w:t>
      </w:r>
      <w:r>
        <w:rPr>
          <w:rFonts w:hint="eastAsia" w:ascii="Times New Roman" w:hAnsi="Times New Roman" w:eastAsia="宋体" w:cs="仿宋"/>
          <w:color w:val="auto"/>
          <w:sz w:val="24"/>
          <w:szCs w:val="24"/>
          <w:highlight w:val="none"/>
          <w:lang w:val="en-US" w:eastAsia="zh-CN"/>
        </w:rPr>
        <w:t>；二是</w:t>
      </w:r>
      <w:r>
        <w:rPr>
          <w:rFonts w:hint="default" w:ascii="Times New Roman" w:hAnsi="Times New Roman" w:eastAsia="宋体" w:cs="仿宋"/>
          <w:color w:val="auto"/>
          <w:sz w:val="24"/>
          <w:szCs w:val="24"/>
          <w:highlight w:val="none"/>
          <w:lang w:val="en-US" w:eastAsia="zh-CN"/>
        </w:rPr>
        <w:t>引入国际优质教学资源，搭建国际化的中等职业教育平台</w:t>
      </w:r>
      <w:r>
        <w:rPr>
          <w:rFonts w:hint="eastAsia" w:ascii="Times New Roman" w:hAnsi="Times New Roman" w:eastAsia="宋体" w:cs="仿宋"/>
          <w:color w:val="auto"/>
          <w:sz w:val="24"/>
          <w:szCs w:val="24"/>
          <w:highlight w:val="none"/>
          <w:lang w:val="en-US" w:eastAsia="zh-CN"/>
        </w:rPr>
        <w:t>；三是</w:t>
      </w:r>
      <w:r>
        <w:rPr>
          <w:rFonts w:hint="default" w:ascii="Times New Roman" w:hAnsi="Times New Roman" w:eastAsia="宋体" w:cs="仿宋"/>
          <w:color w:val="auto"/>
          <w:sz w:val="24"/>
          <w:szCs w:val="24"/>
          <w:highlight w:val="none"/>
          <w:lang w:val="en-US" w:eastAsia="zh-CN"/>
        </w:rPr>
        <w:t>制定中等职业教育国际化教育规划</w:t>
      </w:r>
      <w:r>
        <w:rPr>
          <w:rFonts w:hint="eastAsia" w:ascii="Times New Roman" w:hAnsi="Times New Roman" w:eastAsia="宋体" w:cs="仿宋"/>
          <w:color w:val="auto"/>
          <w:sz w:val="24"/>
          <w:szCs w:val="24"/>
          <w:highlight w:val="none"/>
          <w:lang w:val="en-US" w:eastAsia="zh-CN"/>
        </w:rPr>
        <w:t>；四是</w:t>
      </w:r>
      <w:r>
        <w:rPr>
          <w:rFonts w:hint="default" w:ascii="Times New Roman" w:hAnsi="Times New Roman" w:eastAsia="宋体" w:cs="仿宋"/>
          <w:color w:val="auto"/>
          <w:sz w:val="24"/>
          <w:szCs w:val="24"/>
          <w:highlight w:val="none"/>
          <w:lang w:val="en-US" w:eastAsia="zh-CN"/>
        </w:rPr>
        <w:t>加强中等职业教育高水平师资队伍建设</w:t>
      </w:r>
      <w:r>
        <w:rPr>
          <w:rFonts w:hint="eastAsia" w:ascii="Times New Roman" w:hAnsi="Times New Roman" w:eastAsia="宋体" w:cs="仿宋"/>
          <w:color w:val="auto"/>
          <w:sz w:val="24"/>
          <w:szCs w:val="24"/>
          <w:highlight w:val="none"/>
          <w:lang w:val="en-US" w:eastAsia="zh-CN"/>
        </w:rPr>
        <w:t>；五是</w:t>
      </w:r>
      <w:r>
        <w:rPr>
          <w:rFonts w:hint="default" w:ascii="Times New Roman" w:hAnsi="Times New Roman" w:eastAsia="宋体" w:cs="仿宋"/>
          <w:color w:val="auto"/>
          <w:sz w:val="24"/>
          <w:szCs w:val="24"/>
          <w:highlight w:val="none"/>
          <w:lang w:val="en-US" w:eastAsia="zh-CN"/>
        </w:rPr>
        <w:t>为学生提供境外学习、实习、交流和就业机会；六</w:t>
      </w:r>
      <w:r>
        <w:rPr>
          <w:rFonts w:hint="eastAsia" w:ascii="Times New Roman" w:hAnsi="Times New Roman" w:eastAsia="宋体" w:cs="仿宋"/>
          <w:color w:val="auto"/>
          <w:sz w:val="24"/>
          <w:szCs w:val="24"/>
          <w:highlight w:val="none"/>
          <w:lang w:val="en-US" w:eastAsia="zh-CN"/>
        </w:rPr>
        <w:t>是</w:t>
      </w:r>
      <w:r>
        <w:rPr>
          <w:rFonts w:hint="default" w:ascii="Times New Roman" w:hAnsi="Times New Roman" w:eastAsia="宋体" w:cs="仿宋"/>
          <w:color w:val="auto"/>
          <w:sz w:val="24"/>
          <w:szCs w:val="24"/>
          <w:highlight w:val="none"/>
          <w:lang w:val="en-US" w:eastAsia="zh-CN"/>
        </w:rPr>
        <w:t>创设良好的国际化文化氛围。</w:t>
      </w:r>
    </w:p>
    <w:p>
      <w:pPr>
        <w:spacing w:line="560" w:lineRule="exact"/>
        <w:ind w:firstLine="602" w:firstLineChars="200"/>
        <w:outlineLvl w:val="1"/>
        <w:rPr>
          <w:rFonts w:hint="eastAsia" w:ascii="Times New Roman" w:hAnsi="Times New Roman" w:eastAsia="楷体" w:cs="Times New Roman"/>
          <w:b/>
          <w:bCs/>
          <w:color w:val="auto"/>
          <w:sz w:val="30"/>
          <w:szCs w:val="30"/>
          <w:highlight w:val="none"/>
          <w:lang w:val="en-US" w:eastAsia="zh-CN"/>
        </w:rPr>
      </w:pPr>
      <w:r>
        <w:rPr>
          <w:rFonts w:hint="eastAsia" w:ascii="Times New Roman" w:hAnsi="Times New Roman" w:eastAsia="楷体" w:cs="Times New Roman"/>
          <w:b/>
          <w:bCs/>
          <w:color w:val="auto"/>
          <w:sz w:val="30"/>
          <w:szCs w:val="30"/>
          <w:highlight w:val="none"/>
          <w:lang w:val="en-US" w:eastAsia="zh-CN"/>
        </w:rPr>
        <w:t>5.4 参加国际技能大赛取得突破</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四川省遂宁市安居职业高级中学校伍洪禄、祝英老师指导周爱、喻学伟同学参加2024一带一路暨金砖国家技能发展与技术创新大赛——第三届工业产品数字孪生（虚拟装调）赛项决赛（中职组）荣获“三等奖”；遂宁市船山职业技术学校组织学生参加2024年一带一路暨金砖国家技能发展与技术创新大赛——第四届无人机飞行应用技术赛项决赛（中职组），申少勇、魏洪友老师指导黄宇航、郭富豪同学荣获“三等奖”，申少勇、谭文富老师指导邓庆、蒋政杨同学荣获“优秀奖”。</w:t>
      </w:r>
    </w:p>
    <w:p>
      <w:pPr>
        <w:pStyle w:val="28"/>
        <w:spacing w:after="0" w:line="560" w:lineRule="exact"/>
        <w:ind w:firstLine="480" w:firstLineChars="200"/>
        <w:rPr>
          <w:rFonts w:hint="eastAsia" w:ascii="Times New Roman" w:hAnsi="Times New Roman" w:eastAsia="宋体"/>
          <w:color w:val="FF0000"/>
          <w:sz w:val="24"/>
          <w:szCs w:val="24"/>
          <w:highlight w:val="none"/>
          <w:lang w:val="en-US" w:eastAsia="zh-CN"/>
        </w:rPr>
      </w:pPr>
      <w:r>
        <w:rPr>
          <w:rFonts w:hint="eastAsia" w:ascii="Times New Roman" w:hAnsi="Times New Roman" w:eastAsia="宋体" w:cs="仿宋"/>
          <w:color w:val="auto"/>
          <w:sz w:val="24"/>
          <w:szCs w:val="24"/>
          <w:highlight w:val="none"/>
          <w:lang w:val="en-US" w:eastAsia="zh-CN"/>
        </w:rPr>
        <w:drawing>
          <wp:anchor distT="0" distB="0" distL="114300" distR="114300" simplePos="0" relativeHeight="251698176" behindDoc="0" locked="0" layoutInCell="1" allowOverlap="1">
            <wp:simplePos x="0" y="0"/>
            <wp:positionH relativeFrom="column">
              <wp:posOffset>932180</wp:posOffset>
            </wp:positionH>
            <wp:positionV relativeFrom="paragraph">
              <wp:posOffset>79375</wp:posOffset>
            </wp:positionV>
            <wp:extent cx="3409950" cy="2387600"/>
            <wp:effectExtent l="0" t="0" r="6350" b="0"/>
            <wp:wrapNone/>
            <wp:docPr id="64" name="图片 64" descr="76995_1735201102_h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64" descr="76995_1735201102_hd"/>
                    <pic:cNvPicPr>
                      <a:picLocks noChangeAspect="true"/>
                    </pic:cNvPicPr>
                  </pic:nvPicPr>
                  <pic:blipFill>
                    <a:blip r:embed="rId54"/>
                    <a:stretch>
                      <a:fillRect/>
                    </a:stretch>
                  </pic:blipFill>
                  <pic:spPr>
                    <a:xfrm>
                      <a:off x="0" y="0"/>
                      <a:ext cx="3409950" cy="2387600"/>
                    </a:xfrm>
                    <a:prstGeom prst="rect">
                      <a:avLst/>
                    </a:prstGeom>
                    <a:noFill/>
                    <a:ln>
                      <a:noFill/>
                    </a:ln>
                  </pic:spPr>
                </pic:pic>
              </a:graphicData>
            </a:graphic>
          </wp:anchor>
        </w:drawing>
      </w:r>
    </w:p>
    <w:p>
      <w:pPr>
        <w:pStyle w:val="28"/>
        <w:spacing w:after="0" w:line="560" w:lineRule="exact"/>
        <w:ind w:firstLine="480" w:firstLineChars="200"/>
        <w:rPr>
          <w:rFonts w:hint="eastAsia" w:ascii="Times New Roman" w:hAnsi="Times New Roman" w:eastAsia="宋体"/>
          <w:color w:val="FF0000"/>
          <w:sz w:val="24"/>
          <w:szCs w:val="24"/>
          <w:highlight w:val="none"/>
          <w:lang w:val="en-US" w:eastAsia="zh-CN"/>
        </w:rPr>
      </w:pPr>
    </w:p>
    <w:p>
      <w:pPr>
        <w:pStyle w:val="28"/>
        <w:spacing w:after="0" w:line="560" w:lineRule="exact"/>
        <w:ind w:firstLine="480" w:firstLineChars="200"/>
        <w:rPr>
          <w:rFonts w:hint="eastAsia" w:ascii="Times New Roman" w:hAnsi="Times New Roman" w:eastAsia="宋体"/>
          <w:color w:val="FF0000"/>
          <w:sz w:val="24"/>
          <w:szCs w:val="24"/>
          <w:highlight w:val="none"/>
          <w:lang w:val="en-US" w:eastAsia="zh-CN"/>
        </w:rPr>
      </w:pPr>
    </w:p>
    <w:p>
      <w:pPr>
        <w:pStyle w:val="28"/>
        <w:spacing w:after="0" w:line="560" w:lineRule="exact"/>
        <w:ind w:firstLine="480" w:firstLineChars="200"/>
        <w:rPr>
          <w:rFonts w:hint="eastAsia" w:ascii="Times New Roman" w:hAnsi="Times New Roman" w:eastAsia="宋体"/>
          <w:color w:val="FF0000"/>
          <w:sz w:val="24"/>
          <w:szCs w:val="24"/>
          <w:highlight w:val="none"/>
          <w:lang w:val="en-US" w:eastAsia="zh-CN"/>
        </w:rPr>
      </w:pPr>
    </w:p>
    <w:p>
      <w:pPr>
        <w:pStyle w:val="28"/>
        <w:spacing w:after="0" w:line="560" w:lineRule="exact"/>
        <w:ind w:firstLine="480" w:firstLineChars="200"/>
        <w:rPr>
          <w:rFonts w:hint="eastAsia" w:ascii="Times New Roman" w:hAnsi="Times New Roman" w:eastAsia="宋体"/>
          <w:color w:val="FF0000"/>
          <w:sz w:val="24"/>
          <w:szCs w:val="24"/>
          <w:highlight w:val="none"/>
          <w:lang w:val="en-US" w:eastAsia="zh-CN"/>
        </w:rPr>
      </w:pPr>
    </w:p>
    <w:p>
      <w:pPr>
        <w:pStyle w:val="28"/>
        <w:spacing w:after="0" w:line="560" w:lineRule="exact"/>
        <w:ind w:firstLine="480" w:firstLineChars="200"/>
        <w:rPr>
          <w:rFonts w:hint="eastAsia" w:ascii="Times New Roman" w:hAnsi="Times New Roman" w:eastAsia="宋体"/>
          <w:color w:val="FF0000"/>
          <w:sz w:val="24"/>
          <w:szCs w:val="24"/>
          <w:highlight w:val="none"/>
          <w:lang w:val="en-US" w:eastAsia="zh-CN"/>
        </w:rPr>
      </w:pPr>
    </w:p>
    <w:p>
      <w:pPr>
        <w:pStyle w:val="28"/>
        <w:spacing w:after="0" w:line="560" w:lineRule="exact"/>
        <w:ind w:left="0" w:leftChars="0" w:firstLine="0" w:firstLineChars="0"/>
        <w:rPr>
          <w:rFonts w:hint="default" w:ascii="Times New Roman" w:hAnsi="Times New Roman" w:eastAsia="宋体"/>
          <w:color w:val="FF0000"/>
          <w:sz w:val="24"/>
          <w:szCs w:val="24"/>
          <w:highlight w:val="none"/>
          <w:lang w:val="en-US" w:eastAsia="zh-CN"/>
        </w:rPr>
      </w:pPr>
    </w:p>
    <w:p>
      <w:pPr>
        <w:pStyle w:val="8"/>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26</w:t>
      </w:r>
      <w:r>
        <w:rPr>
          <w:rFonts w:hint="eastAsia" w:ascii="Times New Roman" w:hAnsi="Times New Roman" w:eastAsia="楷体" w:cs="楷体"/>
          <w:sz w:val="24"/>
          <w:szCs w:val="24"/>
        </w:rPr>
        <w:fldChar w:fldCharType="end"/>
      </w:r>
      <w:bookmarkStart w:id="283" w:name="_Toc23836"/>
      <w:r>
        <w:rPr>
          <w:rFonts w:hint="eastAsia" w:ascii="Times New Roman" w:hAnsi="Times New Roman" w:eastAsia="楷体" w:cs="楷体"/>
          <w:sz w:val="24"/>
          <w:szCs w:val="24"/>
          <w:lang w:val="en-US" w:eastAsia="zh-CN"/>
        </w:rPr>
        <w:t xml:space="preserve"> 第三届工业产品数字孪生（虚拟装调）赛项获“三等奖”</w:t>
      </w:r>
      <w:bookmarkEnd w:id="283"/>
    </w:p>
    <w:p>
      <w:pPr>
        <w:pStyle w:val="2"/>
        <w:rPr>
          <w:rFonts w:hint="eastAsia" w:ascii="Times New Roman" w:hAnsi="Times New Roman" w:eastAsia="宋体"/>
          <w:color w:val="FF0000"/>
          <w:sz w:val="24"/>
          <w:szCs w:val="24"/>
          <w:highlight w:val="none"/>
          <w:lang w:val="en-US" w:eastAsia="zh-CN"/>
        </w:rPr>
      </w:pP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1"/>
        <w:gridCol w:w="42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51" w:type="dxa"/>
          </w:tcPr>
          <w:p>
            <w:pPr>
              <w:pStyle w:val="29"/>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imes New Roman" w:hAnsi="Times New Roman"/>
                <w:vertAlign w:val="baseline"/>
              </w:rPr>
            </w:pPr>
            <w:r>
              <w:rPr>
                <w:rFonts w:hint="eastAsia" w:ascii="Times New Roman" w:hAnsi="Times New Roman"/>
                <w:sz w:val="28"/>
                <w:szCs w:val="28"/>
              </w:rPr>
              <w:drawing>
                <wp:inline distT="0" distB="0" distL="0" distR="0">
                  <wp:extent cx="2585720" cy="1757045"/>
                  <wp:effectExtent l="0" t="0" r="5080" b="8255"/>
                  <wp:docPr id="71" name="图片 8" descr="C:/Users/HUAWEI/Desktop/微信图片_20250109105738.jpg微信图片_202501091057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 name="图片 8" descr="C:/Users/HUAWEI/Desktop/微信图片_20250109105738.jpg微信图片_20250109105738"/>
                          <pic:cNvPicPr>
                            <a:picLocks noChangeAspect="true"/>
                          </pic:cNvPicPr>
                        </pic:nvPicPr>
                        <pic:blipFill>
                          <a:blip r:embed="rId55"/>
                          <a:srcRect l="596" r="596"/>
                          <a:stretch>
                            <a:fillRect/>
                          </a:stretch>
                        </pic:blipFill>
                        <pic:spPr>
                          <a:xfrm>
                            <a:off x="0" y="0"/>
                            <a:ext cx="2585720" cy="1757045"/>
                          </a:xfrm>
                          <a:prstGeom prst="rect">
                            <a:avLst/>
                          </a:prstGeom>
                        </pic:spPr>
                      </pic:pic>
                    </a:graphicData>
                  </a:graphic>
                </wp:inline>
              </w:drawing>
            </w:r>
          </w:p>
        </w:tc>
        <w:tc>
          <w:tcPr>
            <w:tcW w:w="4271" w:type="dxa"/>
          </w:tcPr>
          <w:p>
            <w:pPr>
              <w:pStyle w:val="29"/>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imes New Roman" w:hAnsi="Times New Roman"/>
                <w:vertAlign w:val="baseline"/>
              </w:rPr>
            </w:pPr>
            <w:r>
              <w:rPr>
                <w:rFonts w:hint="eastAsia" w:ascii="Times New Roman" w:hAnsi="Times New Roman"/>
                <w:sz w:val="28"/>
                <w:szCs w:val="28"/>
              </w:rPr>
              <w:drawing>
                <wp:inline distT="0" distB="0" distL="0" distR="0">
                  <wp:extent cx="2603500" cy="1757045"/>
                  <wp:effectExtent l="0" t="0" r="0" b="8255"/>
                  <wp:docPr id="72" name="图片 0" descr="C:/Users/HUAWEI/Desktop/微信图片_20250109105733.jpg微信图片_202501091057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2" name="图片 0" descr="C:/Users/HUAWEI/Desktop/微信图片_20250109105733.jpg微信图片_20250109105733"/>
                          <pic:cNvPicPr>
                            <a:picLocks noChangeAspect="true"/>
                          </pic:cNvPicPr>
                        </pic:nvPicPr>
                        <pic:blipFill>
                          <a:blip r:embed="rId56"/>
                          <a:srcRect t="4110" b="4110"/>
                          <a:stretch>
                            <a:fillRect/>
                          </a:stretch>
                        </pic:blipFill>
                        <pic:spPr>
                          <a:xfrm>
                            <a:off x="0" y="0"/>
                            <a:ext cx="2603500" cy="17570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outlineLvl w:val="9"/>
              <w:rPr>
                <w:rFonts w:hint="default" w:ascii="Times New Roman" w:hAnsi="Times New Roman"/>
                <w:vertAlign w:val="baseline"/>
                <w:lang w:val="en-US"/>
              </w:rPr>
            </w:pPr>
            <w:bookmarkStart w:id="284" w:name="_Toc23583"/>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27</w:t>
            </w:r>
            <w:r>
              <w:rPr>
                <w:rFonts w:hint="eastAsia" w:ascii="Times New Roman" w:hAnsi="Times New Roman" w:eastAsia="楷体" w:cs="楷体"/>
                <w:sz w:val="24"/>
                <w:szCs w:val="24"/>
              </w:rPr>
              <w:fldChar w:fldCharType="end"/>
            </w:r>
            <w:bookmarkStart w:id="285" w:name="_Toc1786"/>
            <w:r>
              <w:rPr>
                <w:rFonts w:hint="eastAsia" w:ascii="Times New Roman" w:hAnsi="Times New Roman" w:eastAsia="楷体" w:cs="楷体"/>
                <w:sz w:val="24"/>
                <w:szCs w:val="24"/>
                <w:lang w:val="en-US" w:eastAsia="zh-CN"/>
              </w:rPr>
              <w:t xml:space="preserve"> </w:t>
            </w:r>
            <w:r>
              <w:rPr>
                <w:rFonts w:hint="eastAsia" w:ascii="Times New Roman" w:hAnsi="Times New Roman" w:eastAsia="楷体" w:cs="楷体"/>
                <w:kern w:val="2"/>
                <w:sz w:val="24"/>
                <w:szCs w:val="24"/>
                <w:lang w:val="en-US" w:eastAsia="zh-CN" w:bidi="ar-SA"/>
              </w:rPr>
              <w:t>第四届无人机飞行应用技术赛项分获“三等奖”和“优秀奖”</w:t>
            </w:r>
            <w:bookmarkEnd w:id="284"/>
            <w:bookmarkEnd w:id="285"/>
          </w:p>
        </w:tc>
      </w:tr>
    </w:tbl>
    <w:p>
      <w:pPr>
        <w:adjustRightInd w:val="0"/>
        <w:spacing w:line="560" w:lineRule="exact"/>
        <w:ind w:firstLine="642" w:firstLineChars="200"/>
        <w:outlineLvl w:val="0"/>
        <w:rPr>
          <w:rFonts w:hint="default" w:ascii="Times New Roman" w:hAnsi="Times New Roman" w:eastAsia="黑体" w:cs="Times New Roman"/>
          <w:b/>
          <w:bCs/>
          <w:color w:val="CE6B2A"/>
          <w:sz w:val="32"/>
          <w:szCs w:val="32"/>
          <w:highlight w:val="none"/>
          <w:lang w:val="en-US" w:eastAsia="zh-CN"/>
        </w:rPr>
      </w:pPr>
      <w:bookmarkStart w:id="286" w:name="_Toc9670"/>
      <w:r>
        <w:rPr>
          <w:rFonts w:hint="eastAsia" w:ascii="Times New Roman" w:hAnsi="Times New Roman" w:eastAsia="黑体" w:cs="Times New Roman"/>
          <w:b/>
          <w:bCs/>
          <w:color w:val="CE6B2A"/>
          <w:sz w:val="32"/>
          <w:szCs w:val="32"/>
          <w:highlight w:val="none"/>
          <w:lang w:val="en-US" w:eastAsia="zh-CN"/>
        </w:rPr>
        <w:t>6 融合发展</w:t>
      </w:r>
      <w:bookmarkEnd w:id="286"/>
    </w:p>
    <w:p>
      <w:pPr>
        <w:spacing w:line="560" w:lineRule="exact"/>
        <w:ind w:firstLine="602" w:firstLineChars="200"/>
        <w:outlineLvl w:val="1"/>
        <w:rPr>
          <w:rFonts w:hint="eastAsia" w:ascii="Times New Roman" w:hAnsi="Times New Roman" w:eastAsia="楷体" w:cs="Times New Roman"/>
          <w:b/>
          <w:bCs/>
          <w:color w:val="auto"/>
          <w:sz w:val="30"/>
          <w:szCs w:val="30"/>
          <w:highlight w:val="none"/>
          <w:lang w:val="en-US" w:eastAsia="zh-CN"/>
        </w:rPr>
      </w:pPr>
      <w:bookmarkStart w:id="287" w:name="_Toc16955"/>
      <w:r>
        <w:rPr>
          <w:rFonts w:hint="eastAsia" w:ascii="Times New Roman" w:hAnsi="Times New Roman" w:eastAsia="楷体" w:cs="Times New Roman"/>
          <w:b/>
          <w:bCs/>
          <w:color w:val="auto"/>
          <w:sz w:val="30"/>
          <w:szCs w:val="30"/>
          <w:highlight w:val="none"/>
          <w:lang w:val="en-US" w:eastAsia="zh-CN"/>
        </w:rPr>
        <w:t>6</w:t>
      </w:r>
      <w:r>
        <w:rPr>
          <w:rFonts w:hint="eastAsia" w:ascii="Times New Roman" w:hAnsi="Times New Roman" w:eastAsia="楷体" w:cs="Times New Roman"/>
          <w:b/>
          <w:bCs/>
          <w:color w:val="auto"/>
          <w:sz w:val="30"/>
          <w:szCs w:val="30"/>
          <w:highlight w:val="none"/>
        </w:rPr>
        <w:t>.</w:t>
      </w:r>
      <w:r>
        <w:rPr>
          <w:rFonts w:ascii="Times New Roman" w:hAnsi="Times New Roman" w:eastAsia="楷体" w:cs="Times New Roman"/>
          <w:b/>
          <w:bCs/>
          <w:color w:val="auto"/>
          <w:sz w:val="30"/>
          <w:szCs w:val="30"/>
          <w:highlight w:val="none"/>
        </w:rPr>
        <w:t>1</w:t>
      </w:r>
      <w:r>
        <w:rPr>
          <w:rFonts w:hint="eastAsia" w:ascii="Times New Roman" w:hAnsi="Times New Roman" w:eastAsia="楷体" w:cs="Times New Roman"/>
          <w:b/>
          <w:bCs/>
          <w:color w:val="auto"/>
          <w:sz w:val="30"/>
          <w:szCs w:val="30"/>
          <w:highlight w:val="none"/>
          <w:lang w:val="en-US" w:eastAsia="zh-CN"/>
        </w:rPr>
        <w:t xml:space="preserve"> 产教融合</w:t>
      </w:r>
      <w:bookmarkEnd w:id="287"/>
    </w:p>
    <w:p>
      <w:pPr>
        <w:spacing w:line="560" w:lineRule="exact"/>
        <w:ind w:firstLine="562" w:firstLineChars="200"/>
        <w:outlineLvl w:val="2"/>
        <w:rPr>
          <w:rFonts w:ascii="Times New Roman" w:hAnsi="Times New Roman" w:eastAsia="宋体" w:cs="Times New Roman"/>
          <w:b/>
          <w:bCs/>
          <w:color w:val="auto"/>
          <w:sz w:val="28"/>
          <w:szCs w:val="28"/>
          <w:highlight w:val="none"/>
        </w:rPr>
      </w:pPr>
      <w:bookmarkStart w:id="288" w:name="_Toc21998"/>
      <w:bookmarkStart w:id="289" w:name="_Toc20022"/>
      <w:bookmarkStart w:id="290" w:name="_Toc23267"/>
      <w:bookmarkStart w:id="291" w:name="_Toc30187"/>
      <w:r>
        <w:rPr>
          <w:rFonts w:hint="eastAsia" w:ascii="Times New Roman" w:hAnsi="Times New Roman" w:eastAsia="宋体" w:cs="Times New Roman"/>
          <w:b/>
          <w:bCs/>
          <w:color w:val="auto"/>
          <w:sz w:val="28"/>
          <w:szCs w:val="28"/>
          <w:highlight w:val="none"/>
          <w:lang w:val="en-US" w:eastAsia="zh-CN"/>
        </w:rPr>
        <w:t>6</w:t>
      </w:r>
      <w:r>
        <w:rPr>
          <w:rFonts w:hint="eastAsia" w:ascii="Times New Roman" w:hAnsi="Times New Roman" w:eastAsia="宋体" w:cs="Times New Roman"/>
          <w:b/>
          <w:bCs/>
          <w:color w:val="auto"/>
          <w:sz w:val="28"/>
          <w:szCs w:val="28"/>
          <w:highlight w:val="none"/>
        </w:rPr>
        <w:t>.</w:t>
      </w:r>
      <w:r>
        <w:rPr>
          <w:rFonts w:hint="eastAsia" w:ascii="Times New Roman" w:hAnsi="Times New Roman" w:eastAsia="宋体" w:cs="Times New Roman"/>
          <w:b/>
          <w:bCs/>
          <w:color w:val="auto"/>
          <w:sz w:val="28"/>
          <w:szCs w:val="28"/>
          <w:highlight w:val="none"/>
          <w:lang w:val="en-US" w:eastAsia="zh-CN"/>
        </w:rPr>
        <w:t>1</w:t>
      </w:r>
      <w:r>
        <w:rPr>
          <w:rFonts w:hint="eastAsia" w:ascii="Times New Roman" w:hAnsi="Times New Roman" w:eastAsia="宋体" w:cs="Times New Roman"/>
          <w:b/>
          <w:bCs/>
          <w:color w:val="auto"/>
          <w:sz w:val="28"/>
          <w:szCs w:val="28"/>
          <w:highlight w:val="none"/>
        </w:rPr>
        <w:t>.</w:t>
      </w:r>
      <w:r>
        <w:rPr>
          <w:rFonts w:ascii="Times New Roman" w:hAnsi="Times New Roman" w:eastAsia="宋体" w:cs="Times New Roman"/>
          <w:b/>
          <w:bCs/>
          <w:color w:val="auto"/>
          <w:sz w:val="28"/>
          <w:szCs w:val="28"/>
          <w:highlight w:val="none"/>
        </w:rPr>
        <w:t>1</w:t>
      </w:r>
      <w:r>
        <w:rPr>
          <w:rFonts w:hint="eastAsia" w:ascii="Times New Roman" w:hAnsi="Times New Roman" w:eastAsia="宋体" w:cs="Times New Roman"/>
          <w:b/>
          <w:bCs/>
          <w:color w:val="auto"/>
          <w:sz w:val="28"/>
          <w:szCs w:val="28"/>
          <w:highlight w:val="none"/>
        </w:rPr>
        <w:t xml:space="preserve"> </w:t>
      </w:r>
      <w:r>
        <w:rPr>
          <w:rFonts w:hint="default" w:ascii="Times New Roman" w:hAnsi="Times New Roman" w:eastAsia="宋体" w:cs="Times New Roman"/>
          <w:b/>
          <w:bCs/>
          <w:color w:val="auto"/>
          <w:sz w:val="28"/>
          <w:szCs w:val="28"/>
          <w:highlight w:val="none"/>
          <w:lang w:val="en-US" w:eastAsia="zh-CN"/>
        </w:rPr>
        <w:t>深化</w:t>
      </w:r>
      <w:r>
        <w:rPr>
          <w:rFonts w:hint="default" w:ascii="Times New Roman" w:hAnsi="Times New Roman" w:eastAsia="宋体" w:cs="Times New Roman"/>
          <w:b/>
          <w:bCs/>
          <w:color w:val="auto"/>
          <w:sz w:val="28"/>
          <w:szCs w:val="28"/>
          <w:highlight w:val="none"/>
          <w:lang w:eastAsia="zh-CN"/>
        </w:rPr>
        <w:t>产教融合的主要举措</w:t>
      </w:r>
      <w:r>
        <w:rPr>
          <w:rFonts w:hint="eastAsia" w:ascii="Times New Roman" w:hAnsi="Times New Roman" w:eastAsia="宋体" w:cs="Times New Roman"/>
          <w:b/>
          <w:bCs/>
          <w:color w:val="auto"/>
          <w:sz w:val="28"/>
          <w:szCs w:val="28"/>
          <w:highlight w:val="none"/>
        </w:rPr>
        <w:t>和效果</w:t>
      </w:r>
      <w:bookmarkEnd w:id="288"/>
      <w:bookmarkEnd w:id="289"/>
      <w:bookmarkEnd w:id="290"/>
      <w:bookmarkEnd w:id="291"/>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bookmarkStart w:id="292" w:name="_Toc18236"/>
      <w:bookmarkStart w:id="293" w:name="_Toc10773"/>
      <w:bookmarkStart w:id="294" w:name="_Toc6270"/>
      <w:bookmarkStart w:id="295" w:name="_Toc23478"/>
      <w:r>
        <w:rPr>
          <w:rFonts w:hint="eastAsia" w:ascii="Times New Roman" w:hAnsi="Times New Roman" w:eastAsia="宋体" w:cs="仿宋"/>
          <w:color w:val="auto"/>
          <w:sz w:val="24"/>
          <w:szCs w:val="24"/>
          <w:highlight w:val="none"/>
          <w:lang w:val="en-US" w:eastAsia="zh-CN"/>
        </w:rPr>
        <w:t>遂宁市职业教育不断深化产教融合，推进人力资源供给侧结构性改革，提升职业教育对经济社会发展的支撑能力，为遂宁市培养适应转型升级需要和社会发展急需的技术技能型人才。遂宁市人民政府坚持“统筹协调，整体推进，优化结构，服务需求，校企协同，合作育人”的基本原则，印发《遂宁市深化产教融合实施方案》通知，形成了《遂宁市产教融合典型案例集》。</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一是</w:t>
      </w:r>
      <w:r>
        <w:rPr>
          <w:rFonts w:hint="default" w:ascii="Times New Roman" w:hAnsi="Times New Roman" w:eastAsia="宋体" w:cs="仿宋"/>
          <w:color w:val="auto"/>
          <w:sz w:val="24"/>
          <w:szCs w:val="24"/>
          <w:highlight w:val="none"/>
          <w:lang w:val="en-US" w:eastAsia="zh-CN"/>
        </w:rPr>
        <w:t>合理规划校点布局，坚持把职业教育建在产业园</w:t>
      </w:r>
      <w:r>
        <w:rPr>
          <w:rFonts w:hint="eastAsia" w:ascii="Times New Roman" w:hAnsi="Times New Roman" w:eastAsia="宋体" w:cs="仿宋"/>
          <w:color w:val="auto"/>
          <w:sz w:val="24"/>
          <w:szCs w:val="24"/>
          <w:highlight w:val="none"/>
          <w:lang w:val="en-US" w:eastAsia="zh-CN"/>
        </w:rPr>
        <w:t>。所有新建职业院校（校区）全部建在产业园区。目前我市有6所学校兴办“校中厂”，1所学校实现了“厂中校”，部分学校正在向一专业一企业（实体）的紧密联系方式迈进。遂宁市鸿图电子电路技术职业学校就办在遂宁市英创力电子科技有限公司，把学校办在开发区，把专业办在产业链，实现校企无缝对接。</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二是</w:t>
      </w:r>
      <w:r>
        <w:rPr>
          <w:rFonts w:hint="default" w:ascii="Times New Roman" w:hAnsi="Times New Roman" w:eastAsia="宋体" w:cs="仿宋"/>
          <w:color w:val="auto"/>
          <w:sz w:val="24"/>
          <w:szCs w:val="24"/>
          <w:highlight w:val="none"/>
          <w:lang w:val="en-US" w:eastAsia="zh-CN"/>
        </w:rPr>
        <w:t>调整专业结构，把专业设在产业链</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加快产教融合学科专业建设。围绕遂宁现代产业发展格局，加快对接产业链、创新链和战略性新兴产业发展的学科专业体系，重点建设一批具有较好办学基础、经济社会发展急需的专业和专业群。结合我市产业发展现状，重点发展电子技术、现代农业、新能源、新材料、现代物流等产业急需紧缺学科专业，大力支持家政服务、养老服务、文化旅游等领域专业发展，共建实训基地、培训基地，促进教育链、人才链与产业链、创新链有机衔接。</w:t>
      </w:r>
    </w:p>
    <w:p>
      <w:pPr>
        <w:keepNext w:val="0"/>
        <w:keepLines w:val="0"/>
        <w:pageBreakBefore w:val="0"/>
        <w:widowControl w:val="0"/>
        <w:kinsoku/>
        <w:wordWrap/>
        <w:overflowPunct/>
        <w:topLinePunct w:val="0"/>
        <w:autoSpaceDE/>
        <w:autoSpaceDN/>
        <w:bidi w:val="0"/>
        <w:adjustRightInd/>
        <w:snapToGrid/>
        <w:spacing w:after="63" w:afterLines="20" w:line="560" w:lineRule="exact"/>
        <w:ind w:firstLine="480" w:firstLineChars="200"/>
        <w:textAlignment w:val="auto"/>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三是</w:t>
      </w:r>
      <w:r>
        <w:rPr>
          <w:rFonts w:hint="default" w:ascii="Times New Roman" w:hAnsi="Times New Roman" w:eastAsia="宋体" w:cs="仿宋"/>
          <w:color w:val="auto"/>
          <w:sz w:val="24"/>
          <w:szCs w:val="24"/>
          <w:highlight w:val="none"/>
          <w:lang w:val="en-US" w:eastAsia="zh-CN"/>
        </w:rPr>
        <w:t>创新人才培养模式</w:t>
      </w:r>
      <w:r>
        <w:rPr>
          <w:rFonts w:hint="eastAsia" w:ascii="Times New Roman" w:hAnsi="Times New Roman" w:eastAsia="宋体" w:cs="仿宋"/>
          <w:color w:val="auto"/>
          <w:sz w:val="24"/>
          <w:szCs w:val="24"/>
          <w:highlight w:val="none"/>
          <w:lang w:val="en-US" w:eastAsia="zh-CN"/>
        </w:rPr>
        <w:t>，举办“订单班”。</w:t>
      </w:r>
      <w:r>
        <w:rPr>
          <w:rFonts w:hint="default" w:ascii="Times New Roman" w:hAnsi="Times New Roman" w:eastAsia="宋体" w:cs="仿宋"/>
          <w:color w:val="auto"/>
          <w:sz w:val="24"/>
          <w:szCs w:val="24"/>
          <w:highlight w:val="none"/>
          <w:lang w:val="en-US" w:eastAsia="zh-CN"/>
        </w:rPr>
        <w:t>举办订单班，为企业</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量身定制</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人才</w:t>
      </w:r>
      <w:r>
        <w:rPr>
          <w:rFonts w:hint="eastAsia" w:ascii="Times New Roman" w:hAnsi="Times New Roman" w:eastAsia="宋体" w:cs="仿宋"/>
          <w:color w:val="auto"/>
          <w:sz w:val="24"/>
          <w:szCs w:val="24"/>
          <w:highlight w:val="none"/>
          <w:lang w:val="en-US" w:eastAsia="zh-CN"/>
        </w:rPr>
        <w:t>。遂宁市教育和体育局 遂宁市经济和信息化局印发了《产教融合“订单班”培养人才实施方案的通知》。围绕对接对话机制化，保障产教融合落地、学校建在产业园，优化教育资源供给、专业设在产业链，按需培育技术人才、课堂开在生产线，提升岗位适应能力、人才培养订单化，倾力深化产教融合的工作思路，遂宁市9所职业院校与市内本地22家企业新增订单班40个，共1464人。</w:t>
      </w:r>
      <w:r>
        <w:rPr>
          <w:rFonts w:hint="default" w:ascii="Times New Roman" w:hAnsi="Times New Roman" w:eastAsia="宋体" w:cs="仿宋"/>
          <w:color w:val="auto"/>
          <w:sz w:val="24"/>
          <w:szCs w:val="24"/>
          <w:highlight w:val="none"/>
          <w:lang w:val="en-US" w:eastAsia="zh-CN"/>
        </w:rPr>
        <w:t>大力开展生产性实习实训。建立健全实习实训制度，校企共同制定实习实训计划，合理安排实习实训内容和岗位。鼓励以引企入校、引校入企、前厂后校等校企一体化合作形式，基本形成</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一专一企</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一校多企</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的办学格局。支持企业与职业院校共同建设区域性实训基地，带动中小微企业参与校企合作。近</w:t>
      </w:r>
      <w:r>
        <w:rPr>
          <w:rFonts w:hint="eastAsia" w:ascii="Times New Roman" w:hAnsi="Times New Roman" w:eastAsia="宋体" w:cs="仿宋"/>
          <w:color w:val="auto"/>
          <w:sz w:val="24"/>
          <w:szCs w:val="24"/>
          <w:highlight w:val="none"/>
          <w:lang w:val="en-US" w:eastAsia="zh-CN"/>
        </w:rPr>
        <w:t>三</w:t>
      </w:r>
      <w:r>
        <w:rPr>
          <w:rFonts w:hint="default" w:ascii="Times New Roman" w:hAnsi="Times New Roman" w:eastAsia="宋体" w:cs="仿宋"/>
          <w:color w:val="auto"/>
          <w:sz w:val="24"/>
          <w:szCs w:val="24"/>
          <w:highlight w:val="none"/>
          <w:lang w:val="en-US" w:eastAsia="zh-CN"/>
        </w:rPr>
        <w:t>年来，</w:t>
      </w:r>
      <w:r>
        <w:rPr>
          <w:rFonts w:hint="eastAsia" w:ascii="Times New Roman" w:hAnsi="Times New Roman" w:eastAsia="宋体" w:cs="仿宋"/>
          <w:color w:val="auto"/>
          <w:sz w:val="24"/>
          <w:szCs w:val="24"/>
          <w:highlight w:val="none"/>
          <w:lang w:val="en-US" w:eastAsia="zh-CN"/>
        </w:rPr>
        <w:t>4</w:t>
      </w:r>
      <w:r>
        <w:rPr>
          <w:rFonts w:hint="default" w:ascii="Times New Roman" w:hAnsi="Times New Roman" w:eastAsia="宋体" w:cs="仿宋"/>
          <w:color w:val="auto"/>
          <w:sz w:val="24"/>
          <w:szCs w:val="24"/>
          <w:highlight w:val="none"/>
          <w:lang w:val="en-US" w:eastAsia="zh-CN"/>
        </w:rPr>
        <w:t>000余名中职学生，到本地企业实习，缓解了企业用工</w:t>
      </w:r>
      <w:r>
        <w:rPr>
          <w:rFonts w:hint="eastAsia" w:ascii="Times New Roman" w:hAnsi="Times New Roman" w:eastAsia="宋体" w:cs="仿宋"/>
          <w:color w:val="auto"/>
          <w:sz w:val="24"/>
          <w:szCs w:val="24"/>
          <w:highlight w:val="none"/>
          <w:lang w:val="en-US" w:eastAsia="zh-CN"/>
        </w:rPr>
        <w:t>需求</w:t>
      </w:r>
      <w:r>
        <w:rPr>
          <w:rFonts w:hint="default" w:ascii="Times New Roman" w:hAnsi="Times New Roman" w:eastAsia="宋体" w:cs="仿宋"/>
          <w:color w:val="auto"/>
          <w:sz w:val="24"/>
          <w:szCs w:val="24"/>
          <w:highlight w:val="none"/>
          <w:lang w:val="en-US" w:eastAsia="zh-CN"/>
        </w:rPr>
        <w:t>。</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1"/>
        <w:gridCol w:w="42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51" w:type="dxa"/>
          </w:tcPr>
          <w:p>
            <w:pPr>
              <w:pStyle w:val="29"/>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vertAlign w:val="baseline"/>
              </w:rPr>
            </w:pPr>
            <w:r>
              <w:rPr>
                <w:rFonts w:hint="eastAsia" w:ascii="Times New Roman" w:hAnsi="Times New Roman"/>
                <w:sz w:val="28"/>
                <w:szCs w:val="28"/>
              </w:rPr>
              <w:drawing>
                <wp:inline distT="0" distB="0" distL="0" distR="0">
                  <wp:extent cx="2585720" cy="1757045"/>
                  <wp:effectExtent l="0" t="0" r="5080" b="8255"/>
                  <wp:docPr id="79" name="图片 8" descr="C:/Users/HUAWEI/Desktop/图片10.png图片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图片 8" descr="C:/Users/HUAWEI/Desktop/图片10.png图片10"/>
                          <pic:cNvPicPr>
                            <a:picLocks noChangeAspect="true"/>
                          </pic:cNvPicPr>
                        </pic:nvPicPr>
                        <pic:blipFill>
                          <a:blip r:embed="rId57"/>
                          <a:srcRect l="2638" r="2638"/>
                          <a:stretch>
                            <a:fillRect/>
                          </a:stretch>
                        </pic:blipFill>
                        <pic:spPr>
                          <a:xfrm>
                            <a:off x="0" y="0"/>
                            <a:ext cx="2585720" cy="1757045"/>
                          </a:xfrm>
                          <a:prstGeom prst="rect">
                            <a:avLst/>
                          </a:prstGeom>
                        </pic:spPr>
                      </pic:pic>
                    </a:graphicData>
                  </a:graphic>
                </wp:inline>
              </w:drawing>
            </w:r>
          </w:p>
        </w:tc>
        <w:tc>
          <w:tcPr>
            <w:tcW w:w="4271" w:type="dxa"/>
          </w:tcPr>
          <w:p>
            <w:pPr>
              <w:pStyle w:val="29"/>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vertAlign w:val="baseline"/>
              </w:rPr>
            </w:pPr>
            <w:r>
              <w:rPr>
                <w:rFonts w:hint="eastAsia" w:ascii="Times New Roman" w:hAnsi="Times New Roman"/>
                <w:sz w:val="28"/>
                <w:szCs w:val="28"/>
              </w:rPr>
              <w:drawing>
                <wp:inline distT="0" distB="0" distL="0" distR="0">
                  <wp:extent cx="2603500" cy="1757045"/>
                  <wp:effectExtent l="0" t="0" r="0" b="8255"/>
                  <wp:docPr id="80" name="图片 0" descr="C:/Users/HUAWEI/Desktop/图片11.png图片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0" name="图片 0" descr="C:/Users/HUAWEI/Desktop/图片11.png图片11"/>
                          <pic:cNvPicPr>
                            <a:picLocks noChangeAspect="true"/>
                          </pic:cNvPicPr>
                        </pic:nvPicPr>
                        <pic:blipFill>
                          <a:blip r:embed="rId58"/>
                          <a:srcRect l="2819" r="2819"/>
                          <a:stretch>
                            <a:fillRect/>
                          </a:stretch>
                        </pic:blipFill>
                        <pic:spPr>
                          <a:xfrm>
                            <a:off x="0" y="0"/>
                            <a:ext cx="2603500" cy="17570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vAlign w:val="center"/>
          </w:tcPr>
          <w:p>
            <w:pPr>
              <w:pStyle w:val="8"/>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rPr>
                <w:rFonts w:hint="default" w:ascii="Times New Roman" w:hAnsi="Times New Roman"/>
                <w:vertAlign w:val="baseline"/>
                <w:lang w:val="en-US"/>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28</w:t>
            </w:r>
            <w:r>
              <w:rPr>
                <w:rFonts w:hint="eastAsia" w:ascii="Times New Roman" w:hAnsi="Times New Roman" w:eastAsia="楷体" w:cs="楷体"/>
                <w:sz w:val="24"/>
                <w:szCs w:val="24"/>
              </w:rPr>
              <w:fldChar w:fldCharType="end"/>
            </w:r>
            <w:bookmarkStart w:id="296" w:name="_Toc29240"/>
            <w:r>
              <w:rPr>
                <w:rFonts w:hint="eastAsia" w:ascii="Times New Roman" w:hAnsi="Times New Roman" w:eastAsia="楷体" w:cs="楷体"/>
                <w:sz w:val="24"/>
                <w:szCs w:val="24"/>
                <w:lang w:eastAsia="zh-CN"/>
              </w:rPr>
              <w:t xml:space="preserve"> </w:t>
            </w:r>
            <w:r>
              <w:rPr>
                <w:rFonts w:hint="eastAsia" w:ascii="Times New Roman" w:hAnsi="Times New Roman" w:eastAsia="楷体" w:cs="楷体"/>
                <w:sz w:val="24"/>
                <w:szCs w:val="24"/>
                <w:lang w:val="en-US" w:eastAsia="zh-CN"/>
              </w:rPr>
              <w:t>部分学校校企合作签约仪式</w:t>
            </w:r>
            <w:bookmarkEnd w:id="296"/>
          </w:p>
        </w:tc>
      </w:tr>
    </w:tbl>
    <w:p>
      <w:pPr>
        <w:keepNext w:val="0"/>
        <w:keepLines w:val="0"/>
        <w:pageBreakBefore w:val="0"/>
        <w:widowControl w:val="0"/>
        <w:kinsoku/>
        <w:wordWrap/>
        <w:overflowPunct/>
        <w:topLinePunct w:val="0"/>
        <w:autoSpaceDE/>
        <w:autoSpaceDN/>
        <w:bidi w:val="0"/>
        <w:adjustRightInd/>
        <w:snapToGrid/>
        <w:spacing w:line="240" w:lineRule="atLeast"/>
        <w:textAlignment w:val="auto"/>
        <w:outlineLvl w:val="9"/>
        <w:rPr>
          <w:rFonts w:hint="default" w:ascii="Times New Roman" w:hAnsi="Times New Roman" w:eastAsia="宋体" w:cs="仿宋"/>
          <w:color w:val="auto"/>
          <w:sz w:val="24"/>
          <w:szCs w:val="24"/>
          <w:lang w:val="en-US" w:eastAsia="zh-CN"/>
        </w:rPr>
      </w:pPr>
    </w:p>
    <w:p>
      <w:pPr>
        <w:pStyle w:val="8"/>
        <w:keepNext w:val="0"/>
        <w:keepLines w:val="0"/>
        <w:pageBreakBefore w:val="0"/>
        <w:widowControl w:val="0"/>
        <w:kinsoku/>
        <w:wordWrap/>
        <w:overflowPunct/>
        <w:topLinePunct w:val="0"/>
        <w:autoSpaceDE/>
        <w:autoSpaceDN/>
        <w:bidi w:val="0"/>
        <w:adjustRightInd w:val="0"/>
        <w:snapToGrid w:val="0"/>
        <w:spacing w:line="480" w:lineRule="exact"/>
        <w:contextualSpacing/>
        <w:jc w:val="left"/>
        <w:textAlignment w:val="auto"/>
        <w:outlineLvl w:val="2"/>
        <w:rPr>
          <w:rFonts w:hint="eastAsia" w:ascii="黑体" w:hAnsi="黑体" w:eastAsia="黑体" w:cs="黑体"/>
          <w:b/>
          <w:bCs/>
          <w:color w:val="C55A11" w:themeColor="accent2" w:themeShade="BF"/>
          <w:sz w:val="24"/>
          <w:szCs w:val="24"/>
          <w:lang w:val="en-US" w:eastAsia="zh-CN"/>
        </w:rPr>
      </w:pPr>
      <w:r>
        <w:rPr>
          <w:rFonts w:hint="eastAsia" w:ascii="黑体" w:hAnsi="黑体" w:eastAsia="黑体" w:cs="黑体"/>
          <w:b/>
          <w:bCs/>
          <w:color w:val="C55A11" w:themeColor="accent2" w:themeShade="BF"/>
          <w:sz w:val="24"/>
          <w:szCs w:val="24"/>
          <w:lang w:eastAsia="zh-CN"/>
        </w:rPr>
        <w:t>【案例</w:t>
      </w:r>
      <w:r>
        <w:rPr>
          <w:rFonts w:hint="eastAsia" w:ascii="黑体" w:hAnsi="黑体" w:eastAsia="黑体" w:cs="黑体"/>
          <w:b/>
          <w:bCs/>
          <w:color w:val="C55A11" w:themeColor="accent2" w:themeShade="BF"/>
          <w:sz w:val="24"/>
          <w:szCs w:val="24"/>
          <w:lang w:eastAsia="zh-CN"/>
        </w:rPr>
        <w:fldChar w:fldCharType="begin"/>
      </w:r>
      <w:r>
        <w:rPr>
          <w:rFonts w:hint="eastAsia" w:ascii="黑体" w:hAnsi="黑体" w:eastAsia="黑体" w:cs="黑体"/>
          <w:b/>
          <w:bCs/>
          <w:color w:val="C55A11" w:themeColor="accent2" w:themeShade="BF"/>
          <w:sz w:val="24"/>
          <w:szCs w:val="24"/>
          <w:lang w:eastAsia="zh-CN"/>
        </w:rPr>
        <w:instrText xml:space="preserve"> SEQ 案例 \* ARABIC </w:instrText>
      </w:r>
      <w:r>
        <w:rPr>
          <w:rFonts w:hint="eastAsia" w:ascii="黑体" w:hAnsi="黑体" w:eastAsia="黑体" w:cs="黑体"/>
          <w:b/>
          <w:bCs/>
          <w:color w:val="C55A11" w:themeColor="accent2" w:themeShade="BF"/>
          <w:sz w:val="24"/>
          <w:szCs w:val="24"/>
          <w:lang w:eastAsia="zh-CN"/>
        </w:rPr>
        <w:fldChar w:fldCharType="separate"/>
      </w:r>
      <w:r>
        <w:rPr>
          <w:rFonts w:hint="eastAsia" w:ascii="黑体" w:hAnsi="黑体" w:eastAsia="黑体" w:cs="黑体"/>
          <w:b/>
          <w:bCs/>
          <w:color w:val="C55A11" w:themeColor="accent2" w:themeShade="BF"/>
          <w:sz w:val="24"/>
          <w:szCs w:val="24"/>
          <w:lang w:eastAsia="zh-CN"/>
        </w:rPr>
        <w:t>6</w:t>
      </w:r>
      <w:r>
        <w:rPr>
          <w:rFonts w:hint="eastAsia" w:ascii="黑体" w:hAnsi="黑体" w:eastAsia="黑体" w:cs="黑体"/>
          <w:b/>
          <w:bCs/>
          <w:color w:val="C55A11" w:themeColor="accent2" w:themeShade="BF"/>
          <w:sz w:val="24"/>
          <w:szCs w:val="24"/>
          <w:lang w:eastAsia="zh-CN"/>
        </w:rPr>
        <w:fldChar w:fldCharType="end"/>
      </w:r>
      <w:bookmarkStart w:id="297" w:name="_Toc5038"/>
      <w:r>
        <w:rPr>
          <w:rFonts w:hint="eastAsia" w:ascii="黑体" w:hAnsi="黑体" w:eastAsia="黑体" w:cs="黑体"/>
          <w:b/>
          <w:bCs/>
          <w:color w:val="C55A11" w:themeColor="accent2" w:themeShade="BF"/>
          <w:sz w:val="24"/>
          <w:szCs w:val="24"/>
          <w:lang w:val="en-US" w:eastAsia="zh-CN"/>
        </w:rPr>
        <w:t>】产教融合，学生实习就好业</w:t>
      </w:r>
      <w:bookmarkEnd w:id="297"/>
    </w:p>
    <w:p>
      <w:pPr>
        <w:pStyle w:val="8"/>
        <w:keepNext w:val="0"/>
        <w:keepLines w:val="0"/>
        <w:pageBreakBefore w:val="0"/>
        <w:widowControl w:val="0"/>
        <w:kinsoku/>
        <w:wordWrap/>
        <w:overflowPunct/>
        <w:topLinePunct w:val="0"/>
        <w:autoSpaceDE/>
        <w:autoSpaceDN/>
        <w:bidi w:val="0"/>
        <w:adjustRightInd w:val="0"/>
        <w:snapToGrid w:val="0"/>
        <w:spacing w:line="480" w:lineRule="exact"/>
        <w:contextualSpacing/>
        <w:jc w:val="right"/>
        <w:textAlignment w:val="auto"/>
        <w:outlineLvl w:val="2"/>
        <w:rPr>
          <w:rFonts w:hint="eastAsia" w:ascii="黑体" w:hAnsi="黑体" w:eastAsia="黑体" w:cs="黑体"/>
          <w:b/>
          <w:bCs/>
          <w:color w:val="C55A11" w:themeColor="accent2" w:themeShade="BF"/>
          <w:sz w:val="24"/>
          <w:szCs w:val="24"/>
          <w:lang w:val="en-US" w:eastAsia="zh-CN"/>
        </w:rPr>
      </w:pPr>
      <w:r>
        <w:rPr>
          <w:rFonts w:hint="eastAsia" w:ascii="黑体" w:hAnsi="黑体" w:eastAsia="黑体" w:cs="黑体"/>
          <w:b/>
          <w:bCs/>
          <w:color w:val="C55A11" w:themeColor="accent2" w:themeShade="BF"/>
          <w:sz w:val="24"/>
          <w:szCs w:val="24"/>
          <w:lang w:val="en-US" w:eastAsia="zh-CN"/>
        </w:rPr>
        <w:t>——遂宁鸿图电子电路技术职业学校</w:t>
      </w:r>
    </w:p>
    <w:p>
      <w:pPr>
        <w:keepNext w:val="0"/>
        <w:keepLines w:val="0"/>
        <w:pageBreakBefore w:val="0"/>
        <w:widowControl w:val="0"/>
        <w:kinsoku/>
        <w:wordWrap/>
        <w:overflowPunct/>
        <w:topLinePunct w:val="0"/>
        <w:autoSpaceDE/>
        <w:autoSpaceDN/>
        <w:bidi w:val="0"/>
        <w:adjustRightInd/>
        <w:snapToGrid/>
        <w:spacing w:after="95" w:afterLines="30"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鸿图职校坚持面向印制电路板行业急需紧缺技能人才岗位开设专业方向课程。以“把学校办进企业，把教室办进车间”为办学理念，构建了完善的体现“做中教、做中学、做中评”的理实一体化教学体系，突出实战和应用。目前学校已与电子电路行业优秀企业四川英创力、重庆方正、上海嘉捷通等48家企业签订了“产教融合校外实训基地”。所有参与顶岗实习的学生均和学校、企业签订了顶岗实习协议书，明确顶岗实习期间的权责、安全、保险、利益条款等，切实维护学生利益。学校与有长期良好合作的企业进行更深层次的合作：建立订单班，部分课程为校企共同开发，实习由专业课任课教师带队，由教师和企业人员严格按照教学计划进行实习实施。保障了学生学成后100%专业对口就业、100%岗位对口就业，在行业内赢得了良好的口碑，得到了企业的充分认可。</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1"/>
        <w:gridCol w:w="9"/>
        <w:gridCol w:w="42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51" w:type="dxa"/>
          </w:tcPr>
          <w:p>
            <w:pPr>
              <w:pStyle w:val="29"/>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vertAlign w:val="baseline"/>
              </w:rPr>
            </w:pPr>
            <w:r>
              <w:rPr>
                <w:rFonts w:hint="eastAsia" w:ascii="Times New Roman" w:hAnsi="Times New Roman"/>
                <w:sz w:val="28"/>
                <w:szCs w:val="28"/>
              </w:rPr>
              <w:drawing>
                <wp:inline distT="0" distB="0" distL="0" distR="0">
                  <wp:extent cx="2585720" cy="1757045"/>
                  <wp:effectExtent l="0" t="0" r="5080" b="8255"/>
                  <wp:docPr id="81" name="图片 8" descr="C:/Users/HUAWEI/Desktop/图片12.png图片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1" name="图片 8" descr="C:/Users/HUAWEI/Desktop/图片12.png图片12"/>
                          <pic:cNvPicPr>
                            <a:picLocks noChangeAspect="true"/>
                          </pic:cNvPicPr>
                        </pic:nvPicPr>
                        <pic:blipFill>
                          <a:blip r:embed="rId59"/>
                          <a:srcRect l="1120" r="1120"/>
                          <a:stretch>
                            <a:fillRect/>
                          </a:stretch>
                        </pic:blipFill>
                        <pic:spPr>
                          <a:xfrm>
                            <a:off x="0" y="0"/>
                            <a:ext cx="2585720" cy="1757045"/>
                          </a:xfrm>
                          <a:prstGeom prst="rect">
                            <a:avLst/>
                          </a:prstGeom>
                        </pic:spPr>
                      </pic:pic>
                    </a:graphicData>
                  </a:graphic>
                </wp:inline>
              </w:drawing>
            </w:r>
          </w:p>
        </w:tc>
        <w:tc>
          <w:tcPr>
            <w:tcW w:w="4271" w:type="dxa"/>
            <w:gridSpan w:val="2"/>
          </w:tcPr>
          <w:p>
            <w:pPr>
              <w:pStyle w:val="29"/>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vertAlign w:val="baseline"/>
              </w:rPr>
            </w:pPr>
            <w:r>
              <w:rPr>
                <w:rFonts w:hint="eastAsia" w:ascii="Times New Roman" w:hAnsi="Times New Roman"/>
                <w:sz w:val="28"/>
                <w:szCs w:val="28"/>
              </w:rPr>
              <w:drawing>
                <wp:inline distT="0" distB="0" distL="0" distR="0">
                  <wp:extent cx="2603500" cy="1757045"/>
                  <wp:effectExtent l="0" t="0" r="0" b="8255"/>
                  <wp:docPr id="82" name="图片 0" descr="C:/Users/HUAWEI/Desktop/图片13.png图片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2" name="图片 0" descr="C:/Users/HUAWEI/Desktop/图片13.png图片13"/>
                          <pic:cNvPicPr>
                            <a:picLocks noChangeAspect="true"/>
                          </pic:cNvPicPr>
                        </pic:nvPicPr>
                        <pic:blipFill>
                          <a:blip r:embed="rId60"/>
                          <a:srcRect l="2674" r="2674"/>
                          <a:stretch>
                            <a:fillRect/>
                          </a:stretch>
                        </pic:blipFill>
                        <pic:spPr>
                          <a:xfrm>
                            <a:off x="0" y="0"/>
                            <a:ext cx="2603500" cy="17570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gridSpan w:val="2"/>
            <w:vAlign w:val="center"/>
          </w:tcPr>
          <w:p>
            <w:pPr>
              <w:pStyle w:val="8"/>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rPr>
                <w:rFonts w:hint="default" w:ascii="Times New Roman" w:hAnsi="Times New Roman"/>
                <w:vertAlign w:val="baseline"/>
                <w:lang w:val="en-US"/>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29</w:t>
            </w:r>
            <w:r>
              <w:rPr>
                <w:rFonts w:hint="eastAsia" w:ascii="Times New Roman" w:hAnsi="Times New Roman" w:eastAsia="楷体" w:cs="楷体"/>
                <w:sz w:val="24"/>
                <w:szCs w:val="24"/>
              </w:rPr>
              <w:fldChar w:fldCharType="end"/>
            </w:r>
            <w:bookmarkStart w:id="298" w:name="_Toc23950"/>
            <w:r>
              <w:rPr>
                <w:rFonts w:hint="eastAsia" w:ascii="Times New Roman" w:hAnsi="Times New Roman" w:eastAsia="楷体" w:cs="楷体"/>
                <w:sz w:val="24"/>
                <w:szCs w:val="24"/>
                <w:lang w:eastAsia="zh-CN"/>
              </w:rPr>
              <w:t xml:space="preserve"> </w:t>
            </w:r>
            <w:r>
              <w:rPr>
                <w:rFonts w:hint="eastAsia" w:ascii="Times New Roman" w:hAnsi="Times New Roman" w:eastAsia="楷体" w:cs="楷体"/>
                <w:sz w:val="24"/>
                <w:szCs w:val="24"/>
                <w:lang w:val="en-US" w:eastAsia="zh-CN"/>
              </w:rPr>
              <w:t>学生在上海嘉捷通实习与就业</w:t>
            </w:r>
            <w:bookmarkEnd w:id="298"/>
          </w:p>
        </w:tc>
        <w:tc>
          <w:tcPr>
            <w:tcW w:w="4261" w:type="dxa"/>
            <w:vAlign w:val="center"/>
          </w:tcPr>
          <w:p>
            <w:pPr>
              <w:pStyle w:val="8"/>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rPr>
                <w:rFonts w:hint="eastAsia" w:ascii="Times New Roman" w:hAnsi="Times New Roman" w:eastAsia="楷体" w:cs="楷体"/>
                <w:sz w:val="24"/>
                <w:szCs w:val="24"/>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30</w:t>
            </w:r>
            <w:r>
              <w:rPr>
                <w:rFonts w:hint="eastAsia" w:ascii="Times New Roman" w:hAnsi="Times New Roman" w:eastAsia="楷体" w:cs="楷体"/>
                <w:sz w:val="24"/>
                <w:szCs w:val="24"/>
              </w:rPr>
              <w:fldChar w:fldCharType="end"/>
            </w:r>
            <w:bookmarkStart w:id="299" w:name="_Toc8085"/>
            <w:r>
              <w:rPr>
                <w:rFonts w:hint="eastAsia" w:ascii="Times New Roman" w:hAnsi="Times New Roman" w:eastAsia="楷体" w:cs="楷体"/>
                <w:sz w:val="24"/>
                <w:szCs w:val="24"/>
                <w:lang w:val="en-US" w:eastAsia="zh-CN"/>
              </w:rPr>
              <w:t xml:space="preserve"> 学生在重庆方正公司实习与就业</w:t>
            </w:r>
            <w:bookmarkEnd w:id="299"/>
          </w:p>
        </w:tc>
      </w:tr>
    </w:tbl>
    <w:p>
      <w:pPr>
        <w:pStyle w:val="8"/>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lang w:val="en-US" w:eastAsia="zh-CN"/>
        </w:rPr>
        <w:t xml:space="preserve">  </w:t>
      </w:r>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 xml:space="preserve">6.1.2 </w:t>
      </w:r>
      <w:bookmarkEnd w:id="292"/>
      <w:bookmarkEnd w:id="293"/>
      <w:bookmarkEnd w:id="294"/>
      <w:bookmarkEnd w:id="295"/>
      <w:r>
        <w:rPr>
          <w:rFonts w:hint="default" w:ascii="Times New Roman" w:hAnsi="Times New Roman" w:eastAsia="宋体" w:cs="Times New Roman"/>
          <w:b/>
          <w:bCs/>
          <w:color w:val="auto"/>
          <w:sz w:val="28"/>
          <w:szCs w:val="28"/>
          <w:highlight w:val="none"/>
          <w:lang w:val="en-US" w:eastAsia="zh-CN"/>
        </w:rPr>
        <w:t>推行集团化办学</w:t>
      </w:r>
      <w:r>
        <w:rPr>
          <w:rFonts w:hint="eastAsia" w:ascii="Times New Roman" w:hAnsi="Times New Roman" w:eastAsia="宋体" w:cs="Times New Roman"/>
          <w:b/>
          <w:bCs/>
          <w:color w:val="auto"/>
          <w:sz w:val="28"/>
          <w:szCs w:val="28"/>
          <w:highlight w:val="none"/>
          <w:lang w:val="en-US" w:eastAsia="zh-CN"/>
        </w:rPr>
        <w:t>，</w:t>
      </w:r>
      <w:r>
        <w:rPr>
          <w:rFonts w:hint="default" w:ascii="Times New Roman" w:hAnsi="Times New Roman" w:eastAsia="宋体" w:cs="Times New Roman"/>
          <w:b/>
          <w:bCs/>
          <w:color w:val="auto"/>
          <w:sz w:val="28"/>
          <w:szCs w:val="28"/>
          <w:highlight w:val="none"/>
          <w:lang w:val="en-US" w:eastAsia="zh-CN"/>
        </w:rPr>
        <w:t>校企协同育人</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default" w:ascii="Times New Roman" w:hAnsi="Times New Roman" w:eastAsia="宋体" w:cs="仿宋"/>
          <w:color w:val="auto"/>
          <w:sz w:val="24"/>
          <w:szCs w:val="24"/>
          <w:highlight w:val="none"/>
          <w:lang w:val="en-US" w:eastAsia="zh-CN"/>
        </w:rPr>
        <w:t>遂宁市先后建立了由职业院校和市内主要企业合作的遂宁市现代服务业职教集团、遂宁市先进制造业职教集团、射洪县职业教育集团、遂宁市旅游服务职教集团、遂宁市学前教育职教联盟、潼安职教联盟、成渝毗邻地区新能源汽车产教联盟等七个职教集团，以专业为纽带，重点院校为龙头，行业企业为骨干，对接遂宁市重点产业，实现集团化，集约化发展，充分利用职教集团优势培养服务产业发展的技能人才</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推动职业教育改革创新、提升职业教育经济贡献率、市场针对性和社会吸引力，提高和再造生产力，助推产业升级和企业竞争力提升。</w:t>
      </w:r>
    </w:p>
    <w:p>
      <w:pPr>
        <w:spacing w:line="560" w:lineRule="exact"/>
        <w:ind w:firstLine="602" w:firstLineChars="200"/>
        <w:outlineLvl w:val="1"/>
        <w:rPr>
          <w:rFonts w:hint="default" w:ascii="Times New Roman" w:hAnsi="Times New Roman" w:eastAsia="楷体" w:cs="Times New Roman"/>
          <w:b/>
          <w:bCs/>
          <w:color w:val="auto"/>
          <w:sz w:val="30"/>
          <w:szCs w:val="30"/>
          <w:highlight w:val="none"/>
          <w:lang w:val="en-US" w:eastAsia="zh-CN"/>
        </w:rPr>
      </w:pPr>
      <w:bookmarkStart w:id="300" w:name="_Toc9278"/>
      <w:r>
        <w:rPr>
          <w:rFonts w:hint="eastAsia" w:ascii="Times New Roman" w:hAnsi="Times New Roman" w:eastAsia="楷体" w:cs="Times New Roman"/>
          <w:b/>
          <w:bCs/>
          <w:color w:val="auto"/>
          <w:sz w:val="30"/>
          <w:szCs w:val="30"/>
          <w:highlight w:val="none"/>
          <w:lang w:val="en-US" w:eastAsia="zh-CN"/>
        </w:rPr>
        <w:t>6</w:t>
      </w:r>
      <w:r>
        <w:rPr>
          <w:rFonts w:hint="eastAsia" w:ascii="Times New Roman" w:hAnsi="Times New Roman" w:eastAsia="楷体" w:cs="Times New Roman"/>
          <w:b/>
          <w:bCs/>
          <w:color w:val="auto"/>
          <w:sz w:val="30"/>
          <w:szCs w:val="30"/>
          <w:highlight w:val="none"/>
        </w:rPr>
        <w:t>.</w:t>
      </w:r>
      <w:r>
        <w:rPr>
          <w:rFonts w:hint="eastAsia" w:ascii="Times New Roman" w:hAnsi="Times New Roman" w:eastAsia="楷体" w:cs="Times New Roman"/>
          <w:b/>
          <w:bCs/>
          <w:color w:val="auto"/>
          <w:sz w:val="30"/>
          <w:szCs w:val="30"/>
          <w:highlight w:val="none"/>
          <w:lang w:val="en-US" w:eastAsia="zh-CN"/>
        </w:rPr>
        <w:t>2 职普融通</w:t>
      </w:r>
      <w:bookmarkEnd w:id="300"/>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职普融通是通过普通高中和中职学校携手</w:t>
      </w:r>
      <w:r>
        <w:rPr>
          <w:rFonts w:hint="default" w:ascii="Times New Roman" w:hAnsi="Times New Roman" w:eastAsia="宋体" w:cs="仿宋"/>
          <w:color w:val="auto"/>
          <w:sz w:val="24"/>
          <w:szCs w:val="24"/>
          <w:highlight w:val="none"/>
          <w:lang w:val="en-US" w:eastAsia="zh-CN"/>
        </w:rPr>
        <w:t>合作，全面实施素质教育，着力提高学生的学习能力、实践能力和创新能力，促进学生主动适应社会，培养创新型、实用型、复合型人才的一种新型</w:t>
      </w:r>
      <w:r>
        <w:rPr>
          <w:rFonts w:hint="default" w:ascii="Times New Roman" w:hAnsi="Times New Roman" w:eastAsia="宋体" w:cs="仿宋"/>
          <w:color w:val="auto"/>
          <w:sz w:val="24"/>
          <w:szCs w:val="24"/>
          <w:highlight w:val="none"/>
          <w:lang w:val="en-US" w:eastAsia="zh-CN"/>
        </w:rPr>
        <w:fldChar w:fldCharType="begin"/>
      </w:r>
      <w:r>
        <w:rPr>
          <w:rFonts w:hint="default" w:ascii="Times New Roman" w:hAnsi="Times New Roman" w:eastAsia="宋体" w:cs="仿宋"/>
          <w:color w:val="auto"/>
          <w:sz w:val="24"/>
          <w:szCs w:val="24"/>
          <w:highlight w:val="none"/>
          <w:lang w:val="en-US" w:eastAsia="zh-CN"/>
        </w:rPr>
        <w:instrText xml:space="preserve"> HYPERLINK "http://www.so.com/s?q=%E5%8A%9E%E5%AD%A6%E6%A8%A1%E5%BC%8F&amp;ie=utf-8&amp;src=internal_wenda_recommend_textn" \t "/home/user/Documents\\x/_blank" </w:instrText>
      </w:r>
      <w:r>
        <w:rPr>
          <w:rFonts w:hint="default" w:ascii="Times New Roman" w:hAnsi="Times New Roman" w:eastAsia="宋体" w:cs="仿宋"/>
          <w:color w:val="auto"/>
          <w:sz w:val="24"/>
          <w:szCs w:val="24"/>
          <w:highlight w:val="none"/>
          <w:lang w:val="en-US" w:eastAsia="zh-CN"/>
        </w:rPr>
        <w:fldChar w:fldCharType="separate"/>
      </w:r>
      <w:r>
        <w:rPr>
          <w:rFonts w:hint="default" w:ascii="Times New Roman" w:hAnsi="Times New Roman" w:eastAsia="宋体" w:cs="仿宋"/>
          <w:color w:val="auto"/>
          <w:sz w:val="24"/>
          <w:szCs w:val="24"/>
          <w:highlight w:val="none"/>
          <w:lang w:val="en-US" w:eastAsia="zh-CN"/>
        </w:rPr>
        <w:t>办学模式</w:t>
      </w:r>
      <w:r>
        <w:rPr>
          <w:rFonts w:hint="default" w:ascii="Times New Roman" w:hAnsi="Times New Roman" w:eastAsia="宋体" w:cs="仿宋"/>
          <w:color w:val="auto"/>
          <w:sz w:val="24"/>
          <w:szCs w:val="24"/>
          <w:highlight w:val="none"/>
          <w:lang w:val="en-US" w:eastAsia="zh-CN"/>
        </w:rPr>
        <w:fldChar w:fldCharType="end"/>
      </w:r>
      <w:r>
        <w:rPr>
          <w:rFonts w:hint="default" w:ascii="Times New Roman" w:hAnsi="Times New Roman" w:eastAsia="宋体" w:cs="仿宋"/>
          <w:color w:val="auto"/>
          <w:sz w:val="24"/>
          <w:szCs w:val="24"/>
          <w:highlight w:val="none"/>
          <w:lang w:val="en-US" w:eastAsia="zh-CN"/>
        </w:rPr>
        <w:t>。</w:t>
      </w:r>
      <w:r>
        <w:rPr>
          <w:rFonts w:hint="eastAsia" w:ascii="Times New Roman" w:hAnsi="Times New Roman" w:eastAsia="宋体" w:cs="仿宋"/>
          <w:color w:val="auto"/>
          <w:sz w:val="24"/>
          <w:szCs w:val="24"/>
          <w:highlight w:val="none"/>
          <w:lang w:val="en-US" w:eastAsia="zh-CN"/>
        </w:rPr>
        <w:t>建立普通教育与职业教育融合衔接、互相贯通、多元立交的人才培养机制，为学生提供两次选择机会，促进学生多元发展。印发《遂宁市开展普职融通工作指导意见（试行）》的通知，制定了遂宁市普职融通试点班管理办法，开始推进遂宁市普职融通工作。</w:t>
      </w:r>
    </w:p>
    <w:p>
      <w:pPr>
        <w:spacing w:line="560" w:lineRule="exact"/>
        <w:ind w:firstLine="562" w:firstLineChars="200"/>
        <w:outlineLvl w:val="2"/>
        <w:rPr>
          <w:rFonts w:hint="default"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 xml:space="preserve">6.2.1 </w:t>
      </w:r>
      <w:r>
        <w:rPr>
          <w:rFonts w:hint="default" w:ascii="Times New Roman" w:hAnsi="Times New Roman" w:eastAsia="宋体" w:cs="Times New Roman"/>
          <w:b/>
          <w:bCs/>
          <w:color w:val="auto"/>
          <w:sz w:val="28"/>
          <w:szCs w:val="28"/>
          <w:highlight w:val="none"/>
          <w:lang w:val="en-US" w:eastAsia="zh-CN"/>
        </w:rPr>
        <w:t>资源共享</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default" w:ascii="Times New Roman" w:hAnsi="Times New Roman" w:eastAsia="宋体" w:cs="仿宋"/>
          <w:color w:val="auto"/>
          <w:sz w:val="24"/>
          <w:szCs w:val="24"/>
          <w:highlight w:val="none"/>
          <w:lang w:val="en-US" w:eastAsia="zh-CN"/>
        </w:rPr>
        <w:t>整合普职教育资源，促进普通高中和中职学校加强交流合作。鼓励普通高中和中职学校共享学科实验室、专用教室、图书馆、运动场和实训场</w:t>
      </w:r>
      <w:r>
        <w:rPr>
          <w:rFonts w:hint="eastAsia" w:ascii="Times New Roman" w:hAnsi="Times New Roman" w:eastAsia="宋体" w:cs="仿宋"/>
          <w:color w:val="auto"/>
          <w:sz w:val="24"/>
          <w:szCs w:val="24"/>
          <w:highlight w:val="none"/>
          <w:lang w:val="en-US" w:eastAsia="zh-CN"/>
        </w:rPr>
        <w:t>室</w:t>
      </w:r>
      <w:r>
        <w:rPr>
          <w:rFonts w:hint="default" w:ascii="Times New Roman" w:hAnsi="Times New Roman" w:eastAsia="宋体" w:cs="仿宋"/>
          <w:color w:val="auto"/>
          <w:sz w:val="24"/>
          <w:szCs w:val="24"/>
          <w:highlight w:val="none"/>
          <w:lang w:val="en-US" w:eastAsia="zh-CN"/>
        </w:rPr>
        <w:t>等教育资源</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为培养学生文化素养、职业技能、实践能力和创新创业能力提供教育教学设施等条件保障。</w:t>
      </w:r>
    </w:p>
    <w:p>
      <w:pPr>
        <w:spacing w:line="560" w:lineRule="exact"/>
        <w:ind w:firstLine="562" w:firstLineChars="200"/>
        <w:outlineLvl w:val="2"/>
        <w:rPr>
          <w:rFonts w:hint="default"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 xml:space="preserve">6.2.2 </w:t>
      </w:r>
      <w:r>
        <w:rPr>
          <w:rFonts w:hint="default" w:ascii="Times New Roman" w:hAnsi="Times New Roman" w:eastAsia="宋体" w:cs="Times New Roman"/>
          <w:b/>
          <w:bCs/>
          <w:color w:val="auto"/>
          <w:sz w:val="28"/>
          <w:szCs w:val="28"/>
          <w:highlight w:val="none"/>
          <w:lang w:val="en-US" w:eastAsia="zh-CN"/>
        </w:rPr>
        <w:t>教师互动</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 xml:space="preserve">鼓励普通高中和中职学校根据各自师资优势，建立教师交流制度，实行跨校走教，定期开展联合教研、课题研究和教育教学交流，研究确定普职融通的方式方法。 </w:t>
      </w:r>
    </w:p>
    <w:p>
      <w:pPr>
        <w:spacing w:line="560" w:lineRule="exact"/>
        <w:ind w:firstLine="562" w:firstLineChars="200"/>
        <w:outlineLvl w:val="2"/>
        <w:rPr>
          <w:rFonts w:hint="default"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 xml:space="preserve">6.2.3 </w:t>
      </w:r>
      <w:r>
        <w:rPr>
          <w:rFonts w:hint="default" w:ascii="Times New Roman" w:hAnsi="Times New Roman" w:eastAsia="宋体" w:cs="Times New Roman"/>
          <w:b/>
          <w:bCs/>
          <w:color w:val="auto"/>
          <w:sz w:val="28"/>
          <w:szCs w:val="28"/>
          <w:highlight w:val="none"/>
          <w:lang w:val="en-US" w:eastAsia="zh-CN"/>
        </w:rPr>
        <w:t>举办普职融通</w:t>
      </w:r>
      <w:r>
        <w:rPr>
          <w:rFonts w:hint="eastAsia" w:ascii="Times New Roman" w:hAnsi="Times New Roman" w:eastAsia="宋体" w:cs="Times New Roman"/>
          <w:b/>
          <w:bCs/>
          <w:color w:val="auto"/>
          <w:sz w:val="28"/>
          <w:szCs w:val="28"/>
          <w:highlight w:val="none"/>
          <w:lang w:val="en-US" w:eastAsia="zh-CN"/>
        </w:rPr>
        <w:t>试点</w:t>
      </w:r>
      <w:r>
        <w:rPr>
          <w:rFonts w:hint="default" w:ascii="Times New Roman" w:hAnsi="Times New Roman" w:eastAsia="宋体" w:cs="Times New Roman"/>
          <w:b/>
          <w:bCs/>
          <w:color w:val="auto"/>
          <w:sz w:val="28"/>
          <w:szCs w:val="28"/>
          <w:highlight w:val="none"/>
          <w:lang w:val="en-US" w:eastAsia="zh-CN"/>
        </w:rPr>
        <w:t>班</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普通高中和中职学校可相互借鉴育人优势，采取结对方式举办普职融通教育试点班。8所中职学校与10所普通高中学校，在作物生产技术、汽车运用与维修等11个专业的1255人参与普职融通试点。</w:t>
      </w:r>
    </w:p>
    <w:p>
      <w:pPr>
        <w:spacing w:line="560" w:lineRule="exact"/>
        <w:ind w:firstLine="562" w:firstLineChars="200"/>
        <w:outlineLvl w:val="2"/>
        <w:rPr>
          <w:rFonts w:hint="default"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 xml:space="preserve">6.2.4 </w:t>
      </w:r>
      <w:r>
        <w:rPr>
          <w:rFonts w:hint="default" w:ascii="Times New Roman" w:hAnsi="Times New Roman" w:eastAsia="宋体" w:cs="Times New Roman"/>
          <w:b/>
          <w:bCs/>
          <w:color w:val="auto"/>
          <w:sz w:val="28"/>
          <w:szCs w:val="28"/>
          <w:highlight w:val="none"/>
          <w:lang w:val="en-US" w:eastAsia="zh-CN"/>
        </w:rPr>
        <w:t>学籍互转</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普高学籍转中职学籍。尊重学生及家长的意愿，允许符合条件的学生自愿选择职业学校，不得限制学生自主选择到职业学校就读，也不得强制学生转学分流到职业学校就读。中职学籍转普高学籍。普职融通教育试点班学生可在高一年级下学期结束前提出申请到对口的普通高中学校就读，由中职学校会同对口普通高中学校共同研究、确定转入普通高中就读学生名单并公示后，报县（市、区） 教育行政部门、市直园区社事局审核批准。</w:t>
      </w:r>
    </w:p>
    <w:p>
      <w:pPr>
        <w:pStyle w:val="2"/>
        <w:rPr>
          <w:rFonts w:hint="eastAsia" w:ascii="Times New Roman" w:hAnsi="Times New Roman" w:eastAsia="宋体" w:cs="仿宋"/>
          <w:color w:val="auto"/>
          <w:sz w:val="24"/>
          <w:szCs w:val="24"/>
          <w:highlight w:val="none"/>
          <w:lang w:val="en-US" w:eastAsia="zh-CN"/>
        </w:rPr>
      </w:pPr>
    </w:p>
    <w:p>
      <w:pPr>
        <w:pStyle w:val="2"/>
        <w:rPr>
          <w:rFonts w:hint="eastAsia" w:ascii="Times New Roman" w:hAnsi="Times New Roman" w:eastAsia="宋体" w:cs="仿宋"/>
          <w:color w:val="auto"/>
          <w:sz w:val="24"/>
          <w:szCs w:val="24"/>
          <w:highlight w:val="none"/>
          <w:lang w:val="en-US" w:eastAsia="zh-CN"/>
        </w:rPr>
      </w:pPr>
    </w:p>
    <w:p>
      <w:pPr>
        <w:pStyle w:val="2"/>
        <w:rPr>
          <w:rFonts w:hint="eastAsia" w:ascii="Times New Roman" w:hAnsi="Times New Roman" w:eastAsia="宋体" w:cs="仿宋"/>
          <w:color w:val="auto"/>
          <w:sz w:val="24"/>
          <w:szCs w:val="24"/>
          <w:highlight w:val="none"/>
          <w:lang w:val="en-US" w:eastAsia="zh-CN"/>
        </w:rPr>
      </w:pPr>
    </w:p>
    <w:p>
      <w:pPr>
        <w:pStyle w:val="2"/>
        <w:rPr>
          <w:rFonts w:hint="eastAsia" w:ascii="Times New Roman" w:hAnsi="Times New Roman" w:eastAsia="宋体" w:cs="仿宋"/>
          <w:color w:val="auto"/>
          <w:sz w:val="24"/>
          <w:szCs w:val="24"/>
          <w:highlight w:val="none"/>
          <w:lang w:val="en-US" w:eastAsia="zh-CN"/>
        </w:rPr>
      </w:pPr>
    </w:p>
    <w:p>
      <w:pPr>
        <w:pStyle w:val="2"/>
        <w:rPr>
          <w:rFonts w:hint="eastAsia" w:ascii="Times New Roman" w:hAnsi="Times New Roman" w:eastAsia="宋体" w:cs="仿宋"/>
          <w:color w:val="auto"/>
          <w:sz w:val="24"/>
          <w:szCs w:val="24"/>
          <w:highlight w:val="none"/>
          <w:lang w:val="en-US" w:eastAsia="zh-CN"/>
        </w:rPr>
      </w:pPr>
    </w:p>
    <w:p>
      <w:pPr>
        <w:pStyle w:val="2"/>
        <w:rPr>
          <w:rFonts w:hint="eastAsia" w:ascii="Times New Roman" w:hAnsi="Times New Roman" w:eastAsia="宋体" w:cs="仿宋"/>
          <w:color w:val="auto"/>
          <w:sz w:val="24"/>
          <w:szCs w:val="24"/>
          <w:highlight w:val="none"/>
          <w:lang w:val="en-US" w:eastAsia="zh-CN"/>
        </w:rPr>
      </w:pPr>
    </w:p>
    <w:p>
      <w:pPr>
        <w:pStyle w:val="2"/>
        <w:rPr>
          <w:rFonts w:hint="eastAsia" w:ascii="Times New Roman" w:hAnsi="Times New Roman" w:eastAsia="宋体" w:cs="仿宋"/>
          <w:color w:val="auto"/>
          <w:sz w:val="24"/>
          <w:szCs w:val="24"/>
          <w:highlight w:val="none"/>
          <w:lang w:val="en-US" w:eastAsia="zh-CN"/>
        </w:rPr>
      </w:pPr>
    </w:p>
    <w:p>
      <w:pPr>
        <w:pStyle w:val="2"/>
        <w:rPr>
          <w:rFonts w:hint="eastAsia" w:ascii="Times New Roman" w:hAnsi="Times New Roman" w:eastAsia="宋体" w:cs="仿宋"/>
          <w:color w:val="auto"/>
          <w:sz w:val="24"/>
          <w:szCs w:val="24"/>
          <w:highlight w:val="none"/>
          <w:lang w:val="en-US" w:eastAsia="zh-CN"/>
        </w:rPr>
      </w:pPr>
    </w:p>
    <w:p>
      <w:pPr>
        <w:pStyle w:val="2"/>
        <w:rPr>
          <w:rFonts w:hint="eastAsia"/>
          <w:lang w:val="en-US" w:eastAsia="zh-CN"/>
        </w:rPr>
      </w:pPr>
    </w:p>
    <w:p>
      <w:pPr>
        <w:adjustRightInd w:val="0"/>
        <w:spacing w:line="560" w:lineRule="exact"/>
        <w:ind w:firstLine="642" w:firstLineChars="200"/>
        <w:outlineLvl w:val="0"/>
        <w:rPr>
          <w:rFonts w:hint="eastAsia" w:ascii="Times New Roman" w:hAnsi="Times New Roman" w:eastAsia="黑体" w:cs="Times New Roman"/>
          <w:b/>
          <w:bCs/>
          <w:color w:val="CE6B2A"/>
          <w:sz w:val="32"/>
          <w:szCs w:val="32"/>
          <w:highlight w:val="none"/>
          <w:lang w:val="en-US" w:eastAsia="zh-CN"/>
        </w:rPr>
      </w:pPr>
      <w:bookmarkStart w:id="301" w:name="_Toc30446"/>
      <w:bookmarkStart w:id="302" w:name="_Toc15373"/>
      <w:bookmarkStart w:id="303" w:name="_Toc26335"/>
      <w:bookmarkStart w:id="304" w:name="_Toc26621"/>
      <w:bookmarkStart w:id="305" w:name="_Toc5300"/>
      <w:bookmarkStart w:id="306" w:name="_Toc91576153"/>
      <w:bookmarkStart w:id="307" w:name="_Toc4084"/>
      <w:bookmarkStart w:id="308" w:name="_Toc4424"/>
      <w:bookmarkStart w:id="309" w:name="_Toc28508"/>
      <w:bookmarkStart w:id="310" w:name="_Toc16545"/>
      <w:r>
        <w:rPr>
          <w:rFonts w:hint="eastAsia" w:ascii="Times New Roman" w:hAnsi="Times New Roman" w:eastAsia="黑体" w:cs="Times New Roman"/>
          <w:b/>
          <w:bCs/>
          <w:color w:val="CE6B2A"/>
          <w:sz w:val="32"/>
          <w:szCs w:val="32"/>
          <w:highlight w:val="none"/>
          <w:lang w:val="en-US" w:eastAsia="zh-CN"/>
        </w:rPr>
        <w:t>7 发展保障</w:t>
      </w:r>
      <w:bookmarkEnd w:id="301"/>
      <w:bookmarkEnd w:id="302"/>
      <w:bookmarkEnd w:id="303"/>
      <w:bookmarkEnd w:id="304"/>
      <w:bookmarkEnd w:id="305"/>
      <w:bookmarkEnd w:id="306"/>
    </w:p>
    <w:p>
      <w:pPr>
        <w:spacing w:line="560" w:lineRule="exact"/>
        <w:ind w:firstLine="602" w:firstLineChars="200"/>
        <w:outlineLvl w:val="1"/>
        <w:rPr>
          <w:rFonts w:hint="eastAsia" w:ascii="Times New Roman" w:hAnsi="Times New Roman" w:eastAsia="楷体" w:cs="Times New Roman"/>
          <w:b/>
          <w:bCs/>
          <w:color w:val="auto"/>
          <w:sz w:val="30"/>
          <w:szCs w:val="30"/>
          <w:highlight w:val="none"/>
          <w:lang w:val="en-US" w:eastAsia="zh-CN"/>
        </w:rPr>
      </w:pPr>
      <w:bookmarkStart w:id="311" w:name="_Toc28572"/>
      <w:bookmarkStart w:id="312" w:name="_Toc91576154"/>
      <w:bookmarkStart w:id="313" w:name="_Toc19230"/>
      <w:bookmarkStart w:id="314" w:name="_Toc25895"/>
      <w:bookmarkStart w:id="315" w:name="_Toc18438"/>
      <w:bookmarkStart w:id="316" w:name="_Toc22485"/>
      <w:r>
        <w:rPr>
          <w:rFonts w:hint="eastAsia" w:ascii="Times New Roman" w:hAnsi="Times New Roman" w:eastAsia="楷体" w:cs="Times New Roman"/>
          <w:b/>
          <w:bCs/>
          <w:color w:val="auto"/>
          <w:sz w:val="30"/>
          <w:szCs w:val="30"/>
          <w:highlight w:val="none"/>
          <w:lang w:val="en-US" w:eastAsia="zh-CN"/>
        </w:rPr>
        <w:t>7.1 专业建设</w:t>
      </w:r>
      <w:bookmarkEnd w:id="311"/>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bookmarkStart w:id="317" w:name="_Toc5242"/>
      <w:bookmarkStart w:id="318" w:name="_Toc13356"/>
      <w:bookmarkStart w:id="319" w:name="_Toc91576143"/>
      <w:bookmarkStart w:id="320" w:name="_Toc24359"/>
      <w:bookmarkStart w:id="321" w:name="_Toc16630"/>
      <w:r>
        <w:rPr>
          <w:rFonts w:hint="eastAsia" w:ascii="Times New Roman" w:hAnsi="Times New Roman" w:eastAsia="宋体" w:cs="Times New Roman"/>
          <w:b/>
          <w:bCs/>
          <w:color w:val="auto"/>
          <w:sz w:val="28"/>
          <w:szCs w:val="28"/>
          <w:highlight w:val="none"/>
          <w:lang w:val="en-US" w:eastAsia="zh-CN"/>
        </w:rPr>
        <w:t>7.1.1 专业动态调整</w:t>
      </w:r>
      <w:bookmarkEnd w:id="317"/>
      <w:bookmarkEnd w:id="318"/>
      <w:bookmarkEnd w:id="319"/>
      <w:bookmarkEnd w:id="320"/>
      <w:bookmarkEnd w:id="321"/>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结合</w:t>
      </w:r>
      <w:r>
        <w:rPr>
          <w:rFonts w:hint="default" w:ascii="Times New Roman" w:hAnsi="Times New Roman" w:eastAsia="宋体" w:cs="仿宋"/>
          <w:color w:val="auto"/>
          <w:sz w:val="24"/>
          <w:szCs w:val="24"/>
          <w:highlight w:val="none"/>
          <w:lang w:val="en-US" w:eastAsia="zh-CN"/>
        </w:rPr>
        <w:t>遂宁着力构建</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5+1+N</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的现代产业体系</w:t>
      </w:r>
      <w:r>
        <w:rPr>
          <w:rFonts w:hint="eastAsia" w:ascii="Times New Roman" w:hAnsi="Times New Roman" w:eastAsia="宋体" w:cs="仿宋"/>
          <w:color w:val="auto"/>
          <w:sz w:val="24"/>
          <w:szCs w:val="24"/>
          <w:highlight w:val="none"/>
          <w:lang w:val="en-US" w:eastAsia="zh-CN"/>
        </w:rPr>
        <w:t>建设规划</w:t>
      </w:r>
      <w:r>
        <w:rPr>
          <w:rFonts w:hint="default" w:ascii="Times New Roman" w:hAnsi="Times New Roman" w:eastAsia="宋体" w:cs="仿宋"/>
          <w:color w:val="auto"/>
          <w:sz w:val="24"/>
          <w:szCs w:val="24"/>
          <w:highlight w:val="none"/>
          <w:lang w:val="en-US" w:eastAsia="zh-CN"/>
        </w:rPr>
        <w:t>，全面升级锂电新能源、食品饮料、电子信息、油气化工、装备制造五大主导产业，积极发展数字经济赋能实体经济，顺势布局低空经济、人工智能等未来产业</w:t>
      </w:r>
      <w:r>
        <w:rPr>
          <w:rFonts w:hint="eastAsia" w:ascii="Times New Roman" w:hAnsi="Times New Roman" w:eastAsia="宋体" w:cs="仿宋"/>
          <w:color w:val="auto"/>
          <w:sz w:val="24"/>
          <w:szCs w:val="24"/>
          <w:highlight w:val="none"/>
          <w:lang w:val="en-US" w:eastAsia="zh-CN"/>
        </w:rPr>
        <w:t>，不断优化中等职业学校专业结构。</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全市新增专业点8个，停办专业点11个。新增</w:t>
      </w:r>
      <w:r>
        <w:rPr>
          <w:rFonts w:hint="default" w:ascii="Times New Roman" w:hAnsi="Times New Roman" w:eastAsia="宋体" w:cs="仿宋"/>
          <w:color w:val="auto"/>
          <w:sz w:val="24"/>
          <w:szCs w:val="24"/>
          <w:highlight w:val="none"/>
          <w:lang w:val="en-US" w:eastAsia="zh-CN"/>
        </w:rPr>
        <w:t>智能设备运行与维护</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物联网技术应用</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智慧健康养老服务</w:t>
      </w:r>
      <w:r>
        <w:rPr>
          <w:rFonts w:hint="eastAsia" w:ascii="Times New Roman" w:hAnsi="Times New Roman" w:eastAsia="宋体" w:cs="仿宋"/>
          <w:color w:val="auto"/>
          <w:sz w:val="24"/>
          <w:szCs w:val="24"/>
          <w:highlight w:val="none"/>
          <w:lang w:val="en-US" w:eastAsia="zh-CN"/>
        </w:rPr>
        <w:t>等7个专业，停办作物生产技术、淡水养殖、油气开采等10个专业。2024学年遂宁市中等职业教育专业变动统计见表12。</w:t>
      </w:r>
    </w:p>
    <w:p>
      <w:pPr>
        <w:pStyle w:val="8"/>
        <w:spacing w:line="560" w:lineRule="exact"/>
        <w:jc w:val="center"/>
        <w:rPr>
          <w:rFonts w:hint="eastAsia" w:ascii="宋体" w:hAnsi="宋体" w:eastAsia="宋体" w:cs="宋体"/>
          <w:b/>
          <w:bCs/>
          <w:color w:val="auto"/>
          <w:sz w:val="21"/>
          <w:szCs w:val="21"/>
          <w:highlight w:val="none"/>
        </w:rPr>
      </w:pPr>
      <w:bookmarkStart w:id="322" w:name="_Toc11815"/>
      <w:r>
        <w:rPr>
          <w:rFonts w:hint="eastAsia" w:ascii="Times New Roman" w:hAnsi="Times New Roman" w:eastAsia="宋体" w:cs="宋体"/>
          <w:b/>
          <w:bCs/>
          <w:color w:val="auto"/>
          <w:sz w:val="21"/>
          <w:szCs w:val="21"/>
        </w:rPr>
        <w:t>表</w:t>
      </w:r>
      <w:r>
        <w:rPr>
          <w:rFonts w:hint="eastAsia" w:ascii="Times New Roman" w:hAnsi="Times New Roman" w:eastAsia="宋体" w:cs="宋体"/>
          <w:b/>
          <w:bCs/>
          <w:color w:val="auto"/>
          <w:sz w:val="21"/>
          <w:szCs w:val="21"/>
        </w:rPr>
        <w:fldChar w:fldCharType="begin"/>
      </w:r>
      <w:r>
        <w:rPr>
          <w:rFonts w:hint="eastAsia" w:ascii="Times New Roman" w:hAnsi="Times New Roman" w:eastAsia="宋体" w:cs="宋体"/>
          <w:b/>
          <w:bCs/>
          <w:color w:val="auto"/>
          <w:sz w:val="21"/>
          <w:szCs w:val="21"/>
        </w:rPr>
        <w:instrText xml:space="preserve"> SEQ 表 \* ARABIC </w:instrText>
      </w:r>
      <w:r>
        <w:rPr>
          <w:rFonts w:hint="eastAsia" w:ascii="Times New Roman" w:hAnsi="Times New Roman" w:eastAsia="宋体" w:cs="宋体"/>
          <w:b/>
          <w:bCs/>
          <w:color w:val="auto"/>
          <w:sz w:val="21"/>
          <w:szCs w:val="21"/>
        </w:rPr>
        <w:fldChar w:fldCharType="separate"/>
      </w:r>
      <w:r>
        <w:rPr>
          <w:rFonts w:hint="eastAsia" w:ascii="Times New Roman" w:hAnsi="Times New Roman" w:eastAsia="宋体" w:cs="宋体"/>
          <w:b/>
          <w:bCs/>
          <w:color w:val="auto"/>
          <w:sz w:val="21"/>
          <w:szCs w:val="21"/>
        </w:rPr>
        <w:t>12</w:t>
      </w:r>
      <w:r>
        <w:rPr>
          <w:rFonts w:hint="eastAsia" w:ascii="Times New Roman" w:hAnsi="Times New Roman" w:eastAsia="宋体" w:cs="宋体"/>
          <w:b/>
          <w:bCs/>
          <w:color w:val="auto"/>
          <w:sz w:val="21"/>
          <w:szCs w:val="21"/>
        </w:rPr>
        <w:fldChar w:fldCharType="end"/>
      </w:r>
      <w:bookmarkStart w:id="323" w:name="_Toc10053"/>
      <w:r>
        <w:rPr>
          <w:rFonts w:hint="eastAsia" w:ascii="Times New Roman" w:hAnsi="Times New Roman" w:eastAsia="宋体" w:cs="宋体"/>
          <w:b/>
          <w:bCs/>
          <w:color w:val="auto"/>
          <w:sz w:val="21"/>
          <w:szCs w:val="21"/>
          <w:lang w:val="en-US" w:eastAsia="zh-CN"/>
        </w:rPr>
        <w:t xml:space="preserve">  </w:t>
      </w:r>
      <w:r>
        <w:rPr>
          <w:rFonts w:hint="eastAsia" w:ascii="Times New Roman" w:hAnsi="Times New Roman" w:eastAsia="宋体" w:cs="宋体"/>
          <w:b/>
          <w:bCs/>
          <w:color w:val="auto"/>
          <w:sz w:val="21"/>
          <w:szCs w:val="21"/>
        </w:rPr>
        <w:t>202</w:t>
      </w:r>
      <w:r>
        <w:rPr>
          <w:rFonts w:hint="eastAsia" w:ascii="Times New Roman" w:hAnsi="Times New Roman" w:eastAsia="宋体" w:cs="宋体"/>
          <w:b/>
          <w:bCs/>
          <w:color w:val="auto"/>
          <w:sz w:val="21"/>
          <w:szCs w:val="21"/>
          <w:lang w:val="en-US" w:eastAsia="zh-CN"/>
        </w:rPr>
        <w:t>4</w:t>
      </w:r>
      <w:r>
        <w:rPr>
          <w:rFonts w:hint="eastAsia" w:ascii="Times New Roman" w:hAnsi="Times New Roman" w:eastAsia="宋体" w:cs="宋体"/>
          <w:b/>
          <w:bCs/>
          <w:color w:val="auto"/>
          <w:sz w:val="21"/>
          <w:szCs w:val="21"/>
        </w:rPr>
        <w:t>学</w:t>
      </w:r>
      <w:r>
        <w:rPr>
          <w:rFonts w:hint="eastAsia" w:ascii="宋体" w:hAnsi="宋体" w:eastAsia="宋体" w:cs="宋体"/>
          <w:b/>
          <w:bCs/>
          <w:color w:val="auto"/>
          <w:sz w:val="21"/>
          <w:szCs w:val="21"/>
        </w:rPr>
        <w:t>年遂宁市中等职</w:t>
      </w:r>
      <w:r>
        <w:rPr>
          <w:rFonts w:hint="eastAsia" w:ascii="宋体" w:hAnsi="宋体" w:eastAsia="宋体" w:cs="宋体"/>
          <w:b/>
          <w:bCs/>
          <w:color w:val="auto"/>
          <w:sz w:val="21"/>
          <w:szCs w:val="21"/>
          <w:highlight w:val="none"/>
        </w:rPr>
        <w:t>业教育专业变动统计</w:t>
      </w:r>
      <w:bookmarkEnd w:id="322"/>
      <w:bookmarkEnd w:id="323"/>
    </w:p>
    <w:p>
      <w:pPr>
        <w:pStyle w:val="40"/>
        <w:rPr>
          <w:color w:val="FF0000"/>
        </w:rPr>
      </w:pPr>
    </w:p>
    <w:tbl>
      <w:tblPr>
        <w:tblStyle w:val="31"/>
        <w:tblW w:w="8356" w:type="dxa"/>
        <w:jc w:val="center"/>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Layout w:type="autofit"/>
        <w:tblCellMar>
          <w:top w:w="0" w:type="dxa"/>
          <w:left w:w="108" w:type="dxa"/>
          <w:bottom w:w="0" w:type="dxa"/>
          <w:right w:w="108" w:type="dxa"/>
        </w:tblCellMar>
      </w:tblPr>
      <w:tblGrid>
        <w:gridCol w:w="3170"/>
        <w:gridCol w:w="3273"/>
        <w:gridCol w:w="1913"/>
      </w:tblGrid>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3170" w:type="dxa"/>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jc w:val="center"/>
              <w:rPr>
                <w:rFonts w:ascii="宋体" w:hAnsi="宋体" w:eastAsia="宋体" w:cs="宋体"/>
                <w:b/>
                <w:color w:val="000000"/>
                <w:sz w:val="18"/>
                <w:szCs w:val="18"/>
                <w:highlight w:val="none"/>
              </w:rPr>
            </w:pPr>
            <w:r>
              <w:rPr>
                <w:rFonts w:hint="eastAsia" w:ascii="宋体" w:hAnsi="宋体" w:eastAsia="宋体" w:cs="宋体"/>
                <w:b/>
                <w:color w:val="000000"/>
                <w:sz w:val="18"/>
                <w:szCs w:val="18"/>
                <w:highlight w:val="none"/>
              </w:rPr>
              <w:t>学校名称</w:t>
            </w:r>
          </w:p>
        </w:tc>
        <w:tc>
          <w:tcPr>
            <w:tcW w:w="3273" w:type="dxa"/>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jc w:val="center"/>
              <w:rPr>
                <w:rFonts w:ascii="宋体" w:hAnsi="宋体" w:eastAsia="宋体" w:cs="宋体"/>
                <w:b/>
                <w:color w:val="000000"/>
                <w:sz w:val="18"/>
                <w:szCs w:val="18"/>
                <w:highlight w:val="none"/>
              </w:rPr>
            </w:pPr>
            <w:r>
              <w:rPr>
                <w:rFonts w:hint="eastAsia" w:ascii="宋体" w:hAnsi="宋体" w:eastAsia="宋体" w:cs="宋体"/>
                <w:b/>
                <w:color w:val="000000"/>
                <w:sz w:val="18"/>
                <w:szCs w:val="18"/>
                <w:highlight w:val="none"/>
              </w:rPr>
              <w:t>专业名称</w:t>
            </w:r>
          </w:p>
        </w:tc>
        <w:tc>
          <w:tcPr>
            <w:tcW w:w="1913" w:type="dxa"/>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jc w:val="center"/>
              <w:rPr>
                <w:rFonts w:ascii="宋体" w:hAnsi="宋体" w:eastAsia="宋体" w:cs="宋体"/>
                <w:b/>
                <w:color w:val="000000"/>
                <w:sz w:val="18"/>
                <w:szCs w:val="18"/>
                <w:highlight w:val="none"/>
              </w:rPr>
            </w:pPr>
            <w:r>
              <w:rPr>
                <w:rFonts w:hint="eastAsia" w:ascii="宋体" w:hAnsi="宋体" w:eastAsia="宋体" w:cs="宋体"/>
                <w:b/>
                <w:color w:val="000000"/>
                <w:sz w:val="18"/>
                <w:szCs w:val="18"/>
                <w:highlight w:val="none"/>
              </w:rPr>
              <w:t>变动情况</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3170"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ascii="宋体" w:hAnsi="宋体" w:eastAsia="宋体" w:cs="宋体"/>
                <w:b w:val="0"/>
                <w:color w:val="000000"/>
                <w:sz w:val="18"/>
                <w:szCs w:val="18"/>
                <w:highlight w:val="none"/>
              </w:rPr>
            </w:pPr>
            <w:r>
              <w:rPr>
                <w:rFonts w:hint="eastAsia" w:ascii="宋体" w:hAnsi="宋体" w:eastAsia="宋体" w:cs="宋体"/>
                <w:b w:val="0"/>
                <w:color w:val="000000"/>
                <w:kern w:val="0"/>
                <w:sz w:val="18"/>
                <w:szCs w:val="18"/>
                <w:highlight w:val="none"/>
                <w:lang w:eastAsia="zh-CN"/>
              </w:rPr>
              <w:t>射洪旅游</w:t>
            </w:r>
            <w:r>
              <w:rPr>
                <w:rFonts w:hint="eastAsia" w:ascii="宋体" w:hAnsi="宋体" w:eastAsia="宋体" w:cs="宋体"/>
                <w:b w:val="0"/>
                <w:color w:val="000000"/>
                <w:kern w:val="0"/>
                <w:sz w:val="18"/>
                <w:szCs w:val="18"/>
                <w:highlight w:val="none"/>
              </w:rPr>
              <w:t>中等职业技术学校</w:t>
            </w:r>
          </w:p>
        </w:tc>
        <w:tc>
          <w:tcPr>
            <w:tcW w:w="327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lang w:eastAsia="zh-CN"/>
              </w:rPr>
            </w:pPr>
            <w:r>
              <w:rPr>
                <w:rFonts w:hint="eastAsia" w:ascii="宋体" w:hAnsi="宋体" w:eastAsia="宋体" w:cs="宋体"/>
                <w:b w:val="0"/>
                <w:color w:val="000000"/>
                <w:sz w:val="18"/>
                <w:szCs w:val="18"/>
                <w:highlight w:val="none"/>
                <w:lang w:eastAsia="zh-CN"/>
              </w:rPr>
              <w:t>直播电商</w:t>
            </w:r>
          </w:p>
        </w:tc>
        <w:tc>
          <w:tcPr>
            <w:tcW w:w="191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ascii="宋体" w:hAnsi="宋体" w:eastAsia="宋体" w:cs="宋体"/>
                <w:b w:val="0"/>
                <w:color w:val="000000"/>
                <w:sz w:val="18"/>
                <w:szCs w:val="18"/>
                <w:highlight w:val="none"/>
              </w:rPr>
            </w:pPr>
            <w:r>
              <w:rPr>
                <w:rFonts w:hint="eastAsia" w:ascii="宋体" w:hAnsi="宋体" w:eastAsia="宋体" w:cs="宋体"/>
                <w:b w:val="0"/>
                <w:color w:val="000000"/>
                <w:sz w:val="18"/>
                <w:szCs w:val="18"/>
                <w:highlight w:val="none"/>
              </w:rPr>
              <w:t>新增专业</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3170"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kern w:val="0"/>
                <w:sz w:val="18"/>
                <w:szCs w:val="18"/>
                <w:highlight w:val="none"/>
                <w:lang w:eastAsia="zh-CN"/>
              </w:rPr>
            </w:pPr>
            <w:r>
              <w:rPr>
                <w:rFonts w:hint="eastAsia" w:ascii="宋体" w:hAnsi="宋体" w:eastAsia="宋体" w:cs="宋体"/>
                <w:b w:val="0"/>
                <w:color w:val="000000"/>
                <w:kern w:val="0"/>
                <w:sz w:val="18"/>
                <w:szCs w:val="18"/>
                <w:highlight w:val="none"/>
                <w:lang w:eastAsia="zh-CN"/>
              </w:rPr>
              <w:t>四川蓬溪县中等职业技术学校</w:t>
            </w:r>
          </w:p>
        </w:tc>
        <w:tc>
          <w:tcPr>
            <w:tcW w:w="327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lang w:eastAsia="zh-CN"/>
              </w:rPr>
            </w:pPr>
            <w:r>
              <w:rPr>
                <w:rFonts w:hint="eastAsia" w:ascii="宋体" w:hAnsi="宋体" w:eastAsia="宋体" w:cs="宋体"/>
                <w:b w:val="0"/>
                <w:color w:val="000000"/>
                <w:sz w:val="18"/>
                <w:szCs w:val="18"/>
                <w:highlight w:val="none"/>
                <w:lang w:eastAsia="zh-CN"/>
              </w:rPr>
              <w:t>运动训练</w:t>
            </w:r>
          </w:p>
        </w:tc>
        <w:tc>
          <w:tcPr>
            <w:tcW w:w="191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rPr>
            </w:pPr>
            <w:r>
              <w:rPr>
                <w:rFonts w:hint="eastAsia" w:ascii="宋体" w:hAnsi="宋体" w:eastAsia="宋体" w:cs="宋体"/>
                <w:b w:val="0"/>
                <w:color w:val="000000"/>
                <w:sz w:val="18"/>
                <w:szCs w:val="18"/>
                <w:highlight w:val="none"/>
              </w:rPr>
              <w:t>新增专业</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3170"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ascii="宋体" w:hAnsi="宋体" w:eastAsia="宋体" w:cs="宋体"/>
                <w:b w:val="0"/>
                <w:color w:val="000000"/>
                <w:sz w:val="18"/>
                <w:szCs w:val="18"/>
                <w:highlight w:val="none"/>
              </w:rPr>
            </w:pPr>
            <w:r>
              <w:rPr>
                <w:rFonts w:hint="eastAsia" w:ascii="宋体" w:hAnsi="宋体" w:eastAsia="宋体" w:cs="宋体"/>
                <w:b w:val="0"/>
                <w:color w:val="000000"/>
                <w:kern w:val="0"/>
                <w:sz w:val="18"/>
                <w:szCs w:val="18"/>
                <w:highlight w:val="none"/>
              </w:rPr>
              <w:t>遂宁鸿图电子电路技术职业学校</w:t>
            </w:r>
          </w:p>
        </w:tc>
        <w:tc>
          <w:tcPr>
            <w:tcW w:w="327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rPr>
            </w:pPr>
            <w:r>
              <w:rPr>
                <w:rFonts w:hint="default" w:ascii="宋体" w:hAnsi="宋体" w:eastAsia="宋体" w:cs="宋体"/>
                <w:b w:val="0"/>
                <w:color w:val="000000"/>
                <w:sz w:val="18"/>
                <w:szCs w:val="18"/>
                <w:highlight w:val="none"/>
                <w:lang w:val="en-US" w:eastAsia="zh-CN"/>
              </w:rPr>
              <w:t>智能设备运行与维护</w:t>
            </w:r>
          </w:p>
        </w:tc>
        <w:tc>
          <w:tcPr>
            <w:tcW w:w="191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ascii="宋体" w:hAnsi="宋体" w:eastAsia="宋体" w:cs="宋体"/>
                <w:b w:val="0"/>
                <w:color w:val="000000"/>
                <w:sz w:val="18"/>
                <w:szCs w:val="18"/>
                <w:highlight w:val="none"/>
              </w:rPr>
            </w:pPr>
            <w:r>
              <w:rPr>
                <w:rFonts w:hint="eastAsia" w:ascii="宋体" w:hAnsi="宋体" w:eastAsia="宋体" w:cs="宋体"/>
                <w:b w:val="0"/>
                <w:color w:val="000000"/>
                <w:sz w:val="18"/>
                <w:szCs w:val="18"/>
                <w:highlight w:val="none"/>
              </w:rPr>
              <w:t>新增专业</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3170" w:type="dxa"/>
            <w:vMerge w:val="restar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lang w:eastAsia="zh-CN"/>
              </w:rPr>
            </w:pPr>
            <w:r>
              <w:rPr>
                <w:rFonts w:hint="eastAsia" w:ascii="宋体" w:hAnsi="宋体" w:eastAsia="宋体" w:cs="宋体"/>
                <w:b w:val="0"/>
                <w:color w:val="000000"/>
                <w:sz w:val="18"/>
                <w:szCs w:val="18"/>
                <w:highlight w:val="none"/>
                <w:lang w:eastAsia="zh-CN"/>
              </w:rPr>
              <w:t>遂宁市职业技术学校</w:t>
            </w:r>
          </w:p>
        </w:tc>
        <w:tc>
          <w:tcPr>
            <w:tcW w:w="327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lang w:eastAsia="zh-CN"/>
              </w:rPr>
            </w:pPr>
            <w:r>
              <w:rPr>
                <w:rFonts w:hint="default" w:ascii="宋体" w:hAnsi="宋体" w:eastAsia="宋体" w:cs="宋体"/>
                <w:b w:val="0"/>
                <w:color w:val="000000"/>
                <w:sz w:val="18"/>
                <w:szCs w:val="18"/>
                <w:highlight w:val="none"/>
                <w:lang w:val="en-US" w:eastAsia="zh-CN"/>
              </w:rPr>
              <w:t>无人机操控与维护</w:t>
            </w:r>
          </w:p>
        </w:tc>
        <w:tc>
          <w:tcPr>
            <w:tcW w:w="191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rPr>
            </w:pPr>
            <w:r>
              <w:rPr>
                <w:rFonts w:hint="eastAsia" w:ascii="宋体" w:hAnsi="宋体" w:eastAsia="宋体" w:cs="宋体"/>
                <w:b w:val="0"/>
                <w:color w:val="000000"/>
                <w:sz w:val="18"/>
                <w:szCs w:val="18"/>
                <w:highlight w:val="none"/>
              </w:rPr>
              <w:t>新增专业</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3170"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ascii="宋体" w:hAnsi="宋体" w:eastAsia="宋体" w:cs="宋体"/>
                <w:b w:val="0"/>
                <w:color w:val="000000"/>
                <w:sz w:val="18"/>
                <w:szCs w:val="18"/>
                <w:highlight w:val="none"/>
              </w:rPr>
            </w:pPr>
          </w:p>
        </w:tc>
        <w:tc>
          <w:tcPr>
            <w:tcW w:w="327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lang w:eastAsia="zh-CN"/>
              </w:rPr>
            </w:pPr>
            <w:r>
              <w:rPr>
                <w:rFonts w:hint="default" w:ascii="宋体" w:hAnsi="宋体" w:eastAsia="宋体" w:cs="宋体"/>
                <w:b w:val="0"/>
                <w:color w:val="000000"/>
                <w:sz w:val="18"/>
                <w:szCs w:val="18"/>
                <w:highlight w:val="none"/>
                <w:lang w:val="en-US" w:eastAsia="zh-CN"/>
              </w:rPr>
              <w:t>城市轨道交通车辆运用与检修</w:t>
            </w:r>
          </w:p>
        </w:tc>
        <w:tc>
          <w:tcPr>
            <w:tcW w:w="191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rPr>
            </w:pPr>
            <w:r>
              <w:rPr>
                <w:rFonts w:hint="eastAsia" w:ascii="宋体" w:hAnsi="宋体" w:eastAsia="宋体" w:cs="宋体"/>
                <w:b w:val="0"/>
                <w:color w:val="000000"/>
                <w:sz w:val="18"/>
                <w:szCs w:val="18"/>
                <w:highlight w:val="none"/>
              </w:rPr>
              <w:t>新增专业</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3170" w:type="dxa"/>
            <w:vMerge w:val="restar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ascii="宋体" w:hAnsi="宋体" w:eastAsia="宋体" w:cs="宋体"/>
                <w:b w:val="0"/>
                <w:color w:val="000000"/>
                <w:kern w:val="0"/>
                <w:sz w:val="18"/>
                <w:szCs w:val="18"/>
                <w:highlight w:val="none"/>
              </w:rPr>
            </w:pPr>
            <w:r>
              <w:rPr>
                <w:rFonts w:hint="eastAsia" w:ascii="宋体" w:hAnsi="宋体" w:eastAsia="宋体" w:cs="宋体"/>
                <w:b w:val="0"/>
                <w:color w:val="000000"/>
                <w:kern w:val="0"/>
                <w:sz w:val="18"/>
                <w:szCs w:val="18"/>
                <w:highlight w:val="none"/>
                <w:lang w:eastAsia="zh-CN"/>
              </w:rPr>
              <w:t>四川省安居职业高级中学校</w:t>
            </w:r>
          </w:p>
        </w:tc>
        <w:tc>
          <w:tcPr>
            <w:tcW w:w="327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lang w:val="en-US" w:eastAsia="zh-CN"/>
              </w:rPr>
            </w:pPr>
            <w:r>
              <w:rPr>
                <w:rFonts w:hint="default" w:ascii="宋体" w:hAnsi="宋体" w:eastAsia="宋体" w:cs="宋体"/>
                <w:b w:val="0"/>
                <w:color w:val="000000"/>
                <w:sz w:val="18"/>
                <w:szCs w:val="18"/>
                <w:highlight w:val="none"/>
                <w:lang w:eastAsia="zh-CN"/>
              </w:rPr>
              <w:t>智能设备运行与维护</w:t>
            </w:r>
          </w:p>
        </w:tc>
        <w:tc>
          <w:tcPr>
            <w:tcW w:w="191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lang w:bidi="ar"/>
              </w:rPr>
            </w:pPr>
            <w:r>
              <w:rPr>
                <w:rFonts w:hint="eastAsia" w:ascii="宋体" w:hAnsi="宋体" w:eastAsia="宋体" w:cs="宋体"/>
                <w:b w:val="0"/>
                <w:color w:val="000000"/>
                <w:sz w:val="18"/>
                <w:szCs w:val="18"/>
                <w:highlight w:val="none"/>
              </w:rPr>
              <w:t>新增专业</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3170"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ascii="宋体" w:hAnsi="宋体" w:eastAsia="宋体" w:cs="宋体"/>
                <w:b w:val="0"/>
                <w:color w:val="000000"/>
                <w:kern w:val="0"/>
                <w:sz w:val="18"/>
                <w:szCs w:val="18"/>
                <w:highlight w:val="none"/>
              </w:rPr>
            </w:pPr>
          </w:p>
        </w:tc>
        <w:tc>
          <w:tcPr>
            <w:tcW w:w="327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lang w:val="en-US" w:eastAsia="zh-CN"/>
              </w:rPr>
            </w:pPr>
            <w:r>
              <w:rPr>
                <w:rFonts w:hint="default" w:ascii="宋体" w:hAnsi="宋体" w:eastAsia="宋体" w:cs="宋体"/>
                <w:b w:val="0"/>
                <w:color w:val="000000"/>
                <w:sz w:val="18"/>
                <w:szCs w:val="18"/>
                <w:highlight w:val="none"/>
                <w:lang w:eastAsia="zh-CN"/>
              </w:rPr>
              <w:t>物联网技术应用</w:t>
            </w:r>
          </w:p>
        </w:tc>
        <w:tc>
          <w:tcPr>
            <w:tcW w:w="191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lang w:bidi="ar"/>
              </w:rPr>
            </w:pPr>
            <w:r>
              <w:rPr>
                <w:rFonts w:hint="eastAsia" w:ascii="宋体" w:hAnsi="宋体" w:eastAsia="宋体" w:cs="宋体"/>
                <w:b w:val="0"/>
                <w:color w:val="000000"/>
                <w:sz w:val="18"/>
                <w:szCs w:val="18"/>
                <w:highlight w:val="none"/>
              </w:rPr>
              <w:t>新增专业</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3170"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ascii="宋体" w:hAnsi="宋体" w:eastAsia="宋体" w:cs="宋体"/>
                <w:b w:val="0"/>
                <w:color w:val="000000"/>
                <w:kern w:val="0"/>
                <w:sz w:val="18"/>
                <w:szCs w:val="18"/>
                <w:highlight w:val="none"/>
              </w:rPr>
            </w:pPr>
          </w:p>
        </w:tc>
        <w:tc>
          <w:tcPr>
            <w:tcW w:w="327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lang w:val="en-US" w:eastAsia="zh-CN"/>
              </w:rPr>
            </w:pPr>
            <w:r>
              <w:rPr>
                <w:rFonts w:hint="default" w:ascii="宋体" w:hAnsi="宋体" w:eastAsia="宋体" w:cs="宋体"/>
                <w:b w:val="0"/>
                <w:color w:val="000000"/>
                <w:sz w:val="18"/>
                <w:szCs w:val="18"/>
                <w:highlight w:val="none"/>
                <w:lang w:eastAsia="zh-CN"/>
              </w:rPr>
              <w:t>智慧健康养老服务</w:t>
            </w:r>
          </w:p>
        </w:tc>
        <w:tc>
          <w:tcPr>
            <w:tcW w:w="191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lang w:bidi="ar"/>
              </w:rPr>
            </w:pPr>
            <w:r>
              <w:rPr>
                <w:rFonts w:hint="eastAsia" w:ascii="宋体" w:hAnsi="宋体" w:eastAsia="宋体" w:cs="宋体"/>
                <w:b w:val="0"/>
                <w:color w:val="000000"/>
                <w:sz w:val="18"/>
                <w:szCs w:val="18"/>
                <w:highlight w:val="none"/>
              </w:rPr>
              <w:t>新增专业</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3170" w:type="dxa"/>
            <w:vMerge w:val="restar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lang w:eastAsia="zh-CN"/>
              </w:rPr>
            </w:pPr>
            <w:r>
              <w:rPr>
                <w:rFonts w:hint="eastAsia" w:ascii="宋体" w:hAnsi="宋体" w:eastAsia="宋体" w:cs="宋体"/>
                <w:b w:val="0"/>
                <w:color w:val="000000"/>
                <w:sz w:val="18"/>
                <w:szCs w:val="18"/>
                <w:highlight w:val="none"/>
              </w:rPr>
              <w:t>遂宁机电职业技术学校</w:t>
            </w:r>
            <w:r>
              <w:rPr>
                <w:rFonts w:hint="eastAsia" w:ascii="宋体" w:hAnsi="宋体" w:eastAsia="宋体" w:cs="宋体"/>
                <w:b w:val="0"/>
                <w:color w:val="000000"/>
                <w:sz w:val="18"/>
                <w:szCs w:val="18"/>
                <w:highlight w:val="none"/>
                <w:lang w:eastAsia="zh-CN"/>
              </w:rPr>
              <w:t>（学校停办）</w:t>
            </w:r>
          </w:p>
        </w:tc>
        <w:tc>
          <w:tcPr>
            <w:tcW w:w="327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kern w:val="2"/>
                <w:sz w:val="18"/>
                <w:szCs w:val="18"/>
                <w:highlight w:val="none"/>
                <w:lang w:val="en-US" w:eastAsia="zh-CN" w:bidi="ar-SA"/>
              </w:rPr>
            </w:pPr>
            <w:r>
              <w:rPr>
                <w:rFonts w:hint="eastAsia" w:ascii="宋体" w:hAnsi="宋体" w:eastAsia="宋体" w:cs="宋体"/>
                <w:b w:val="0"/>
                <w:color w:val="000000"/>
                <w:sz w:val="18"/>
                <w:szCs w:val="18"/>
                <w:highlight w:val="none"/>
                <w:lang w:eastAsia="zh-CN"/>
              </w:rPr>
              <w:t>铁道运输服务</w:t>
            </w:r>
          </w:p>
        </w:tc>
        <w:tc>
          <w:tcPr>
            <w:tcW w:w="191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kern w:val="2"/>
                <w:sz w:val="18"/>
                <w:szCs w:val="18"/>
                <w:highlight w:val="none"/>
                <w:lang w:val="en-US" w:eastAsia="zh-CN" w:bidi="ar-SA"/>
              </w:rPr>
            </w:pPr>
            <w:r>
              <w:rPr>
                <w:rFonts w:hint="eastAsia" w:ascii="宋体" w:hAnsi="宋体" w:eastAsia="宋体" w:cs="宋体"/>
                <w:b w:val="0"/>
                <w:color w:val="000000"/>
                <w:sz w:val="18"/>
                <w:szCs w:val="18"/>
                <w:highlight w:val="none"/>
              </w:rPr>
              <w:t>停办专业</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3170"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rPr>
            </w:pPr>
          </w:p>
        </w:tc>
        <w:tc>
          <w:tcPr>
            <w:tcW w:w="327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rPr>
            </w:pPr>
            <w:r>
              <w:rPr>
                <w:rFonts w:hint="eastAsia" w:ascii="宋体" w:hAnsi="宋体" w:eastAsia="宋体" w:cs="宋体"/>
                <w:b w:val="0"/>
                <w:color w:val="000000"/>
                <w:sz w:val="18"/>
                <w:szCs w:val="18"/>
                <w:highlight w:val="none"/>
                <w:lang w:eastAsia="zh-CN"/>
              </w:rPr>
              <w:t>康养休闲旅游</w:t>
            </w:r>
          </w:p>
        </w:tc>
        <w:tc>
          <w:tcPr>
            <w:tcW w:w="191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rPr>
            </w:pPr>
            <w:r>
              <w:rPr>
                <w:rFonts w:hint="eastAsia" w:ascii="宋体" w:hAnsi="宋体" w:eastAsia="宋体" w:cs="宋体"/>
                <w:b w:val="0"/>
                <w:color w:val="000000"/>
                <w:sz w:val="18"/>
                <w:szCs w:val="18"/>
                <w:highlight w:val="none"/>
              </w:rPr>
              <w:t>停办专业</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3170"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rPr>
            </w:pPr>
          </w:p>
        </w:tc>
        <w:tc>
          <w:tcPr>
            <w:tcW w:w="327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rPr>
            </w:pPr>
            <w:r>
              <w:rPr>
                <w:rFonts w:hint="eastAsia" w:ascii="宋体" w:hAnsi="宋体" w:eastAsia="宋体" w:cs="宋体"/>
                <w:b w:val="0"/>
                <w:color w:val="000000"/>
                <w:sz w:val="18"/>
                <w:szCs w:val="18"/>
                <w:highlight w:val="none"/>
                <w:lang w:eastAsia="zh-CN"/>
              </w:rPr>
              <w:t>作物生产技术</w:t>
            </w:r>
          </w:p>
        </w:tc>
        <w:tc>
          <w:tcPr>
            <w:tcW w:w="191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rPr>
            </w:pPr>
            <w:r>
              <w:rPr>
                <w:rFonts w:hint="eastAsia" w:ascii="宋体" w:hAnsi="宋体" w:eastAsia="宋体" w:cs="宋体"/>
                <w:b w:val="0"/>
                <w:color w:val="000000"/>
                <w:sz w:val="18"/>
                <w:szCs w:val="18"/>
                <w:highlight w:val="none"/>
              </w:rPr>
              <w:t>停办专业</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3170"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rPr>
            </w:pPr>
          </w:p>
        </w:tc>
        <w:tc>
          <w:tcPr>
            <w:tcW w:w="327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rPr>
            </w:pPr>
            <w:r>
              <w:rPr>
                <w:rFonts w:hint="eastAsia" w:ascii="宋体" w:hAnsi="宋体" w:eastAsia="宋体" w:cs="宋体"/>
                <w:b w:val="0"/>
                <w:color w:val="000000"/>
                <w:sz w:val="18"/>
                <w:szCs w:val="18"/>
                <w:highlight w:val="none"/>
                <w:lang w:eastAsia="zh-CN"/>
              </w:rPr>
              <w:t>机电技术应用</w:t>
            </w:r>
          </w:p>
        </w:tc>
        <w:tc>
          <w:tcPr>
            <w:tcW w:w="191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rPr>
            </w:pPr>
            <w:r>
              <w:rPr>
                <w:rFonts w:hint="eastAsia" w:ascii="宋体" w:hAnsi="宋体" w:eastAsia="宋体" w:cs="宋体"/>
                <w:b w:val="0"/>
                <w:color w:val="000000"/>
                <w:sz w:val="18"/>
                <w:szCs w:val="18"/>
                <w:highlight w:val="none"/>
              </w:rPr>
              <w:t>停办专业</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3170"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rPr>
            </w:pPr>
          </w:p>
        </w:tc>
        <w:tc>
          <w:tcPr>
            <w:tcW w:w="327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rPr>
            </w:pPr>
            <w:r>
              <w:rPr>
                <w:rFonts w:hint="eastAsia" w:ascii="宋体" w:hAnsi="宋体" w:eastAsia="宋体" w:cs="宋体"/>
                <w:b w:val="0"/>
                <w:color w:val="000000"/>
                <w:sz w:val="18"/>
                <w:szCs w:val="18"/>
                <w:highlight w:val="none"/>
                <w:lang w:eastAsia="zh-CN"/>
              </w:rPr>
              <w:t>油气开采</w:t>
            </w:r>
          </w:p>
        </w:tc>
        <w:tc>
          <w:tcPr>
            <w:tcW w:w="191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rPr>
            </w:pPr>
            <w:r>
              <w:rPr>
                <w:rFonts w:hint="eastAsia" w:ascii="宋体" w:hAnsi="宋体" w:eastAsia="宋体" w:cs="宋体"/>
                <w:b w:val="0"/>
                <w:color w:val="000000"/>
                <w:sz w:val="18"/>
                <w:szCs w:val="18"/>
                <w:highlight w:val="none"/>
              </w:rPr>
              <w:t>停办专业</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3170" w:type="dxa"/>
            <w:vMerge w:val="restar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lang w:eastAsia="zh-CN"/>
              </w:rPr>
            </w:pPr>
            <w:r>
              <w:rPr>
                <w:rFonts w:hint="eastAsia" w:ascii="宋体" w:hAnsi="宋体" w:eastAsia="宋体" w:cs="宋体"/>
                <w:b w:val="0"/>
                <w:color w:val="000000"/>
                <w:sz w:val="18"/>
                <w:szCs w:val="18"/>
                <w:highlight w:val="none"/>
                <w:lang w:eastAsia="zh-CN"/>
              </w:rPr>
              <w:t>大英县蓝议科技职业技术学校</w:t>
            </w:r>
          </w:p>
        </w:tc>
        <w:tc>
          <w:tcPr>
            <w:tcW w:w="327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lang w:eastAsia="zh-CN"/>
              </w:rPr>
            </w:pPr>
            <w:r>
              <w:rPr>
                <w:rFonts w:hint="eastAsia" w:ascii="宋体" w:hAnsi="宋体" w:eastAsia="宋体" w:cs="宋体"/>
                <w:b w:val="0"/>
                <w:color w:val="000000"/>
                <w:sz w:val="18"/>
                <w:szCs w:val="18"/>
                <w:highlight w:val="none"/>
                <w:lang w:eastAsia="zh-CN"/>
              </w:rPr>
              <w:t>现代家政服务与管理</w:t>
            </w:r>
          </w:p>
        </w:tc>
        <w:tc>
          <w:tcPr>
            <w:tcW w:w="191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rPr>
            </w:pPr>
            <w:r>
              <w:rPr>
                <w:rFonts w:hint="eastAsia" w:ascii="宋体" w:hAnsi="宋体" w:eastAsia="宋体" w:cs="宋体"/>
                <w:b w:val="0"/>
                <w:color w:val="000000"/>
                <w:sz w:val="18"/>
                <w:szCs w:val="18"/>
                <w:highlight w:val="none"/>
              </w:rPr>
              <w:t>停办专业</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3170"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lang w:eastAsia="zh-CN"/>
              </w:rPr>
            </w:pPr>
          </w:p>
        </w:tc>
        <w:tc>
          <w:tcPr>
            <w:tcW w:w="327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lang w:eastAsia="zh-CN"/>
              </w:rPr>
            </w:pPr>
            <w:r>
              <w:rPr>
                <w:rFonts w:hint="eastAsia" w:ascii="宋体" w:hAnsi="宋体" w:eastAsia="宋体" w:cs="宋体"/>
                <w:b w:val="0"/>
                <w:color w:val="000000"/>
                <w:sz w:val="18"/>
                <w:szCs w:val="18"/>
                <w:highlight w:val="none"/>
                <w:lang w:eastAsia="zh-CN"/>
              </w:rPr>
              <w:t>社区公共事务管理</w:t>
            </w:r>
          </w:p>
        </w:tc>
        <w:tc>
          <w:tcPr>
            <w:tcW w:w="191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rPr>
            </w:pPr>
            <w:r>
              <w:rPr>
                <w:rFonts w:hint="eastAsia" w:ascii="宋体" w:hAnsi="宋体" w:eastAsia="宋体" w:cs="宋体"/>
                <w:b w:val="0"/>
                <w:color w:val="000000"/>
                <w:sz w:val="18"/>
                <w:szCs w:val="18"/>
                <w:highlight w:val="none"/>
              </w:rPr>
              <w:t>停办专业</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3170" w:type="dxa"/>
            <w:vMerge w:val="restart"/>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lang w:eastAsia="zh-CN"/>
              </w:rPr>
            </w:pPr>
            <w:r>
              <w:rPr>
                <w:rFonts w:hint="eastAsia" w:ascii="宋体" w:hAnsi="宋体" w:eastAsia="宋体" w:cs="宋体"/>
                <w:b w:val="0"/>
                <w:color w:val="000000"/>
                <w:sz w:val="18"/>
                <w:szCs w:val="18"/>
                <w:highlight w:val="none"/>
                <w:lang w:eastAsia="zh-CN"/>
              </w:rPr>
              <w:t>四川省大英县中等职业技术学校</w:t>
            </w:r>
          </w:p>
        </w:tc>
        <w:tc>
          <w:tcPr>
            <w:tcW w:w="327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lang w:eastAsia="zh-CN"/>
              </w:rPr>
            </w:pPr>
            <w:r>
              <w:rPr>
                <w:rFonts w:hint="eastAsia" w:ascii="宋体" w:hAnsi="宋体" w:eastAsia="宋体" w:cs="宋体"/>
                <w:b w:val="0"/>
                <w:color w:val="000000"/>
                <w:sz w:val="18"/>
                <w:szCs w:val="18"/>
                <w:highlight w:val="none"/>
                <w:lang w:eastAsia="zh-CN"/>
              </w:rPr>
              <w:t>机电技术应用</w:t>
            </w:r>
          </w:p>
        </w:tc>
        <w:tc>
          <w:tcPr>
            <w:tcW w:w="191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rPr>
            </w:pPr>
            <w:r>
              <w:rPr>
                <w:rFonts w:hint="eastAsia" w:ascii="宋体" w:hAnsi="宋体" w:eastAsia="宋体" w:cs="宋体"/>
                <w:b w:val="0"/>
                <w:color w:val="000000"/>
                <w:sz w:val="18"/>
                <w:szCs w:val="18"/>
                <w:highlight w:val="none"/>
              </w:rPr>
              <w:t>停办专业</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3170"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lang w:eastAsia="zh-CN"/>
              </w:rPr>
            </w:pPr>
          </w:p>
        </w:tc>
        <w:tc>
          <w:tcPr>
            <w:tcW w:w="327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lang w:eastAsia="zh-CN"/>
              </w:rPr>
            </w:pPr>
            <w:r>
              <w:rPr>
                <w:rFonts w:hint="eastAsia" w:ascii="宋体" w:hAnsi="宋体" w:eastAsia="宋体" w:cs="宋体"/>
                <w:b w:val="0"/>
                <w:color w:val="000000"/>
                <w:sz w:val="18"/>
                <w:szCs w:val="18"/>
                <w:highlight w:val="none"/>
                <w:lang w:eastAsia="zh-CN"/>
              </w:rPr>
              <w:t>淡水养殖</w:t>
            </w:r>
          </w:p>
        </w:tc>
        <w:tc>
          <w:tcPr>
            <w:tcW w:w="191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rPr>
            </w:pPr>
            <w:r>
              <w:rPr>
                <w:rFonts w:hint="eastAsia" w:ascii="宋体" w:hAnsi="宋体" w:eastAsia="宋体" w:cs="宋体"/>
                <w:b w:val="0"/>
                <w:color w:val="000000"/>
                <w:sz w:val="18"/>
                <w:szCs w:val="18"/>
                <w:highlight w:val="none"/>
              </w:rPr>
              <w:t>停办专业</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3170"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lang w:eastAsia="zh-CN"/>
              </w:rPr>
            </w:pPr>
          </w:p>
        </w:tc>
        <w:tc>
          <w:tcPr>
            <w:tcW w:w="327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lang w:eastAsia="zh-CN"/>
              </w:rPr>
            </w:pPr>
            <w:r>
              <w:rPr>
                <w:rFonts w:hint="eastAsia" w:ascii="宋体" w:hAnsi="宋体" w:eastAsia="宋体" w:cs="宋体"/>
                <w:b w:val="0"/>
                <w:color w:val="000000"/>
                <w:sz w:val="18"/>
                <w:szCs w:val="18"/>
                <w:highlight w:val="none"/>
                <w:lang w:eastAsia="zh-CN"/>
              </w:rPr>
              <w:t>石油炼制技术</w:t>
            </w:r>
          </w:p>
        </w:tc>
        <w:tc>
          <w:tcPr>
            <w:tcW w:w="191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rPr>
            </w:pPr>
            <w:r>
              <w:rPr>
                <w:rFonts w:hint="eastAsia" w:ascii="宋体" w:hAnsi="宋体" w:eastAsia="宋体" w:cs="宋体"/>
                <w:b w:val="0"/>
                <w:color w:val="000000"/>
                <w:sz w:val="18"/>
                <w:szCs w:val="18"/>
                <w:highlight w:val="none"/>
              </w:rPr>
              <w:t>停办专业</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jc w:val="center"/>
        </w:trPr>
        <w:tc>
          <w:tcPr>
            <w:tcW w:w="3170"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lang w:eastAsia="zh-CN"/>
              </w:rPr>
            </w:pPr>
          </w:p>
        </w:tc>
        <w:tc>
          <w:tcPr>
            <w:tcW w:w="327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lang w:eastAsia="zh-CN"/>
              </w:rPr>
            </w:pPr>
            <w:r>
              <w:rPr>
                <w:rFonts w:hint="eastAsia" w:ascii="宋体" w:hAnsi="宋体" w:eastAsia="宋体" w:cs="宋体"/>
                <w:b w:val="0"/>
                <w:color w:val="000000"/>
                <w:sz w:val="18"/>
                <w:szCs w:val="18"/>
                <w:highlight w:val="none"/>
                <w:lang w:eastAsia="zh-CN"/>
              </w:rPr>
              <w:t>电子商务</w:t>
            </w:r>
          </w:p>
        </w:tc>
        <w:tc>
          <w:tcPr>
            <w:tcW w:w="191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jc w:val="center"/>
              <w:rPr>
                <w:rFonts w:hint="eastAsia" w:ascii="宋体" w:hAnsi="宋体" w:eastAsia="宋体" w:cs="宋体"/>
                <w:b w:val="0"/>
                <w:color w:val="000000"/>
                <w:sz w:val="18"/>
                <w:szCs w:val="18"/>
                <w:highlight w:val="none"/>
              </w:rPr>
            </w:pPr>
            <w:r>
              <w:rPr>
                <w:rFonts w:hint="eastAsia" w:ascii="宋体" w:hAnsi="宋体" w:eastAsia="宋体" w:cs="宋体"/>
                <w:b w:val="0"/>
                <w:color w:val="000000"/>
                <w:sz w:val="18"/>
                <w:szCs w:val="18"/>
                <w:highlight w:val="none"/>
              </w:rPr>
              <w:t>停办专业</w:t>
            </w:r>
          </w:p>
        </w:tc>
      </w:tr>
    </w:tbl>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color w:val="FF0000"/>
          <w:sz w:val="18"/>
          <w:szCs w:val="18"/>
        </w:rPr>
      </w:pPr>
      <w:bookmarkStart w:id="324" w:name="_Toc91576144"/>
      <w:bookmarkStart w:id="325" w:name="_Toc21268"/>
      <w:bookmarkStart w:id="326" w:name="_Toc27230"/>
      <w:bookmarkStart w:id="327" w:name="_Toc28218"/>
      <w:bookmarkStart w:id="328" w:name="_Toc10159"/>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7.1.2 专业结构</w:t>
      </w:r>
      <w:bookmarkEnd w:id="324"/>
      <w:bookmarkEnd w:id="325"/>
      <w:bookmarkEnd w:id="326"/>
      <w:bookmarkEnd w:id="327"/>
      <w:bookmarkEnd w:id="328"/>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遂宁市中等职业教育共开设了14个专业大类，31个专业类，20个专业群，50个专业，111个专业点，有省级重点专业点8个：射洪市职业中专学校3个、大英县中等职业技术学校2个、遂宁市职业技术学校2个、安居职业高级中学校1个；省级示范专业点5个；市级重点专业点34个。</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遂宁市中等职业学校专业设置，第一产业9个专业点，占8.11%；第二产业40个专业点，占36.04%；第三产业62个专业点，占55.85%，主要以第二、三产业的专业为主。遂宁市中等职业教育专业结构与遂宁市产业结构的匹配度统计见表13。</w:t>
      </w:r>
    </w:p>
    <w:p>
      <w:pPr>
        <w:pStyle w:val="8"/>
        <w:spacing w:line="560" w:lineRule="exact"/>
        <w:jc w:val="center"/>
        <w:rPr>
          <w:rFonts w:hint="eastAsia" w:ascii="Times New Roman" w:hAnsi="Times New Roman" w:eastAsia="宋体" w:cs="宋体"/>
          <w:b/>
          <w:bCs/>
          <w:color w:val="auto"/>
          <w:sz w:val="21"/>
          <w:szCs w:val="21"/>
        </w:rPr>
      </w:pPr>
      <w:bookmarkStart w:id="329" w:name="_Toc9994"/>
      <w:r>
        <w:rPr>
          <w:rFonts w:hint="eastAsia" w:ascii="Times New Roman" w:hAnsi="Times New Roman" w:eastAsia="宋体" w:cs="宋体"/>
          <w:b/>
          <w:bCs/>
          <w:color w:val="auto"/>
          <w:sz w:val="21"/>
          <w:szCs w:val="21"/>
        </w:rPr>
        <w:t>表</w:t>
      </w:r>
      <w:r>
        <w:rPr>
          <w:rFonts w:hint="eastAsia" w:ascii="Times New Roman" w:hAnsi="Times New Roman" w:eastAsia="宋体" w:cs="宋体"/>
          <w:b/>
          <w:bCs/>
          <w:color w:val="auto"/>
          <w:sz w:val="21"/>
          <w:szCs w:val="21"/>
        </w:rPr>
        <w:fldChar w:fldCharType="begin"/>
      </w:r>
      <w:r>
        <w:rPr>
          <w:rFonts w:hint="eastAsia" w:ascii="Times New Roman" w:hAnsi="Times New Roman" w:eastAsia="宋体" w:cs="宋体"/>
          <w:b/>
          <w:bCs/>
          <w:color w:val="auto"/>
          <w:sz w:val="21"/>
          <w:szCs w:val="21"/>
        </w:rPr>
        <w:instrText xml:space="preserve"> SEQ 表 \* ARABIC </w:instrText>
      </w:r>
      <w:r>
        <w:rPr>
          <w:rFonts w:hint="eastAsia" w:ascii="Times New Roman" w:hAnsi="Times New Roman" w:eastAsia="宋体" w:cs="宋体"/>
          <w:b/>
          <w:bCs/>
          <w:color w:val="auto"/>
          <w:sz w:val="21"/>
          <w:szCs w:val="21"/>
        </w:rPr>
        <w:fldChar w:fldCharType="separate"/>
      </w:r>
      <w:r>
        <w:rPr>
          <w:rFonts w:hint="eastAsia" w:ascii="Times New Roman" w:hAnsi="Times New Roman" w:eastAsia="宋体" w:cs="宋体"/>
          <w:b/>
          <w:bCs/>
          <w:color w:val="auto"/>
          <w:sz w:val="21"/>
          <w:szCs w:val="21"/>
        </w:rPr>
        <w:t>13</w:t>
      </w:r>
      <w:r>
        <w:rPr>
          <w:rFonts w:hint="eastAsia" w:ascii="Times New Roman" w:hAnsi="Times New Roman" w:eastAsia="宋体" w:cs="宋体"/>
          <w:b/>
          <w:bCs/>
          <w:color w:val="auto"/>
          <w:sz w:val="21"/>
          <w:szCs w:val="21"/>
        </w:rPr>
        <w:fldChar w:fldCharType="end"/>
      </w:r>
      <w:bookmarkStart w:id="330" w:name="_Toc602"/>
      <w:r>
        <w:rPr>
          <w:rFonts w:hint="eastAsia" w:ascii="Times New Roman" w:hAnsi="Times New Roman" w:eastAsia="宋体" w:cs="宋体"/>
          <w:b/>
          <w:bCs/>
          <w:color w:val="auto"/>
          <w:sz w:val="21"/>
          <w:szCs w:val="21"/>
          <w:lang w:val="en-US" w:eastAsia="zh-CN"/>
        </w:rPr>
        <w:t xml:space="preserve">  </w:t>
      </w:r>
      <w:r>
        <w:rPr>
          <w:rFonts w:hint="eastAsia" w:ascii="Times New Roman" w:hAnsi="Times New Roman" w:eastAsia="宋体" w:cs="宋体"/>
          <w:b/>
          <w:bCs/>
          <w:color w:val="auto"/>
          <w:sz w:val="21"/>
          <w:szCs w:val="21"/>
        </w:rPr>
        <w:t>遂宁市产业结构与中职专业结构统计</w:t>
      </w:r>
      <w:bookmarkEnd w:id="329"/>
      <w:bookmarkEnd w:id="330"/>
    </w:p>
    <w:p>
      <w:pPr>
        <w:pStyle w:val="40"/>
        <w:rPr>
          <w:color w:val="FF0000"/>
        </w:rPr>
      </w:pPr>
    </w:p>
    <w:tbl>
      <w:tblPr>
        <w:tblStyle w:val="80"/>
        <w:tblW w:w="4892" w:type="pct"/>
        <w:jc w:val="center"/>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Layout w:type="fixed"/>
        <w:tblCellMar>
          <w:top w:w="0" w:type="dxa"/>
          <w:left w:w="108" w:type="dxa"/>
          <w:bottom w:w="0" w:type="dxa"/>
          <w:right w:w="108" w:type="dxa"/>
        </w:tblCellMar>
      </w:tblPr>
      <w:tblGrid>
        <w:gridCol w:w="1630"/>
        <w:gridCol w:w="2279"/>
        <w:gridCol w:w="2280"/>
        <w:gridCol w:w="2149"/>
      </w:tblGrid>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exact"/>
          <w:jc w:val="center"/>
        </w:trPr>
        <w:tc>
          <w:tcPr>
            <w:tcW w:w="1630" w:type="dxa"/>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pStyle w:val="8"/>
              <w:spacing w:line="240" w:lineRule="auto"/>
              <w:jc w:val="center"/>
              <w:rPr>
                <w:rFonts w:hint="eastAsia" w:ascii="宋体" w:hAnsi="宋体" w:eastAsia="宋体" w:cs="宋体"/>
                <w:b/>
                <w:bCs/>
                <w:color w:val="000000"/>
                <w:sz w:val="18"/>
                <w:szCs w:val="18"/>
              </w:rPr>
            </w:pPr>
            <w:r>
              <w:rPr>
                <w:rFonts w:hint="eastAsia" w:ascii="宋体" w:hAnsi="宋体" w:eastAsia="宋体" w:cs="宋体"/>
                <w:b/>
                <w:bCs/>
                <w:color w:val="000000"/>
                <w:sz w:val="18"/>
                <w:szCs w:val="18"/>
                <w:lang w:val="en-US" w:eastAsia="zh-CN"/>
              </w:rPr>
              <w:t>产业</w:t>
            </w:r>
            <w:r>
              <w:rPr>
                <w:rFonts w:hint="eastAsia" w:ascii="宋体" w:hAnsi="宋体" w:eastAsia="宋体" w:cs="宋体"/>
                <w:b/>
                <w:bCs/>
                <w:color w:val="000000"/>
                <w:sz w:val="18"/>
                <w:szCs w:val="18"/>
              </w:rPr>
              <w:t>类别</w:t>
            </w:r>
          </w:p>
        </w:tc>
        <w:tc>
          <w:tcPr>
            <w:tcW w:w="2279" w:type="dxa"/>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pStyle w:val="8"/>
              <w:spacing w:line="240" w:lineRule="auto"/>
              <w:jc w:val="center"/>
              <w:rPr>
                <w:rFonts w:hint="eastAsia" w:ascii="宋体" w:hAnsi="宋体" w:eastAsia="宋体" w:cs="宋体"/>
                <w:b/>
                <w:bCs/>
                <w:color w:val="000000"/>
                <w:sz w:val="18"/>
                <w:szCs w:val="18"/>
              </w:rPr>
            </w:pPr>
            <w:r>
              <w:rPr>
                <w:rFonts w:hint="eastAsia" w:ascii="宋体" w:hAnsi="宋体" w:eastAsia="宋体" w:cs="宋体"/>
                <w:b/>
                <w:bCs/>
                <w:color w:val="000000"/>
                <w:sz w:val="18"/>
                <w:szCs w:val="18"/>
              </w:rPr>
              <w:t>产业结构（%）</w:t>
            </w:r>
          </w:p>
        </w:tc>
        <w:tc>
          <w:tcPr>
            <w:tcW w:w="2280" w:type="dxa"/>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pStyle w:val="8"/>
              <w:spacing w:line="240" w:lineRule="auto"/>
              <w:jc w:val="center"/>
              <w:rPr>
                <w:rFonts w:hint="eastAsia" w:ascii="宋体" w:hAnsi="宋体" w:eastAsia="宋体" w:cs="宋体"/>
                <w:b/>
                <w:bCs/>
                <w:color w:val="000000"/>
                <w:sz w:val="18"/>
                <w:szCs w:val="18"/>
              </w:rPr>
            </w:pPr>
            <w:r>
              <w:rPr>
                <w:rFonts w:hint="eastAsia" w:ascii="宋体" w:hAnsi="宋体" w:eastAsia="宋体" w:cs="宋体"/>
                <w:b/>
                <w:bCs/>
                <w:color w:val="000000"/>
                <w:sz w:val="18"/>
                <w:szCs w:val="18"/>
              </w:rPr>
              <w:t>专业结构（%）</w:t>
            </w:r>
          </w:p>
        </w:tc>
        <w:tc>
          <w:tcPr>
            <w:tcW w:w="2149" w:type="dxa"/>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pStyle w:val="8"/>
              <w:spacing w:line="240" w:lineRule="auto"/>
              <w:jc w:val="center"/>
              <w:rPr>
                <w:rFonts w:hint="eastAsia" w:ascii="宋体" w:hAnsi="宋体" w:eastAsia="宋体" w:cs="宋体"/>
                <w:b/>
                <w:bCs/>
                <w:color w:val="000000"/>
                <w:sz w:val="18"/>
                <w:szCs w:val="18"/>
              </w:rPr>
            </w:pPr>
            <w:r>
              <w:rPr>
                <w:rFonts w:hint="eastAsia" w:ascii="宋体" w:hAnsi="宋体" w:eastAsia="宋体" w:cs="宋体"/>
                <w:b/>
                <w:bCs/>
                <w:color w:val="000000"/>
                <w:sz w:val="18"/>
                <w:szCs w:val="18"/>
              </w:rPr>
              <w:t>偏离度（%）</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exact"/>
          <w:jc w:val="center"/>
        </w:trPr>
        <w:tc>
          <w:tcPr>
            <w:tcW w:w="1630"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pStyle w:val="8"/>
              <w:spacing w:line="240" w:lineRule="auto"/>
              <w:jc w:val="center"/>
              <w:rPr>
                <w:rFonts w:hint="eastAsia" w:ascii="宋体" w:hAnsi="宋体" w:eastAsia="宋体" w:cs="宋体"/>
                <w:b w:val="0"/>
                <w:bCs/>
                <w:color w:val="000000"/>
                <w:sz w:val="18"/>
                <w:szCs w:val="18"/>
              </w:rPr>
            </w:pPr>
            <w:r>
              <w:rPr>
                <w:rFonts w:hint="eastAsia" w:ascii="宋体" w:hAnsi="宋体" w:eastAsia="宋体" w:cs="宋体"/>
                <w:b w:val="0"/>
                <w:bCs/>
                <w:color w:val="000000"/>
                <w:sz w:val="18"/>
                <w:szCs w:val="18"/>
              </w:rPr>
              <w:t>第一产业</w:t>
            </w:r>
          </w:p>
        </w:tc>
        <w:tc>
          <w:tcPr>
            <w:tcW w:w="2279"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pStyle w:val="8"/>
              <w:spacing w:line="240" w:lineRule="auto"/>
              <w:jc w:val="center"/>
              <w:rPr>
                <w:rFonts w:hint="eastAsia" w:ascii="宋体" w:hAnsi="宋体" w:eastAsia="宋体" w:cs="宋体"/>
                <w:b w:val="0"/>
                <w:bCs/>
                <w:color w:val="000000"/>
                <w:sz w:val="18"/>
                <w:szCs w:val="18"/>
                <w:lang w:val="en-US" w:eastAsia="zh-CN"/>
              </w:rPr>
            </w:pPr>
            <w:r>
              <w:rPr>
                <w:rFonts w:hint="eastAsia" w:ascii="宋体" w:hAnsi="宋体" w:eastAsia="宋体" w:cs="宋体"/>
                <w:b w:val="0"/>
                <w:bCs/>
                <w:color w:val="000000"/>
                <w:sz w:val="18"/>
                <w:szCs w:val="18"/>
                <w:lang w:val="en-US" w:eastAsia="zh-CN"/>
              </w:rPr>
              <w:t>12.80</w:t>
            </w:r>
          </w:p>
        </w:tc>
        <w:tc>
          <w:tcPr>
            <w:tcW w:w="2280"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pStyle w:val="8"/>
              <w:spacing w:line="240" w:lineRule="auto"/>
              <w:jc w:val="center"/>
              <w:rPr>
                <w:rFonts w:hint="eastAsia" w:ascii="宋体" w:hAnsi="宋体" w:eastAsia="宋体" w:cs="宋体"/>
                <w:b w:val="0"/>
                <w:bCs/>
                <w:color w:val="000000"/>
                <w:sz w:val="18"/>
                <w:szCs w:val="18"/>
                <w:lang w:val="en-US" w:eastAsia="zh-CN"/>
              </w:rPr>
            </w:pPr>
            <w:r>
              <w:rPr>
                <w:rFonts w:hint="eastAsia" w:ascii="宋体" w:hAnsi="宋体" w:eastAsia="宋体" w:cs="宋体"/>
                <w:b w:val="0"/>
                <w:bCs/>
                <w:color w:val="000000"/>
                <w:sz w:val="18"/>
                <w:szCs w:val="18"/>
                <w:lang w:val="en-US" w:eastAsia="zh-CN"/>
              </w:rPr>
              <w:t>8.11</w:t>
            </w:r>
          </w:p>
        </w:tc>
        <w:tc>
          <w:tcPr>
            <w:tcW w:w="2149"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pStyle w:val="8"/>
              <w:spacing w:line="240" w:lineRule="auto"/>
              <w:jc w:val="center"/>
              <w:rPr>
                <w:rFonts w:hint="eastAsia" w:ascii="宋体" w:hAnsi="宋体" w:eastAsia="宋体" w:cs="宋体"/>
                <w:b w:val="0"/>
                <w:bCs/>
                <w:color w:val="000000"/>
                <w:sz w:val="18"/>
                <w:szCs w:val="18"/>
                <w:lang w:val="en-US" w:eastAsia="zh-CN"/>
              </w:rPr>
            </w:pPr>
            <w:r>
              <w:rPr>
                <w:rFonts w:hint="eastAsia" w:ascii="宋体" w:hAnsi="宋体" w:eastAsia="宋体" w:cs="宋体"/>
                <w:b w:val="0"/>
                <w:bCs/>
                <w:color w:val="000000"/>
                <w:sz w:val="18"/>
                <w:szCs w:val="18"/>
                <w:lang w:val="en-US" w:eastAsia="zh-CN"/>
              </w:rPr>
              <w:t>-4.69</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exact"/>
          <w:jc w:val="center"/>
        </w:trPr>
        <w:tc>
          <w:tcPr>
            <w:tcW w:w="1630"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pStyle w:val="8"/>
              <w:spacing w:line="240" w:lineRule="auto"/>
              <w:jc w:val="center"/>
              <w:rPr>
                <w:rFonts w:hint="eastAsia" w:ascii="宋体" w:hAnsi="宋体" w:eastAsia="宋体" w:cs="宋体"/>
                <w:b w:val="0"/>
                <w:bCs/>
                <w:color w:val="000000"/>
                <w:sz w:val="18"/>
                <w:szCs w:val="18"/>
              </w:rPr>
            </w:pPr>
            <w:r>
              <w:rPr>
                <w:rFonts w:hint="eastAsia" w:ascii="宋体" w:hAnsi="宋体" w:eastAsia="宋体" w:cs="宋体"/>
                <w:b w:val="0"/>
                <w:bCs/>
                <w:color w:val="000000"/>
                <w:sz w:val="18"/>
                <w:szCs w:val="18"/>
              </w:rPr>
              <w:t>第二产业</w:t>
            </w:r>
          </w:p>
        </w:tc>
        <w:tc>
          <w:tcPr>
            <w:tcW w:w="2279"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pStyle w:val="8"/>
              <w:spacing w:line="240" w:lineRule="auto"/>
              <w:jc w:val="center"/>
              <w:rPr>
                <w:rFonts w:hint="eastAsia" w:ascii="宋体" w:hAnsi="宋体" w:eastAsia="宋体" w:cs="宋体"/>
                <w:b w:val="0"/>
                <w:bCs/>
                <w:color w:val="000000"/>
                <w:sz w:val="18"/>
                <w:szCs w:val="18"/>
                <w:lang w:val="en-US" w:eastAsia="zh-CN"/>
              </w:rPr>
            </w:pPr>
            <w:r>
              <w:rPr>
                <w:rFonts w:hint="eastAsia" w:ascii="宋体" w:hAnsi="宋体" w:eastAsia="宋体" w:cs="宋体"/>
                <w:b w:val="0"/>
                <w:bCs/>
                <w:color w:val="000000"/>
                <w:sz w:val="18"/>
                <w:szCs w:val="18"/>
                <w:lang w:val="en-US" w:eastAsia="zh-CN"/>
              </w:rPr>
              <w:t>44.50</w:t>
            </w:r>
          </w:p>
        </w:tc>
        <w:tc>
          <w:tcPr>
            <w:tcW w:w="2280"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pStyle w:val="8"/>
              <w:spacing w:line="240" w:lineRule="auto"/>
              <w:jc w:val="center"/>
              <w:rPr>
                <w:rFonts w:hint="eastAsia" w:ascii="宋体" w:hAnsi="宋体" w:eastAsia="宋体" w:cs="宋体"/>
                <w:b w:val="0"/>
                <w:bCs/>
                <w:color w:val="000000"/>
                <w:sz w:val="18"/>
                <w:szCs w:val="18"/>
                <w:lang w:val="en-US" w:eastAsia="zh-CN"/>
              </w:rPr>
            </w:pPr>
            <w:r>
              <w:rPr>
                <w:rFonts w:hint="eastAsia" w:ascii="宋体" w:hAnsi="宋体" w:eastAsia="宋体" w:cs="宋体"/>
                <w:b w:val="0"/>
                <w:bCs/>
                <w:color w:val="000000"/>
                <w:sz w:val="18"/>
                <w:szCs w:val="18"/>
                <w:lang w:val="en-US" w:eastAsia="zh-CN"/>
              </w:rPr>
              <w:t>36.04</w:t>
            </w:r>
          </w:p>
        </w:tc>
        <w:tc>
          <w:tcPr>
            <w:tcW w:w="2149"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pStyle w:val="8"/>
              <w:spacing w:line="240" w:lineRule="auto"/>
              <w:jc w:val="center"/>
              <w:rPr>
                <w:rFonts w:hint="eastAsia" w:ascii="宋体" w:hAnsi="宋体" w:eastAsia="宋体" w:cs="宋体"/>
                <w:b w:val="0"/>
                <w:bCs/>
                <w:color w:val="000000"/>
                <w:sz w:val="18"/>
                <w:szCs w:val="18"/>
                <w:lang w:val="en-US" w:eastAsia="zh-CN"/>
              </w:rPr>
            </w:pPr>
            <w:r>
              <w:rPr>
                <w:rFonts w:hint="eastAsia" w:ascii="宋体" w:hAnsi="宋体" w:eastAsia="宋体" w:cs="宋体"/>
                <w:b w:val="0"/>
                <w:bCs/>
                <w:color w:val="000000"/>
                <w:sz w:val="18"/>
                <w:szCs w:val="18"/>
                <w:lang w:val="en-US" w:eastAsia="zh-CN"/>
              </w:rPr>
              <w:t>-8.46</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exact"/>
          <w:jc w:val="center"/>
        </w:trPr>
        <w:tc>
          <w:tcPr>
            <w:tcW w:w="1630"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pStyle w:val="8"/>
              <w:spacing w:line="240" w:lineRule="auto"/>
              <w:jc w:val="center"/>
              <w:rPr>
                <w:rFonts w:hint="eastAsia" w:ascii="宋体" w:hAnsi="宋体" w:eastAsia="宋体" w:cs="宋体"/>
                <w:b w:val="0"/>
                <w:bCs/>
                <w:color w:val="000000"/>
                <w:sz w:val="18"/>
                <w:szCs w:val="18"/>
              </w:rPr>
            </w:pPr>
            <w:r>
              <w:rPr>
                <w:rFonts w:hint="eastAsia" w:ascii="宋体" w:hAnsi="宋体" w:eastAsia="宋体" w:cs="宋体"/>
                <w:b w:val="0"/>
                <w:bCs/>
                <w:color w:val="000000"/>
                <w:sz w:val="18"/>
                <w:szCs w:val="18"/>
              </w:rPr>
              <w:t>第三产业</w:t>
            </w:r>
          </w:p>
        </w:tc>
        <w:tc>
          <w:tcPr>
            <w:tcW w:w="2279"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pStyle w:val="8"/>
              <w:spacing w:line="240" w:lineRule="auto"/>
              <w:jc w:val="center"/>
              <w:rPr>
                <w:rFonts w:hint="eastAsia" w:ascii="宋体" w:hAnsi="宋体" w:eastAsia="宋体" w:cs="宋体"/>
                <w:b w:val="0"/>
                <w:bCs/>
                <w:color w:val="000000"/>
                <w:sz w:val="18"/>
                <w:szCs w:val="18"/>
                <w:lang w:val="en-US" w:eastAsia="zh-CN"/>
              </w:rPr>
            </w:pPr>
            <w:r>
              <w:rPr>
                <w:rFonts w:hint="eastAsia" w:ascii="宋体" w:hAnsi="宋体" w:eastAsia="宋体" w:cs="宋体"/>
                <w:b w:val="0"/>
                <w:bCs/>
                <w:color w:val="000000"/>
                <w:sz w:val="18"/>
                <w:szCs w:val="18"/>
                <w:lang w:val="en-US" w:eastAsia="zh-CN"/>
              </w:rPr>
              <w:t>42.70</w:t>
            </w:r>
          </w:p>
        </w:tc>
        <w:tc>
          <w:tcPr>
            <w:tcW w:w="2280"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pStyle w:val="8"/>
              <w:spacing w:line="240" w:lineRule="auto"/>
              <w:jc w:val="center"/>
              <w:rPr>
                <w:rFonts w:hint="eastAsia" w:ascii="宋体" w:hAnsi="宋体" w:eastAsia="宋体" w:cs="宋体"/>
                <w:b w:val="0"/>
                <w:bCs/>
                <w:color w:val="000000"/>
                <w:sz w:val="18"/>
                <w:szCs w:val="18"/>
                <w:lang w:val="en-US" w:eastAsia="zh-CN"/>
              </w:rPr>
            </w:pPr>
            <w:r>
              <w:rPr>
                <w:rFonts w:hint="eastAsia" w:ascii="宋体" w:hAnsi="宋体" w:eastAsia="宋体" w:cs="宋体"/>
                <w:b w:val="0"/>
                <w:bCs/>
                <w:color w:val="000000"/>
                <w:sz w:val="18"/>
                <w:szCs w:val="18"/>
                <w:lang w:val="en-US" w:eastAsia="zh-CN"/>
              </w:rPr>
              <w:t>55.86</w:t>
            </w:r>
          </w:p>
        </w:tc>
        <w:tc>
          <w:tcPr>
            <w:tcW w:w="2149"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pStyle w:val="8"/>
              <w:spacing w:line="240" w:lineRule="auto"/>
              <w:jc w:val="center"/>
              <w:rPr>
                <w:rFonts w:hint="eastAsia" w:ascii="宋体" w:hAnsi="宋体" w:eastAsia="宋体" w:cs="宋体"/>
                <w:b w:val="0"/>
                <w:bCs/>
                <w:color w:val="000000"/>
                <w:sz w:val="18"/>
                <w:szCs w:val="18"/>
                <w:lang w:val="en-US" w:eastAsia="zh-CN"/>
              </w:rPr>
            </w:pPr>
            <w:r>
              <w:rPr>
                <w:rFonts w:hint="eastAsia" w:ascii="宋体" w:hAnsi="宋体" w:eastAsia="宋体" w:cs="宋体"/>
                <w:b w:val="0"/>
                <w:bCs/>
                <w:color w:val="000000"/>
                <w:sz w:val="18"/>
                <w:szCs w:val="18"/>
                <w:lang w:val="en-US" w:eastAsia="zh-CN"/>
              </w:rPr>
              <w:t>+13.16</w:t>
            </w:r>
          </w:p>
        </w:tc>
      </w:tr>
    </w:tbl>
    <w:p>
      <w:pPr>
        <w:pStyle w:val="25"/>
        <w:keepNext w:val="0"/>
        <w:keepLines w:val="0"/>
        <w:pageBreakBefore w:val="0"/>
        <w:widowControl/>
        <w:kinsoku/>
        <w:wordWrap/>
        <w:overflowPunct/>
        <w:topLinePunct w:val="0"/>
        <w:autoSpaceDE/>
        <w:autoSpaceDN/>
        <w:bidi w:val="0"/>
        <w:adjustRightInd/>
        <w:snapToGrid/>
        <w:spacing w:before="0" w:beforeAutospacing="0" w:after="63" w:afterLines="20" w:afterAutospacing="0" w:line="560" w:lineRule="exact"/>
        <w:jc w:val="center"/>
        <w:textAlignment w:val="auto"/>
        <w:rPr>
          <w:rFonts w:ascii="Times New Roman" w:hAnsi="Times New Roman"/>
          <w:b/>
          <w:bCs/>
          <w:color w:val="auto"/>
          <w:sz w:val="18"/>
          <w:szCs w:val="18"/>
        </w:rPr>
      </w:pPr>
      <w:r>
        <w:rPr>
          <w:rFonts w:hint="eastAsia" w:ascii="Times New Roman" w:hAnsi="Times New Roman"/>
          <w:b/>
          <w:bCs/>
          <w:color w:val="auto"/>
          <w:sz w:val="18"/>
          <w:szCs w:val="18"/>
        </w:rPr>
        <w:t>注：各产业增加值的比重</w:t>
      </w:r>
      <w:bookmarkStart w:id="331" w:name="OLE_LINK41"/>
      <w:bookmarkStart w:id="332" w:name="OLE_LINK29"/>
      <w:bookmarkStart w:id="333" w:name="OLE_LINK49"/>
      <w:bookmarkStart w:id="334" w:name="OLE_LINK22"/>
      <w:bookmarkStart w:id="335" w:name="OLE_LINK23"/>
      <w:bookmarkStart w:id="336" w:name="OLE_LINK36"/>
      <w:r>
        <w:rPr>
          <w:rFonts w:hint="eastAsia" w:ascii="Times New Roman" w:hAnsi="Times New Roman"/>
          <w:b/>
          <w:bCs/>
          <w:color w:val="auto"/>
          <w:sz w:val="18"/>
          <w:szCs w:val="18"/>
        </w:rPr>
        <w:t>来源于遂宁市</w:t>
      </w:r>
      <w:bookmarkEnd w:id="331"/>
      <w:bookmarkEnd w:id="332"/>
      <w:bookmarkEnd w:id="333"/>
      <w:bookmarkEnd w:id="334"/>
      <w:bookmarkEnd w:id="335"/>
      <w:bookmarkEnd w:id="336"/>
      <w:r>
        <w:rPr>
          <w:rFonts w:hint="eastAsia" w:ascii="Times New Roman" w:hAnsi="Times New Roman"/>
          <w:b/>
          <w:bCs/>
          <w:color w:val="auto"/>
          <w:sz w:val="18"/>
          <w:szCs w:val="18"/>
        </w:rPr>
        <w:t>统</w:t>
      </w:r>
      <w:r>
        <w:rPr>
          <w:rFonts w:hint="eastAsia" w:ascii="Times New Roman" w:hAnsi="Times New Roman" w:eastAsia="宋体" w:cs="宋体"/>
          <w:b/>
          <w:bCs/>
          <w:color w:val="auto"/>
          <w:sz w:val="18"/>
          <w:szCs w:val="18"/>
        </w:rPr>
        <w:t>计局202</w:t>
      </w:r>
      <w:r>
        <w:rPr>
          <w:rFonts w:hint="eastAsia" w:ascii="Times New Roman" w:hAnsi="Times New Roman" w:cs="宋体"/>
          <w:b/>
          <w:bCs/>
          <w:color w:val="auto"/>
          <w:sz w:val="18"/>
          <w:szCs w:val="18"/>
          <w:lang w:val="en-US" w:eastAsia="zh-CN"/>
        </w:rPr>
        <w:t>4</w:t>
      </w:r>
      <w:r>
        <w:rPr>
          <w:rFonts w:hint="eastAsia" w:ascii="Times New Roman" w:hAnsi="Times New Roman" w:eastAsia="宋体" w:cs="宋体"/>
          <w:b/>
          <w:bCs/>
          <w:color w:val="auto"/>
          <w:sz w:val="18"/>
          <w:szCs w:val="18"/>
        </w:rPr>
        <w:t>年</w:t>
      </w:r>
      <w:r>
        <w:rPr>
          <w:rFonts w:hint="eastAsia" w:ascii="Times New Roman" w:hAnsi="Times New Roman" w:cs="宋体"/>
          <w:b/>
          <w:bCs/>
          <w:color w:val="auto"/>
          <w:sz w:val="18"/>
          <w:szCs w:val="18"/>
          <w:lang w:val="en-US" w:eastAsia="zh-CN"/>
        </w:rPr>
        <w:t>9</w:t>
      </w:r>
      <w:r>
        <w:rPr>
          <w:rFonts w:hint="eastAsia" w:ascii="Times New Roman" w:hAnsi="Times New Roman" w:eastAsia="宋体" w:cs="宋体"/>
          <w:b/>
          <w:bCs/>
          <w:color w:val="auto"/>
          <w:sz w:val="18"/>
          <w:szCs w:val="18"/>
        </w:rPr>
        <w:t>月发布统</w:t>
      </w:r>
      <w:r>
        <w:rPr>
          <w:rFonts w:hint="eastAsia" w:ascii="Times New Roman" w:hAnsi="Times New Roman"/>
          <w:b/>
          <w:bCs/>
          <w:color w:val="auto"/>
          <w:sz w:val="18"/>
          <w:szCs w:val="18"/>
        </w:rPr>
        <w:t>计数据</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遂宁市中等职业学校专业结构与产业结构存在一定偏差，第一产业、第二产业专业设置相对短缺，与产业结构的偏离度分别为-4.69和-8.46；第三产业专业较多，如作物生产技术、汽车运用与维修、计算机应用、旅游服务与管理等专业设置重复率较高，专业结构与遂宁市第三产业结构的偏离度为+13.16%。在后续的专业建设工作中，按照遂宁产业结构，优化区域教育专业结构，为地方经济建设提供技术技能人才。</w:t>
      </w:r>
    </w:p>
    <w:p>
      <w:pPr>
        <w:spacing w:line="560" w:lineRule="exact"/>
        <w:ind w:firstLine="602" w:firstLineChars="200"/>
        <w:outlineLvl w:val="1"/>
        <w:rPr>
          <w:rFonts w:hint="eastAsia" w:ascii="Times New Roman" w:hAnsi="Times New Roman" w:eastAsia="楷体" w:cs="Times New Roman"/>
          <w:b/>
          <w:bCs/>
          <w:color w:val="auto"/>
          <w:sz w:val="30"/>
          <w:szCs w:val="30"/>
          <w:highlight w:val="none"/>
        </w:rPr>
      </w:pPr>
      <w:bookmarkStart w:id="337" w:name="_Toc28569"/>
      <w:r>
        <w:rPr>
          <w:rFonts w:hint="eastAsia" w:ascii="Times New Roman" w:hAnsi="Times New Roman" w:eastAsia="楷体" w:cs="Times New Roman"/>
          <w:b/>
          <w:bCs/>
          <w:color w:val="auto"/>
          <w:sz w:val="30"/>
          <w:szCs w:val="30"/>
          <w:highlight w:val="none"/>
          <w:lang w:val="en-US" w:eastAsia="zh-CN"/>
        </w:rPr>
        <w:t>7</w:t>
      </w:r>
      <w:r>
        <w:rPr>
          <w:rFonts w:hint="eastAsia" w:ascii="Times New Roman" w:hAnsi="Times New Roman" w:eastAsia="楷体" w:cs="Times New Roman"/>
          <w:b/>
          <w:bCs/>
          <w:color w:val="auto"/>
          <w:sz w:val="30"/>
          <w:szCs w:val="30"/>
          <w:highlight w:val="none"/>
        </w:rPr>
        <w:t>.</w:t>
      </w:r>
      <w:r>
        <w:rPr>
          <w:rFonts w:hint="eastAsia" w:ascii="Times New Roman" w:hAnsi="Times New Roman" w:eastAsia="楷体" w:cs="Times New Roman"/>
          <w:b/>
          <w:bCs/>
          <w:color w:val="auto"/>
          <w:sz w:val="30"/>
          <w:szCs w:val="30"/>
          <w:highlight w:val="none"/>
          <w:lang w:val="en-US" w:eastAsia="zh-CN"/>
        </w:rPr>
        <w:t xml:space="preserve">2 </w:t>
      </w:r>
      <w:r>
        <w:rPr>
          <w:rFonts w:hint="eastAsia" w:ascii="Times New Roman" w:hAnsi="Times New Roman" w:eastAsia="楷体" w:cs="Times New Roman"/>
          <w:b/>
          <w:bCs/>
          <w:color w:val="auto"/>
          <w:sz w:val="30"/>
          <w:szCs w:val="30"/>
          <w:highlight w:val="none"/>
        </w:rPr>
        <w:t>师资建设</w:t>
      </w:r>
      <w:bookmarkEnd w:id="337"/>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bookmarkStart w:id="338" w:name="_Toc4277"/>
      <w:bookmarkStart w:id="339" w:name="_Toc2530"/>
      <w:bookmarkStart w:id="340" w:name="_Toc91576139"/>
      <w:bookmarkStart w:id="341" w:name="_Toc13604"/>
      <w:bookmarkStart w:id="342" w:name="_Toc12012"/>
      <w:r>
        <w:rPr>
          <w:rFonts w:hint="eastAsia" w:ascii="Times New Roman" w:hAnsi="Times New Roman" w:eastAsia="宋体" w:cs="Times New Roman"/>
          <w:b/>
          <w:bCs/>
          <w:color w:val="auto"/>
          <w:sz w:val="28"/>
          <w:szCs w:val="28"/>
          <w:highlight w:val="none"/>
          <w:lang w:val="en-US" w:eastAsia="zh-CN"/>
        </w:rPr>
        <w:t>7.2.1 教师培训</w:t>
      </w:r>
      <w:bookmarkEnd w:id="338"/>
      <w:bookmarkEnd w:id="339"/>
      <w:bookmarkEnd w:id="340"/>
      <w:bookmarkEnd w:id="341"/>
      <w:bookmarkEnd w:id="342"/>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遂宁市高度重视职业教育教师培训，2024年度投入教师培训中省项目资金54万元，市教师培训专项资金26万元，县级教师培训专项资金52元，校教师培训专项资金82万元，大师、名师工作室专项资金18万元。</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省级培训。参加课程实施能力提升培训2人、信息技术应用能力提升培训1人、“1+X”证书制度教师培训3人、公共基础课教学能力提升培训21人、校企双向交流１人、产业导师特聘培训5人、新入职教师示范性培训1人、大思政队伍育人能力提升培训4人、教师教学能力比赛专题培训2人、教学管理干部能力提升8人、职业院校教科研能力提升专题培训3人。通过培训，极大提高了教师的教育教学能力。市级培训。组织全市中职教师先后开展了“2024年遂宁市中职教师B1课程实施能力提升培训”“2024年遂宁市中职教师B2课程实施能力提升培训”“三名工程建设培训”，解读“双示范”重点建设任务、建设方法和验收指标体系，为推动三名工程建设提供了支撑。“遂宁市中等职业学校管理干部业务培训”“教师能力大赛提升培训”“班主任能力大赛提升培训”“双师型队伍建设培训”等，提升了教师的教育教学水平、参赛能力和管理水平。</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建立名师、大师工作室。遂宁职教持续实施名师建设工程，建立了4个省级名师、名校长工作室、7个省级名师工作站，工作站成员56人；8个市级名师（大师、班主任、校长）工作室，工作室成员53人；8个县级名师工作室，工作室成员66人；4个县级技能大师工作室，工作室成员34人</w:t>
      </w:r>
      <w:bookmarkStart w:id="343" w:name="_Toc16344"/>
      <w:bookmarkStart w:id="344" w:name="_Toc21769"/>
      <w:bookmarkStart w:id="345" w:name="_Toc91576140"/>
      <w:bookmarkStart w:id="346" w:name="_Toc14623"/>
      <w:bookmarkStart w:id="347" w:name="_Toc2673"/>
      <w:r>
        <w:rPr>
          <w:rFonts w:hint="eastAsia" w:ascii="Times New Roman" w:hAnsi="Times New Roman" w:eastAsia="宋体" w:cs="仿宋"/>
          <w:color w:val="auto"/>
          <w:sz w:val="24"/>
          <w:szCs w:val="24"/>
          <w:highlight w:val="none"/>
          <w:lang w:val="en-US" w:eastAsia="zh-CN"/>
        </w:rPr>
        <w:t>；10个遂州技术名师、遂州技术能手：安居职业高级中学校赵军、遂宁市职业技术学校聂兆伟；射洪市职业中专学校杨梅、安居职业高级中学校范双梅、蓬溪县中等职业技术学校王代兵、射洪市职业中专学校周玉、遂宁市职业技术学校邓玺；遂州技能之星：遂宁鸿图电子电路技术职业学校陈志勇、遂宁市职业技术学校王安安、安居职业高级中学校赵军。培养了一批数量充足、能引领示范的骨干教师队伍。</w:t>
      </w: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1"/>
        <w:gridCol w:w="42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51" w:type="dxa"/>
          </w:tcPr>
          <w:p>
            <w:pPr>
              <w:pStyle w:val="29"/>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vertAlign w:val="baseline"/>
              </w:rPr>
            </w:pPr>
            <w:r>
              <w:rPr>
                <w:rFonts w:hint="eastAsia" w:ascii="Times New Roman" w:hAnsi="Times New Roman"/>
                <w:sz w:val="28"/>
                <w:szCs w:val="28"/>
              </w:rPr>
              <w:drawing>
                <wp:inline distT="0" distB="0" distL="0" distR="0">
                  <wp:extent cx="2585720" cy="1757045"/>
                  <wp:effectExtent l="0" t="0" r="5080" b="8255"/>
                  <wp:docPr id="83" name="图片 8" descr="C:/Users/HUAWEI/Desktop/图片14.png图片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图片 8" descr="C:/Users/HUAWEI/Desktop/图片14.png图片14"/>
                          <pic:cNvPicPr>
                            <a:picLocks noChangeAspect="true"/>
                          </pic:cNvPicPr>
                        </pic:nvPicPr>
                        <pic:blipFill>
                          <a:blip r:embed="rId61"/>
                          <a:srcRect t="3671" b="3671"/>
                          <a:stretch>
                            <a:fillRect/>
                          </a:stretch>
                        </pic:blipFill>
                        <pic:spPr>
                          <a:xfrm>
                            <a:off x="0" y="0"/>
                            <a:ext cx="2585720" cy="1757045"/>
                          </a:xfrm>
                          <a:prstGeom prst="rect">
                            <a:avLst/>
                          </a:prstGeom>
                        </pic:spPr>
                      </pic:pic>
                    </a:graphicData>
                  </a:graphic>
                </wp:inline>
              </w:drawing>
            </w:r>
          </w:p>
        </w:tc>
        <w:tc>
          <w:tcPr>
            <w:tcW w:w="4271" w:type="dxa"/>
          </w:tcPr>
          <w:p>
            <w:pPr>
              <w:pStyle w:val="29"/>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vertAlign w:val="baseline"/>
              </w:rPr>
            </w:pPr>
            <w:r>
              <w:rPr>
                <w:rFonts w:hint="eastAsia" w:ascii="Times New Roman" w:hAnsi="Times New Roman"/>
                <w:sz w:val="28"/>
                <w:szCs w:val="28"/>
              </w:rPr>
              <w:drawing>
                <wp:inline distT="0" distB="0" distL="0" distR="0">
                  <wp:extent cx="2603500" cy="1757045"/>
                  <wp:effectExtent l="0" t="0" r="0" b="8255"/>
                  <wp:docPr id="84" name="图片 0" descr="C:/Users/HUAWEI/Desktop/图片15.png图片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 name="图片 0" descr="C:/Users/HUAWEI/Desktop/图片15.png图片15"/>
                          <pic:cNvPicPr>
                            <a:picLocks noChangeAspect="true"/>
                          </pic:cNvPicPr>
                        </pic:nvPicPr>
                        <pic:blipFill>
                          <a:blip r:embed="rId62"/>
                          <a:srcRect t="8256" b="8256"/>
                          <a:stretch>
                            <a:fillRect/>
                          </a:stretch>
                        </pic:blipFill>
                        <pic:spPr>
                          <a:xfrm>
                            <a:off x="0" y="0"/>
                            <a:ext cx="2603500" cy="17570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vAlign w:val="center"/>
          </w:tcPr>
          <w:p>
            <w:pPr>
              <w:pStyle w:val="8"/>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rPr>
                <w:rFonts w:hint="eastAsia" w:ascii="Times New Roman" w:hAnsi="Times New Roman" w:eastAsia="楷体" w:cs="楷体"/>
                <w:sz w:val="24"/>
                <w:szCs w:val="24"/>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31</w:t>
            </w:r>
            <w:r>
              <w:rPr>
                <w:rFonts w:hint="eastAsia" w:ascii="Times New Roman" w:hAnsi="Times New Roman" w:eastAsia="楷体" w:cs="楷体"/>
                <w:sz w:val="24"/>
                <w:szCs w:val="24"/>
              </w:rPr>
              <w:fldChar w:fldCharType="end"/>
            </w:r>
            <w:bookmarkStart w:id="348" w:name="_Toc5729"/>
            <w:r>
              <w:rPr>
                <w:rFonts w:hint="eastAsia" w:ascii="Times New Roman" w:hAnsi="Times New Roman" w:eastAsia="楷体" w:cs="楷体"/>
                <w:sz w:val="24"/>
                <w:szCs w:val="24"/>
                <w:lang w:eastAsia="zh-CN"/>
              </w:rPr>
              <w:t xml:space="preserve"> </w:t>
            </w:r>
            <w:r>
              <w:rPr>
                <w:rFonts w:hint="eastAsia" w:ascii="Times New Roman" w:hAnsi="Times New Roman" w:eastAsia="楷体" w:cs="楷体"/>
                <w:sz w:val="24"/>
                <w:szCs w:val="24"/>
                <w:lang w:val="en-US" w:eastAsia="zh-CN"/>
              </w:rPr>
              <w:t>2024年遂宁市中职教师B1/B2课程实施能力提升培训</w:t>
            </w:r>
            <w:bookmarkEnd w:id="348"/>
          </w:p>
        </w:tc>
      </w:tr>
    </w:tbl>
    <w:p>
      <w:pPr>
        <w:pStyle w:val="2"/>
        <w:keepNext w:val="0"/>
        <w:keepLines w:val="0"/>
        <w:pageBreakBefore w:val="0"/>
        <w:widowControl w:val="0"/>
        <w:kinsoku/>
        <w:wordWrap/>
        <w:overflowPunct/>
        <w:topLinePunct w:val="0"/>
        <w:autoSpaceDE/>
        <w:autoSpaceDN/>
        <w:bidi w:val="0"/>
        <w:adjustRightInd/>
        <w:snapToGrid/>
        <w:spacing w:after="0" w:line="240" w:lineRule="exact"/>
        <w:textAlignment w:val="auto"/>
        <w:rPr>
          <w:rFonts w:hint="eastAsia"/>
          <w:lang w:val="en-US" w:eastAsia="zh-CN"/>
        </w:rPr>
      </w:pPr>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7.2.2 教师竞赛</w:t>
      </w:r>
      <w:bookmarkEnd w:id="343"/>
      <w:bookmarkEnd w:id="344"/>
      <w:bookmarkEnd w:id="345"/>
      <w:bookmarkEnd w:id="346"/>
      <w:bookmarkEnd w:id="347"/>
      <w:r>
        <w:rPr>
          <w:rFonts w:hint="eastAsia" w:ascii="Times New Roman" w:hAnsi="Times New Roman" w:eastAsia="宋体" w:cs="Times New Roman"/>
          <w:b/>
          <w:bCs/>
          <w:color w:val="auto"/>
          <w:sz w:val="28"/>
          <w:szCs w:val="28"/>
          <w:highlight w:val="none"/>
          <w:lang w:val="en-US" w:eastAsia="zh-CN"/>
        </w:rPr>
        <w:t xml:space="preserve"> </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default" w:ascii="Times New Roman" w:hAnsi="Times New Roman" w:eastAsia="宋体" w:cs="仿宋"/>
          <w:color w:val="auto"/>
          <w:sz w:val="24"/>
          <w:szCs w:val="24"/>
          <w:highlight w:val="none"/>
          <w:lang w:val="en-US" w:eastAsia="zh-CN"/>
        </w:rPr>
        <w:t>全国职业院校教学能力比赛</w:t>
      </w:r>
      <w:r>
        <w:rPr>
          <w:rFonts w:hint="eastAsia" w:ascii="Times New Roman" w:hAnsi="Times New Roman" w:eastAsia="宋体" w:cs="仿宋"/>
          <w:color w:val="auto"/>
          <w:sz w:val="24"/>
          <w:szCs w:val="24"/>
          <w:highlight w:val="none"/>
          <w:lang w:val="en-US" w:eastAsia="zh-CN"/>
        </w:rPr>
        <w:t>中，</w:t>
      </w:r>
      <w:r>
        <w:rPr>
          <w:rFonts w:hint="default" w:ascii="Times New Roman" w:hAnsi="Times New Roman" w:eastAsia="宋体" w:cs="仿宋"/>
          <w:color w:val="auto"/>
          <w:sz w:val="24"/>
          <w:szCs w:val="24"/>
          <w:highlight w:val="none"/>
          <w:lang w:val="en-US" w:eastAsia="zh-CN"/>
        </w:rPr>
        <w:t>遂宁市职业技术学校语文教师团队勇夺一等奖，四川省射洪市职业中专学校幼儿保育团队斩获二等奖</w:t>
      </w:r>
      <w:r>
        <w:rPr>
          <w:rFonts w:hint="eastAsia" w:ascii="Times New Roman" w:hAnsi="Times New Roman" w:eastAsia="宋体" w:cs="仿宋"/>
          <w:color w:val="auto"/>
          <w:sz w:val="24"/>
          <w:szCs w:val="24"/>
          <w:highlight w:val="none"/>
          <w:lang w:val="en-US" w:eastAsia="zh-CN"/>
        </w:rPr>
        <w:t>。2024年组织遂宁市中等职业学校参加四川省教师教学能力大赛获得一等奖2个，二等奖3个，三等奖5个。组织参加四川省中等职业教育教师班主任能力比赛，获一等奖2个，二等奖2个，三等奖2个，遂宁市教育和体育局获优秀组织奖。组织参加四川省中等职业教育教师思想政治课程教师能力比赛，获一等奖1个，二等奖3个，三等奖1个，遂宁市教育和体育局获优秀组织奖。2024学年教师、班主任参加比赛获奖情况详见图32、表14、表15、表16、表17。</w:t>
      </w:r>
    </w:p>
    <w:p>
      <w:pPr>
        <w:pStyle w:val="8"/>
        <w:keepNext w:val="0"/>
        <w:keepLines w:val="0"/>
        <w:pageBreakBefore w:val="0"/>
        <w:widowControl w:val="0"/>
        <w:kinsoku/>
        <w:wordWrap/>
        <w:overflowPunct/>
        <w:topLinePunct w:val="0"/>
        <w:autoSpaceDE/>
        <w:autoSpaceDN/>
        <w:bidi w:val="0"/>
        <w:adjustRightInd/>
        <w:snapToGrid/>
        <w:spacing w:after="126" w:afterLines="40" w:line="560" w:lineRule="exact"/>
        <w:jc w:val="center"/>
        <w:textAlignment w:val="auto"/>
        <w:rPr>
          <w:rFonts w:hint="default" w:ascii="宋体" w:hAnsi="宋体" w:eastAsia="宋体" w:cs="宋体"/>
          <w:b/>
          <w:bCs/>
          <w:color w:val="auto"/>
          <w:sz w:val="21"/>
          <w:szCs w:val="21"/>
          <w:lang w:val="en-US" w:eastAsia="zh-CN"/>
        </w:rPr>
      </w:pPr>
      <w:bookmarkStart w:id="349" w:name="_Toc799"/>
      <w:r>
        <w:rPr>
          <w:rFonts w:hint="eastAsia" w:ascii="Times New Roman" w:hAnsi="Times New Roman" w:eastAsia="宋体" w:cs="宋体"/>
          <w:b/>
          <w:bCs/>
          <w:color w:val="auto"/>
          <w:sz w:val="21"/>
          <w:szCs w:val="21"/>
        </w:rPr>
        <w:t>表</w:t>
      </w:r>
      <w:r>
        <w:rPr>
          <w:rFonts w:hint="eastAsia" w:ascii="Times New Roman" w:hAnsi="Times New Roman" w:eastAsia="宋体" w:cs="宋体"/>
          <w:b/>
          <w:bCs/>
          <w:color w:val="auto"/>
          <w:sz w:val="21"/>
          <w:szCs w:val="21"/>
        </w:rPr>
        <w:fldChar w:fldCharType="begin"/>
      </w:r>
      <w:r>
        <w:rPr>
          <w:rFonts w:hint="eastAsia" w:ascii="Times New Roman" w:hAnsi="Times New Roman" w:eastAsia="宋体" w:cs="宋体"/>
          <w:b/>
          <w:bCs/>
          <w:color w:val="auto"/>
          <w:sz w:val="21"/>
          <w:szCs w:val="21"/>
        </w:rPr>
        <w:instrText xml:space="preserve"> SEQ 表 \* ARABIC </w:instrText>
      </w:r>
      <w:r>
        <w:rPr>
          <w:rFonts w:hint="eastAsia" w:ascii="Times New Roman" w:hAnsi="Times New Roman" w:eastAsia="宋体" w:cs="宋体"/>
          <w:b/>
          <w:bCs/>
          <w:color w:val="auto"/>
          <w:sz w:val="21"/>
          <w:szCs w:val="21"/>
        </w:rPr>
        <w:fldChar w:fldCharType="separate"/>
      </w:r>
      <w:r>
        <w:rPr>
          <w:rFonts w:hint="eastAsia" w:ascii="Times New Roman" w:hAnsi="Times New Roman" w:eastAsia="宋体" w:cs="宋体"/>
          <w:b/>
          <w:bCs/>
          <w:color w:val="auto"/>
          <w:sz w:val="21"/>
          <w:szCs w:val="21"/>
        </w:rPr>
        <w:t>14</w:t>
      </w:r>
      <w:r>
        <w:rPr>
          <w:rFonts w:hint="eastAsia" w:ascii="Times New Roman" w:hAnsi="Times New Roman" w:eastAsia="宋体" w:cs="宋体"/>
          <w:b/>
          <w:bCs/>
          <w:color w:val="auto"/>
          <w:sz w:val="21"/>
          <w:szCs w:val="21"/>
        </w:rPr>
        <w:fldChar w:fldCharType="end"/>
      </w:r>
      <w:bookmarkStart w:id="350" w:name="_Toc17611"/>
      <w:r>
        <w:rPr>
          <w:rFonts w:hint="eastAsia" w:ascii="Times New Roman" w:hAnsi="Times New Roman" w:eastAsia="宋体" w:cs="宋体"/>
          <w:b/>
          <w:bCs/>
          <w:color w:val="auto"/>
          <w:sz w:val="21"/>
          <w:szCs w:val="21"/>
          <w:lang w:val="en-US" w:eastAsia="zh-CN"/>
        </w:rPr>
        <w:t xml:space="preserve">  </w:t>
      </w:r>
      <w:r>
        <w:rPr>
          <w:rFonts w:hint="eastAsia" w:ascii="宋体" w:hAnsi="宋体" w:eastAsia="宋体" w:cs="宋体"/>
          <w:b/>
          <w:bCs/>
          <w:color w:val="auto"/>
          <w:sz w:val="21"/>
          <w:szCs w:val="21"/>
          <w:lang w:val="en-US" w:eastAsia="zh-CN"/>
        </w:rPr>
        <w:t>2023学年全国职业院校教师教学能力大赛获奖情况</w:t>
      </w:r>
      <w:bookmarkEnd w:id="349"/>
      <w:bookmarkEnd w:id="350"/>
    </w:p>
    <w:tbl>
      <w:tblPr>
        <w:tblStyle w:val="80"/>
        <w:tblW w:w="4859" w:type="pct"/>
        <w:jc w:val="center"/>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Layout w:type="fixed"/>
        <w:tblCellMar>
          <w:top w:w="0" w:type="dxa"/>
          <w:left w:w="108" w:type="dxa"/>
          <w:bottom w:w="0" w:type="dxa"/>
          <w:right w:w="108" w:type="dxa"/>
        </w:tblCellMar>
      </w:tblPr>
      <w:tblGrid>
        <w:gridCol w:w="698"/>
        <w:gridCol w:w="1858"/>
        <w:gridCol w:w="2343"/>
        <w:gridCol w:w="2259"/>
        <w:gridCol w:w="1125"/>
      </w:tblGrid>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499" w:hRule="atLeast"/>
          <w:tblHeader/>
          <w:jc w:val="center"/>
        </w:trPr>
        <w:tc>
          <w:tcPr>
            <w:tcW w:w="698"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widowControl/>
              <w:adjustRightInd w:val="0"/>
              <w:spacing w:line="360" w:lineRule="auto"/>
              <w:jc w:val="center"/>
              <w:rPr>
                <w:rFonts w:hint="eastAsia" w:ascii="宋体" w:hAnsi="宋体" w:eastAsia="宋体" w:cs="宋体"/>
                <w:b/>
                <w:bCs/>
                <w:color w:val="000000"/>
                <w:sz w:val="18"/>
                <w:szCs w:val="18"/>
              </w:rPr>
            </w:pPr>
            <w:r>
              <w:rPr>
                <w:rFonts w:hint="eastAsia" w:ascii="宋体" w:hAnsi="宋体" w:eastAsia="宋体" w:cs="宋体"/>
                <w:b/>
                <w:bCs w:val="0"/>
                <w:color w:val="000000"/>
                <w:sz w:val="18"/>
                <w:szCs w:val="18"/>
              </w:rPr>
              <w:t>序号</w:t>
            </w:r>
          </w:p>
        </w:tc>
        <w:tc>
          <w:tcPr>
            <w:tcW w:w="1858"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widowControl/>
              <w:adjustRightInd w:val="0"/>
              <w:spacing w:line="360" w:lineRule="auto"/>
              <w:jc w:val="center"/>
              <w:rPr>
                <w:rFonts w:hint="eastAsia" w:ascii="宋体" w:hAnsi="宋体" w:eastAsia="宋体" w:cs="宋体"/>
                <w:b/>
                <w:bCs/>
                <w:color w:val="000000"/>
                <w:sz w:val="18"/>
                <w:szCs w:val="18"/>
              </w:rPr>
            </w:pPr>
            <w:r>
              <w:rPr>
                <w:rFonts w:hint="eastAsia" w:ascii="宋体" w:hAnsi="宋体" w:eastAsia="宋体" w:cs="宋体"/>
                <w:b/>
                <w:color w:val="000000"/>
                <w:sz w:val="18"/>
                <w:szCs w:val="18"/>
              </w:rPr>
              <w:t>学校名称</w:t>
            </w:r>
          </w:p>
        </w:tc>
        <w:tc>
          <w:tcPr>
            <w:tcW w:w="2343"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widowControl/>
              <w:adjustRightInd w:val="0"/>
              <w:spacing w:line="360" w:lineRule="auto"/>
              <w:jc w:val="center"/>
              <w:rPr>
                <w:rFonts w:hint="eastAsia" w:ascii="宋体" w:hAnsi="宋体" w:eastAsia="宋体" w:cs="宋体"/>
                <w:b/>
                <w:bCs/>
                <w:color w:val="000000"/>
                <w:sz w:val="18"/>
                <w:szCs w:val="18"/>
              </w:rPr>
            </w:pPr>
            <w:r>
              <w:rPr>
                <w:rFonts w:hint="eastAsia" w:ascii="宋体" w:hAnsi="宋体" w:eastAsia="宋体" w:cs="宋体"/>
                <w:b/>
                <w:color w:val="000000"/>
                <w:sz w:val="18"/>
                <w:szCs w:val="18"/>
              </w:rPr>
              <w:t>作品名称</w:t>
            </w:r>
          </w:p>
        </w:tc>
        <w:tc>
          <w:tcPr>
            <w:tcW w:w="2259"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widowControl/>
              <w:adjustRightInd w:val="0"/>
              <w:spacing w:line="360" w:lineRule="auto"/>
              <w:jc w:val="center"/>
              <w:rPr>
                <w:rFonts w:hint="eastAsia" w:ascii="宋体" w:hAnsi="宋体" w:eastAsia="宋体" w:cs="宋体"/>
                <w:b/>
                <w:bCs/>
                <w:color w:val="000000"/>
                <w:sz w:val="18"/>
                <w:szCs w:val="18"/>
              </w:rPr>
            </w:pPr>
            <w:r>
              <w:rPr>
                <w:rFonts w:hint="eastAsia" w:ascii="宋体" w:hAnsi="宋体" w:eastAsia="宋体" w:cs="宋体"/>
                <w:b/>
                <w:color w:val="000000"/>
                <w:sz w:val="18"/>
                <w:szCs w:val="18"/>
              </w:rPr>
              <w:t>教学团队成员</w:t>
            </w:r>
          </w:p>
        </w:tc>
        <w:tc>
          <w:tcPr>
            <w:tcW w:w="1125"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widowControl/>
              <w:adjustRightInd w:val="0"/>
              <w:spacing w:line="360" w:lineRule="auto"/>
              <w:jc w:val="center"/>
              <w:rPr>
                <w:rFonts w:hint="eastAsia" w:ascii="宋体" w:hAnsi="宋体" w:eastAsia="宋体" w:cs="宋体"/>
                <w:b/>
                <w:bCs/>
                <w:color w:val="000000"/>
                <w:sz w:val="18"/>
                <w:szCs w:val="18"/>
              </w:rPr>
            </w:pPr>
            <w:r>
              <w:rPr>
                <w:rFonts w:hint="eastAsia" w:ascii="宋体" w:hAnsi="宋体" w:eastAsia="宋体" w:cs="宋体"/>
                <w:b/>
                <w:color w:val="000000"/>
                <w:sz w:val="18"/>
                <w:szCs w:val="18"/>
              </w:rPr>
              <w:t>等级奖</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499" w:hRule="atLeast"/>
          <w:tblHeader/>
          <w:jc w:val="center"/>
        </w:trPr>
        <w:tc>
          <w:tcPr>
            <w:tcW w:w="698"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kinsoku/>
              <w:wordWrap/>
              <w:overflowPunct/>
              <w:topLinePunct w:val="0"/>
              <w:autoSpaceDE/>
              <w:autoSpaceDN/>
              <w:bidi w:val="0"/>
              <w:adjustRightInd w:val="0"/>
              <w:snapToGrid/>
              <w:spacing w:line="320" w:lineRule="exact"/>
              <w:jc w:val="center"/>
              <w:rPr>
                <w:rFonts w:hint="eastAsia" w:ascii="宋体" w:hAnsi="宋体" w:eastAsia="宋体" w:cs="宋体"/>
                <w:b w:val="0"/>
                <w:bCs/>
                <w:color w:val="000000"/>
                <w:sz w:val="18"/>
                <w:szCs w:val="18"/>
              </w:rPr>
            </w:pPr>
            <w:r>
              <w:rPr>
                <w:rFonts w:hint="eastAsia" w:ascii="宋体" w:hAnsi="宋体" w:eastAsia="宋体" w:cs="宋体"/>
                <w:b w:val="0"/>
                <w:bCs w:val="0"/>
                <w:color w:val="000000"/>
                <w:sz w:val="18"/>
                <w:szCs w:val="18"/>
              </w:rPr>
              <w:t>1</w:t>
            </w:r>
          </w:p>
        </w:tc>
        <w:tc>
          <w:tcPr>
            <w:tcW w:w="1858"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suppressLineNumbers w:val="0"/>
              <w:kinsoku/>
              <w:wordWrap/>
              <w:overflowPunct/>
              <w:topLinePunct w:val="0"/>
              <w:autoSpaceDE/>
              <w:autoSpaceDN/>
              <w:bidi w:val="0"/>
              <w:snapToGrid/>
              <w:spacing w:line="320" w:lineRule="exact"/>
              <w:jc w:val="center"/>
              <w:textAlignment w:val="center"/>
              <w:rPr>
                <w:rFonts w:hint="eastAsia" w:ascii="宋体" w:hAnsi="宋体" w:eastAsia="宋体" w:cs="宋体"/>
                <w:b w:val="0"/>
                <w:color w:val="000000"/>
                <w:kern w:val="2"/>
                <w:sz w:val="18"/>
                <w:szCs w:val="18"/>
                <w:lang w:val="en-US" w:eastAsia="zh-CN" w:bidi="ar-SA"/>
              </w:rPr>
            </w:pPr>
            <w:r>
              <w:rPr>
                <w:rFonts w:hint="eastAsia" w:ascii="宋体" w:hAnsi="宋体" w:eastAsia="宋体" w:cs="宋体"/>
                <w:b w:val="0"/>
                <w:color w:val="000000"/>
                <w:sz w:val="18"/>
                <w:szCs w:val="18"/>
                <w:lang w:val="en-US" w:eastAsia="zh-Hans" w:bidi="ar-SA"/>
              </w:rPr>
              <w:t>遂宁市职业技术学校</w:t>
            </w:r>
          </w:p>
        </w:tc>
        <w:tc>
          <w:tcPr>
            <w:tcW w:w="2343"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suppressLineNumbers w:val="0"/>
              <w:kinsoku/>
              <w:wordWrap/>
              <w:overflowPunct/>
              <w:topLinePunct w:val="0"/>
              <w:autoSpaceDE/>
              <w:autoSpaceDN/>
              <w:bidi w:val="0"/>
              <w:snapToGrid/>
              <w:spacing w:line="320" w:lineRule="exact"/>
              <w:jc w:val="center"/>
              <w:textAlignment w:val="center"/>
              <w:rPr>
                <w:rFonts w:hint="eastAsia" w:ascii="宋体" w:hAnsi="宋体" w:eastAsia="宋体" w:cs="宋体"/>
                <w:b w:val="0"/>
                <w:color w:val="000000"/>
                <w:kern w:val="2"/>
                <w:sz w:val="18"/>
                <w:szCs w:val="18"/>
                <w:lang w:val="en-US" w:eastAsia="zh-CN" w:bidi="ar-SA"/>
              </w:rPr>
            </w:pPr>
            <w:r>
              <w:rPr>
                <w:rFonts w:hint="eastAsia" w:ascii="宋体" w:hAnsi="宋体" w:eastAsia="宋体" w:cs="宋体"/>
                <w:b w:val="0"/>
                <w:color w:val="000000"/>
                <w:sz w:val="18"/>
                <w:szCs w:val="18"/>
                <w:lang w:val="en-US" w:eastAsia="zh-CN" w:bidi="ar-SA"/>
              </w:rPr>
              <w:t>社会主义先进文化作品  选读</w:t>
            </w:r>
          </w:p>
        </w:tc>
        <w:tc>
          <w:tcPr>
            <w:tcW w:w="2259"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suppressLineNumbers w:val="0"/>
              <w:kinsoku/>
              <w:wordWrap/>
              <w:overflowPunct/>
              <w:topLinePunct w:val="0"/>
              <w:autoSpaceDE/>
              <w:autoSpaceDN/>
              <w:bidi w:val="0"/>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胡琴琴   付  莉</w:t>
            </w:r>
          </w:p>
          <w:p>
            <w:pPr>
              <w:keepNext w:val="0"/>
              <w:keepLines w:val="0"/>
              <w:pageBreakBefore w:val="0"/>
              <w:widowControl/>
              <w:suppressLineNumbers w:val="0"/>
              <w:kinsoku/>
              <w:wordWrap/>
              <w:overflowPunct/>
              <w:topLinePunct w:val="0"/>
              <w:autoSpaceDE/>
              <w:autoSpaceDN/>
              <w:bidi w:val="0"/>
              <w:snapToGrid/>
              <w:spacing w:line="320" w:lineRule="exact"/>
              <w:jc w:val="center"/>
              <w:textAlignment w:val="center"/>
              <w:rPr>
                <w:rFonts w:hint="eastAsia" w:ascii="宋体" w:hAnsi="宋体" w:eastAsia="宋体" w:cs="宋体"/>
                <w:b w:val="0"/>
                <w:color w:val="000000"/>
                <w:kern w:val="2"/>
                <w:sz w:val="18"/>
                <w:szCs w:val="18"/>
                <w:lang w:val="en-US" w:eastAsia="zh-CN" w:bidi="ar-SA"/>
              </w:rPr>
            </w:pPr>
            <w:r>
              <w:rPr>
                <w:rFonts w:hint="eastAsia" w:ascii="宋体" w:hAnsi="宋体" w:eastAsia="宋体" w:cs="宋体"/>
                <w:b w:val="0"/>
                <w:color w:val="000000"/>
                <w:sz w:val="18"/>
                <w:szCs w:val="18"/>
                <w:lang w:val="en-US" w:eastAsia="zh-CN" w:bidi="ar-SA"/>
              </w:rPr>
              <w:t>陈  波   袁  梦</w:t>
            </w:r>
          </w:p>
        </w:tc>
        <w:tc>
          <w:tcPr>
            <w:tcW w:w="1125"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suppressLineNumbers w:val="0"/>
              <w:kinsoku/>
              <w:wordWrap/>
              <w:overflowPunct/>
              <w:topLinePunct w:val="0"/>
              <w:autoSpaceDE/>
              <w:autoSpaceDN/>
              <w:bidi w:val="0"/>
              <w:snapToGrid/>
              <w:spacing w:line="320" w:lineRule="exact"/>
              <w:jc w:val="center"/>
              <w:textAlignment w:val="center"/>
              <w:rPr>
                <w:rFonts w:hint="eastAsia" w:ascii="宋体" w:hAnsi="宋体" w:eastAsia="宋体" w:cs="宋体"/>
                <w:b w:val="0"/>
                <w:color w:val="000000"/>
                <w:kern w:val="2"/>
                <w:sz w:val="18"/>
                <w:szCs w:val="18"/>
                <w:lang w:val="en-US" w:eastAsia="zh-CN" w:bidi="ar-SA"/>
              </w:rPr>
            </w:pPr>
            <w:r>
              <w:rPr>
                <w:rFonts w:hint="eastAsia" w:ascii="宋体" w:hAnsi="宋体" w:eastAsia="宋体" w:cs="宋体"/>
                <w:b w:val="0"/>
                <w:color w:val="000000"/>
                <w:sz w:val="18"/>
                <w:szCs w:val="18"/>
                <w:lang w:val="en-US" w:eastAsia="zh-CN" w:bidi="ar-SA"/>
              </w:rPr>
              <w:t>一等奖</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499" w:hRule="atLeast"/>
          <w:tblHeader/>
          <w:jc w:val="center"/>
        </w:trPr>
        <w:tc>
          <w:tcPr>
            <w:tcW w:w="69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spacing w:line="320" w:lineRule="exact"/>
              <w:jc w:val="center"/>
              <w:rPr>
                <w:rFonts w:hint="eastAsia" w:ascii="宋体" w:hAnsi="宋体" w:eastAsia="宋体" w:cs="宋体"/>
                <w:b w:val="0"/>
                <w:bCs/>
                <w:color w:val="000000"/>
                <w:sz w:val="18"/>
                <w:szCs w:val="18"/>
              </w:rPr>
            </w:pPr>
            <w:r>
              <w:rPr>
                <w:rFonts w:hint="eastAsia" w:ascii="宋体" w:hAnsi="宋体" w:eastAsia="宋体" w:cs="宋体"/>
                <w:b w:val="0"/>
                <w:bCs w:val="0"/>
                <w:color w:val="000000"/>
                <w:sz w:val="18"/>
                <w:szCs w:val="18"/>
              </w:rPr>
              <w:t>2</w:t>
            </w:r>
          </w:p>
        </w:tc>
        <w:tc>
          <w:tcPr>
            <w:tcW w:w="185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snapToGrid/>
              <w:spacing w:line="320" w:lineRule="exact"/>
              <w:jc w:val="center"/>
              <w:textAlignment w:val="center"/>
              <w:rPr>
                <w:rFonts w:hint="eastAsia" w:ascii="宋体" w:hAnsi="宋体" w:eastAsia="宋体" w:cs="宋体"/>
                <w:b w:val="0"/>
                <w:color w:val="000000"/>
                <w:kern w:val="2"/>
                <w:sz w:val="18"/>
                <w:szCs w:val="18"/>
                <w:lang w:val="en-US" w:eastAsia="zh-CN" w:bidi="ar-SA"/>
              </w:rPr>
            </w:pPr>
            <w:r>
              <w:rPr>
                <w:rFonts w:hint="eastAsia" w:ascii="宋体" w:hAnsi="宋体" w:eastAsia="宋体" w:cs="宋体"/>
                <w:b w:val="0"/>
                <w:color w:val="000000"/>
                <w:sz w:val="18"/>
                <w:szCs w:val="18"/>
                <w:lang w:val="en-US" w:eastAsia="zh-CN" w:bidi="ar-SA"/>
              </w:rPr>
              <w:t>四川省</w:t>
            </w:r>
            <w:r>
              <w:rPr>
                <w:rFonts w:hint="eastAsia" w:ascii="宋体" w:hAnsi="宋体" w:eastAsia="宋体" w:cs="宋体"/>
                <w:b w:val="0"/>
                <w:color w:val="000000"/>
                <w:sz w:val="18"/>
                <w:szCs w:val="18"/>
                <w:lang w:val="en-US" w:eastAsia="zh-Hans" w:bidi="ar-SA"/>
              </w:rPr>
              <w:t>射洪市职业中专学校</w:t>
            </w:r>
          </w:p>
        </w:tc>
        <w:tc>
          <w:tcPr>
            <w:tcW w:w="2343"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snapToGrid/>
              <w:spacing w:line="320" w:lineRule="exact"/>
              <w:jc w:val="center"/>
              <w:textAlignment w:val="center"/>
              <w:rPr>
                <w:rFonts w:hint="eastAsia" w:ascii="宋体" w:hAnsi="宋体" w:eastAsia="宋体" w:cs="宋体"/>
                <w:b w:val="0"/>
                <w:color w:val="000000"/>
                <w:kern w:val="2"/>
                <w:sz w:val="18"/>
                <w:szCs w:val="18"/>
                <w:lang w:val="en-US" w:eastAsia="zh-CN" w:bidi="ar-SA"/>
              </w:rPr>
            </w:pPr>
            <w:r>
              <w:rPr>
                <w:rFonts w:hint="eastAsia" w:ascii="宋体" w:hAnsi="宋体" w:eastAsia="宋体" w:cs="宋体"/>
                <w:b w:val="0"/>
                <w:color w:val="000000"/>
                <w:sz w:val="18"/>
                <w:szCs w:val="18"/>
                <w:lang w:val="en-US" w:eastAsia="zh-Hans" w:bidi="ar-SA"/>
              </w:rPr>
              <w:t>中国宝宝常见营养缺失绿色膳食配制与喂养</w:t>
            </w:r>
          </w:p>
        </w:tc>
        <w:tc>
          <w:tcPr>
            <w:tcW w:w="225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谢婷婷</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冯玉茜</w:t>
            </w:r>
            <w:r>
              <w:rPr>
                <w:rFonts w:hint="eastAsia" w:ascii="宋体" w:hAnsi="宋体" w:eastAsia="宋体" w:cs="宋体"/>
                <w:b w:val="0"/>
                <w:color w:val="000000"/>
                <w:sz w:val="18"/>
                <w:szCs w:val="18"/>
                <w:lang w:val="en-US" w:eastAsia="zh-CN" w:bidi="ar-SA"/>
              </w:rPr>
              <w:t xml:space="preserve">  </w:t>
            </w:r>
          </w:p>
          <w:p>
            <w:pPr>
              <w:keepNext w:val="0"/>
              <w:keepLines w:val="0"/>
              <w:pageBreakBefore w:val="0"/>
              <w:widowControl/>
              <w:suppressLineNumbers w:val="0"/>
              <w:kinsoku/>
              <w:wordWrap/>
              <w:overflowPunct/>
              <w:topLinePunct w:val="0"/>
              <w:autoSpaceDE/>
              <w:autoSpaceDN/>
              <w:bidi w:val="0"/>
              <w:snapToGrid/>
              <w:spacing w:line="320" w:lineRule="exact"/>
              <w:jc w:val="center"/>
              <w:textAlignment w:val="center"/>
              <w:rPr>
                <w:rFonts w:hint="eastAsia" w:ascii="宋体" w:hAnsi="宋体" w:eastAsia="宋体" w:cs="宋体"/>
                <w:b w:val="0"/>
                <w:color w:val="000000"/>
                <w:kern w:val="2"/>
                <w:sz w:val="18"/>
                <w:szCs w:val="18"/>
                <w:lang w:val="en-US" w:eastAsia="zh-CN" w:bidi="ar-SA"/>
              </w:rPr>
            </w:pPr>
            <w:r>
              <w:rPr>
                <w:rFonts w:hint="eastAsia" w:ascii="宋体" w:hAnsi="宋体" w:eastAsia="宋体" w:cs="宋体"/>
                <w:b w:val="0"/>
                <w:color w:val="000000"/>
                <w:sz w:val="18"/>
                <w:szCs w:val="18"/>
                <w:lang w:val="en-US" w:eastAsia="zh-Hans" w:bidi="ar-SA"/>
              </w:rPr>
              <w:t>蒋玉兰</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李林临</w:t>
            </w:r>
          </w:p>
        </w:tc>
        <w:tc>
          <w:tcPr>
            <w:tcW w:w="112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snapToGrid/>
              <w:spacing w:line="320" w:lineRule="exact"/>
              <w:jc w:val="center"/>
              <w:textAlignment w:val="center"/>
              <w:rPr>
                <w:rFonts w:hint="eastAsia" w:ascii="宋体" w:hAnsi="宋体" w:eastAsia="宋体" w:cs="宋体"/>
                <w:b w:val="0"/>
                <w:color w:val="000000"/>
                <w:kern w:val="2"/>
                <w:sz w:val="18"/>
                <w:szCs w:val="18"/>
                <w:lang w:val="en-US" w:eastAsia="zh-CN" w:bidi="ar-SA"/>
              </w:rPr>
            </w:pPr>
            <w:r>
              <w:rPr>
                <w:rFonts w:hint="eastAsia" w:ascii="宋体" w:hAnsi="宋体" w:eastAsia="宋体" w:cs="宋体"/>
                <w:b w:val="0"/>
                <w:color w:val="000000"/>
                <w:sz w:val="18"/>
                <w:szCs w:val="18"/>
                <w:lang w:val="en-US" w:eastAsia="zh-Hans" w:bidi="ar-SA"/>
              </w:rPr>
              <w:t>二等奖</w:t>
            </w:r>
          </w:p>
        </w:tc>
      </w:tr>
    </w:tbl>
    <w:p>
      <w:pPr>
        <w:pStyle w:val="2"/>
        <w:rPr>
          <w:rFonts w:hint="eastAsia"/>
          <w:lang w:val="en-US" w:eastAsia="zh-CN"/>
        </w:rPr>
      </w:pPr>
    </w:p>
    <w:p>
      <w:pPr>
        <w:pStyle w:val="8"/>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eastAsia" w:ascii="Times New Roman" w:hAnsi="Times New Roman" w:eastAsia="宋体" w:cs="宋体"/>
          <w:b/>
          <w:bCs/>
          <w:color w:val="FF0000"/>
          <w:sz w:val="21"/>
          <w:szCs w:val="21"/>
        </w:rPr>
      </w:pPr>
    </w:p>
    <w:p>
      <w:pPr>
        <w:pStyle w:val="8"/>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eastAsia" w:ascii="Times New Roman" w:hAnsi="Times New Roman" w:eastAsia="宋体" w:cs="宋体"/>
          <w:b/>
          <w:bCs/>
          <w:color w:val="FF0000"/>
          <w:sz w:val="21"/>
          <w:szCs w:val="21"/>
        </w:rPr>
      </w:pPr>
      <w:r>
        <w:rPr>
          <w:color w:val="FF0000"/>
        </w:rPr>
        <w:drawing>
          <wp:anchor distT="0" distB="0" distL="114300" distR="114300" simplePos="0" relativeHeight="251667456" behindDoc="0" locked="0" layoutInCell="1" allowOverlap="1">
            <wp:simplePos x="0" y="0"/>
            <wp:positionH relativeFrom="column">
              <wp:posOffset>560705</wp:posOffset>
            </wp:positionH>
            <wp:positionV relativeFrom="paragraph">
              <wp:posOffset>38100</wp:posOffset>
            </wp:positionV>
            <wp:extent cx="4152900" cy="2731135"/>
            <wp:effectExtent l="0" t="0" r="0" b="12065"/>
            <wp:wrapNone/>
            <wp:docPr id="30" name="图片 3" descr="D:/E：工作盘/1- my 中思远working（20230530）/2-项目类工作/6-质量年报/3-年报工作（2023年11月启动）/4- my年报/1- 遂宁市教育和体育局/帮蒋主任收的资料/2.7.2版块-教师竞赛（插图）.jpg2.7.2版块-教师竞赛（插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 descr="D:/E：工作盘/1- my 中思远working（20230530）/2-项目类工作/6-质量年报/3-年报工作（2023年11月启动）/4- my年报/1- 遂宁市教育和体育局/帮蒋主任收的资料/2.7.2版块-教师竞赛（插图）.jpg2.7.2版块-教师竞赛（插图）"/>
                    <pic:cNvPicPr>
                      <a:picLocks noChangeAspect="true"/>
                    </pic:cNvPicPr>
                  </pic:nvPicPr>
                  <pic:blipFill>
                    <a:blip r:embed="rId63"/>
                    <a:srcRect l="5674" r="5674"/>
                    <a:stretch>
                      <a:fillRect/>
                    </a:stretch>
                  </pic:blipFill>
                  <pic:spPr>
                    <a:xfrm>
                      <a:off x="0" y="0"/>
                      <a:ext cx="4152900" cy="2731135"/>
                    </a:xfrm>
                    <a:prstGeom prst="rect">
                      <a:avLst/>
                    </a:prstGeom>
                    <a:noFill/>
                    <a:ln>
                      <a:noFill/>
                    </a:ln>
                  </pic:spPr>
                </pic:pic>
              </a:graphicData>
            </a:graphic>
          </wp:anchor>
        </w:drawing>
      </w:r>
    </w:p>
    <w:p>
      <w:pPr>
        <w:pStyle w:val="8"/>
        <w:keepNext w:val="0"/>
        <w:keepLines w:val="0"/>
        <w:pageBreakBefore w:val="0"/>
        <w:widowControl w:val="0"/>
        <w:kinsoku/>
        <w:wordWrap/>
        <w:overflowPunct/>
        <w:topLinePunct w:val="0"/>
        <w:autoSpaceDE/>
        <w:autoSpaceDN/>
        <w:bidi w:val="0"/>
        <w:adjustRightInd/>
        <w:snapToGrid/>
        <w:spacing w:before="126" w:beforeLines="40" w:after="188" w:afterLines="60" w:line="560" w:lineRule="exact"/>
        <w:jc w:val="both"/>
        <w:textAlignment w:val="auto"/>
        <w:rPr>
          <w:rFonts w:hint="eastAsia" w:ascii="Times New Roman" w:hAnsi="Times New Roman" w:eastAsia="宋体" w:cs="宋体"/>
          <w:b/>
          <w:bCs/>
          <w:color w:val="FF0000"/>
          <w:sz w:val="21"/>
          <w:szCs w:val="21"/>
        </w:rPr>
      </w:pPr>
    </w:p>
    <w:p>
      <w:pPr>
        <w:rPr>
          <w:rFonts w:hint="eastAsia" w:ascii="Times New Roman" w:hAnsi="Times New Roman" w:eastAsia="宋体" w:cs="宋体"/>
          <w:b/>
          <w:bCs/>
          <w:color w:val="FF0000"/>
          <w:sz w:val="21"/>
          <w:szCs w:val="21"/>
        </w:rPr>
      </w:pPr>
    </w:p>
    <w:p>
      <w:pPr>
        <w:rPr>
          <w:rFonts w:hint="eastAsia" w:ascii="Times New Roman" w:hAnsi="Times New Roman" w:eastAsia="宋体" w:cs="宋体"/>
          <w:b/>
          <w:bCs/>
          <w:color w:val="FF0000"/>
          <w:sz w:val="21"/>
          <w:szCs w:val="21"/>
        </w:rPr>
      </w:pPr>
    </w:p>
    <w:p>
      <w:pPr>
        <w:rPr>
          <w:rFonts w:hint="eastAsia" w:ascii="Times New Roman" w:hAnsi="Times New Roman" w:eastAsia="宋体" w:cs="宋体"/>
          <w:b/>
          <w:bCs/>
          <w:color w:val="FF0000"/>
          <w:sz w:val="21"/>
          <w:szCs w:val="21"/>
        </w:rPr>
      </w:pPr>
    </w:p>
    <w:p>
      <w:pPr>
        <w:rPr>
          <w:rFonts w:hint="eastAsia" w:ascii="Times New Roman" w:hAnsi="Times New Roman" w:eastAsia="宋体" w:cs="宋体"/>
          <w:b/>
          <w:bCs/>
          <w:color w:val="FF0000"/>
          <w:sz w:val="21"/>
          <w:szCs w:val="21"/>
        </w:rPr>
      </w:pPr>
    </w:p>
    <w:p>
      <w:pPr>
        <w:rPr>
          <w:rFonts w:hint="eastAsia" w:ascii="Times New Roman" w:hAnsi="Times New Roman" w:eastAsia="宋体" w:cs="宋体"/>
          <w:b/>
          <w:bCs/>
          <w:color w:val="FF0000"/>
          <w:sz w:val="21"/>
          <w:szCs w:val="21"/>
        </w:rPr>
      </w:pPr>
    </w:p>
    <w:p>
      <w:pPr>
        <w:rPr>
          <w:rFonts w:hint="eastAsia" w:ascii="Times New Roman" w:hAnsi="Times New Roman" w:eastAsia="宋体" w:cs="宋体"/>
          <w:b/>
          <w:bCs/>
          <w:color w:val="FF0000"/>
          <w:sz w:val="21"/>
          <w:szCs w:val="21"/>
        </w:rPr>
      </w:pPr>
    </w:p>
    <w:p>
      <w:pPr>
        <w:rPr>
          <w:rFonts w:hint="eastAsia" w:ascii="Times New Roman" w:hAnsi="Times New Roman" w:eastAsia="宋体" w:cs="宋体"/>
          <w:b/>
          <w:bCs/>
          <w:color w:val="FF0000"/>
          <w:sz w:val="21"/>
          <w:szCs w:val="21"/>
        </w:rPr>
      </w:pPr>
    </w:p>
    <w:p>
      <w:pPr>
        <w:rPr>
          <w:rFonts w:hint="eastAsia" w:ascii="Times New Roman" w:hAnsi="Times New Roman" w:eastAsia="宋体" w:cs="宋体"/>
          <w:b/>
          <w:bCs/>
          <w:color w:val="FF0000"/>
          <w:sz w:val="21"/>
          <w:szCs w:val="21"/>
        </w:rPr>
      </w:pPr>
    </w:p>
    <w:p>
      <w:pPr>
        <w:pStyle w:val="2"/>
        <w:rPr>
          <w:rFonts w:hint="eastAsia" w:ascii="Times New Roman" w:hAnsi="Times New Roman" w:eastAsia="宋体" w:cs="宋体"/>
          <w:b/>
          <w:bCs/>
          <w:color w:val="FF0000"/>
          <w:sz w:val="21"/>
          <w:szCs w:val="21"/>
        </w:rPr>
      </w:pPr>
    </w:p>
    <w:p>
      <w:pPr>
        <w:pStyle w:val="8"/>
        <w:keepNext w:val="0"/>
        <w:keepLines w:val="0"/>
        <w:pageBreakBefore w:val="0"/>
        <w:widowControl w:val="0"/>
        <w:kinsoku/>
        <w:wordWrap/>
        <w:overflowPunct/>
        <w:topLinePunct w:val="0"/>
        <w:autoSpaceDE/>
        <w:autoSpaceDN/>
        <w:bidi w:val="0"/>
        <w:adjustRightInd/>
        <w:snapToGrid/>
        <w:spacing w:before="63" w:beforeLines="20"/>
        <w:ind w:firstLine="0" w:firstLineChars="0"/>
        <w:jc w:val="both"/>
        <w:textAlignment w:val="auto"/>
        <w:rPr>
          <w:rFonts w:hint="eastAsia" w:ascii="宋体" w:hAnsi="宋体" w:eastAsia="宋体" w:cs="宋体"/>
          <w:b/>
          <w:bCs/>
          <w:color w:val="FF0000"/>
          <w:sz w:val="21"/>
          <w:szCs w:val="21"/>
          <w:highlight w:val="none"/>
          <w:lang w:eastAsia="zh-CN"/>
        </w:rPr>
      </w:pPr>
    </w:p>
    <w:p>
      <w:pPr>
        <w:pStyle w:val="8"/>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rPr>
          <w:rFonts w:hint="default" w:ascii="Times New Roman" w:hAnsi="Times New Roman" w:eastAsia="楷体" w:cs="楷体"/>
          <w:sz w:val="24"/>
          <w:szCs w:val="24"/>
          <w:lang w:val="en-US" w:eastAsia="zh-CN"/>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32</w:t>
      </w:r>
      <w:r>
        <w:rPr>
          <w:rFonts w:hint="eastAsia" w:ascii="Times New Roman" w:hAnsi="Times New Roman" w:eastAsia="楷体" w:cs="楷体"/>
          <w:sz w:val="24"/>
          <w:szCs w:val="24"/>
        </w:rPr>
        <w:fldChar w:fldCharType="end"/>
      </w:r>
      <w:bookmarkStart w:id="351" w:name="_Toc6387"/>
      <w:r>
        <w:rPr>
          <w:rFonts w:hint="eastAsia" w:ascii="Times New Roman" w:hAnsi="Times New Roman" w:eastAsia="楷体" w:cs="楷体"/>
          <w:sz w:val="24"/>
          <w:szCs w:val="24"/>
          <w:lang w:val="en-US" w:eastAsia="zh-CN"/>
        </w:rPr>
        <w:t xml:space="preserve"> 遂宁市职业技术学校获得全国职业院校教师教学能力大赛一等奖</w:t>
      </w:r>
      <w:bookmarkEnd w:id="351"/>
    </w:p>
    <w:p>
      <w:pPr>
        <w:pStyle w:val="8"/>
        <w:keepNext w:val="0"/>
        <w:keepLines w:val="0"/>
        <w:pageBreakBefore w:val="0"/>
        <w:widowControl w:val="0"/>
        <w:kinsoku/>
        <w:wordWrap/>
        <w:overflowPunct/>
        <w:topLinePunct w:val="0"/>
        <w:autoSpaceDE/>
        <w:autoSpaceDN/>
        <w:bidi w:val="0"/>
        <w:adjustRightInd/>
        <w:snapToGrid/>
        <w:spacing w:before="251" w:beforeLines="80" w:after="188" w:afterLines="60" w:line="560" w:lineRule="exact"/>
        <w:jc w:val="center"/>
        <w:textAlignment w:val="auto"/>
        <w:rPr>
          <w:rFonts w:hint="default" w:ascii="Times New Roman" w:hAnsi="Times New Roman" w:eastAsia="宋体" w:cs="宋体"/>
          <w:b/>
          <w:bCs/>
          <w:color w:val="FF0000"/>
          <w:sz w:val="21"/>
          <w:szCs w:val="21"/>
          <w:highlight w:val="yellow"/>
          <w:lang w:val="en-US" w:eastAsia="zh-CN"/>
        </w:rPr>
      </w:pPr>
      <w:bookmarkStart w:id="352" w:name="_Toc112"/>
      <w:r>
        <w:rPr>
          <w:rFonts w:hint="eastAsia" w:ascii="Times New Roman" w:hAnsi="Times New Roman" w:eastAsia="宋体" w:cs="宋体"/>
          <w:b/>
          <w:bCs/>
          <w:color w:val="auto"/>
          <w:sz w:val="21"/>
          <w:szCs w:val="21"/>
        </w:rPr>
        <w:t>表</w:t>
      </w:r>
      <w:r>
        <w:rPr>
          <w:rFonts w:hint="eastAsia" w:ascii="Times New Roman" w:hAnsi="Times New Roman" w:eastAsia="宋体" w:cs="宋体"/>
          <w:b/>
          <w:bCs/>
          <w:color w:val="auto"/>
          <w:sz w:val="21"/>
          <w:szCs w:val="21"/>
        </w:rPr>
        <w:fldChar w:fldCharType="begin"/>
      </w:r>
      <w:r>
        <w:rPr>
          <w:rFonts w:hint="eastAsia" w:ascii="Times New Roman" w:hAnsi="Times New Roman" w:eastAsia="宋体" w:cs="宋体"/>
          <w:b/>
          <w:bCs/>
          <w:color w:val="auto"/>
          <w:sz w:val="21"/>
          <w:szCs w:val="21"/>
        </w:rPr>
        <w:instrText xml:space="preserve"> SEQ 表 \* ARABIC </w:instrText>
      </w:r>
      <w:r>
        <w:rPr>
          <w:rFonts w:hint="eastAsia" w:ascii="Times New Roman" w:hAnsi="Times New Roman" w:eastAsia="宋体" w:cs="宋体"/>
          <w:b/>
          <w:bCs/>
          <w:color w:val="auto"/>
          <w:sz w:val="21"/>
          <w:szCs w:val="21"/>
        </w:rPr>
        <w:fldChar w:fldCharType="separate"/>
      </w:r>
      <w:r>
        <w:rPr>
          <w:rFonts w:hint="eastAsia" w:ascii="Times New Roman" w:hAnsi="Times New Roman" w:eastAsia="宋体" w:cs="宋体"/>
          <w:b/>
          <w:bCs/>
          <w:color w:val="auto"/>
          <w:sz w:val="21"/>
          <w:szCs w:val="21"/>
        </w:rPr>
        <w:t>15</w:t>
      </w:r>
      <w:r>
        <w:rPr>
          <w:rFonts w:hint="eastAsia" w:ascii="Times New Roman" w:hAnsi="Times New Roman" w:eastAsia="宋体" w:cs="宋体"/>
          <w:b/>
          <w:bCs/>
          <w:color w:val="auto"/>
          <w:sz w:val="21"/>
          <w:szCs w:val="21"/>
        </w:rPr>
        <w:fldChar w:fldCharType="end"/>
      </w:r>
      <w:bookmarkStart w:id="353" w:name="_Toc10185"/>
      <w:r>
        <w:rPr>
          <w:rFonts w:hint="eastAsia" w:ascii="Times New Roman" w:hAnsi="Times New Roman" w:eastAsia="宋体" w:cs="宋体"/>
          <w:b/>
          <w:bCs/>
          <w:color w:val="auto"/>
          <w:sz w:val="21"/>
          <w:szCs w:val="21"/>
          <w:lang w:val="en-US" w:eastAsia="zh-CN"/>
        </w:rPr>
        <w:t xml:space="preserve">  </w:t>
      </w:r>
      <w:r>
        <w:rPr>
          <w:rFonts w:hint="eastAsia" w:ascii="Times New Roman" w:hAnsi="Times New Roman" w:eastAsia="宋体" w:cs="宋体"/>
          <w:b/>
          <w:bCs/>
          <w:color w:val="auto"/>
          <w:sz w:val="21"/>
          <w:szCs w:val="21"/>
        </w:rPr>
        <w:t>2</w:t>
      </w:r>
      <w:r>
        <w:rPr>
          <w:rFonts w:hint="eastAsia" w:ascii="Times New Roman" w:hAnsi="Times New Roman" w:eastAsia="宋体" w:cs="宋体"/>
          <w:b/>
          <w:bCs/>
          <w:color w:val="auto"/>
          <w:sz w:val="21"/>
          <w:szCs w:val="21"/>
          <w:highlight w:val="none"/>
        </w:rPr>
        <w:t>02</w:t>
      </w:r>
      <w:r>
        <w:rPr>
          <w:rFonts w:hint="eastAsia" w:ascii="Times New Roman" w:hAnsi="Times New Roman" w:eastAsia="宋体" w:cs="宋体"/>
          <w:b/>
          <w:bCs/>
          <w:color w:val="auto"/>
          <w:sz w:val="21"/>
          <w:szCs w:val="21"/>
          <w:highlight w:val="none"/>
          <w:lang w:val="en-US" w:eastAsia="zh-CN"/>
        </w:rPr>
        <w:t>4</w:t>
      </w:r>
      <w:r>
        <w:rPr>
          <w:rFonts w:hint="eastAsia" w:ascii="Times New Roman" w:hAnsi="Times New Roman" w:eastAsia="宋体" w:cs="宋体"/>
          <w:b/>
          <w:bCs/>
          <w:color w:val="auto"/>
          <w:sz w:val="21"/>
          <w:szCs w:val="21"/>
          <w:highlight w:val="none"/>
        </w:rPr>
        <w:t>学年</w:t>
      </w:r>
      <w:r>
        <w:rPr>
          <w:rFonts w:hint="eastAsia" w:ascii="Times New Roman" w:hAnsi="Times New Roman" w:eastAsia="宋体" w:cs="宋体"/>
          <w:b/>
          <w:bCs/>
          <w:color w:val="auto"/>
          <w:sz w:val="21"/>
          <w:szCs w:val="21"/>
          <w:highlight w:val="none"/>
          <w:lang w:eastAsia="zh-CN"/>
        </w:rPr>
        <w:t>四川省</w:t>
      </w:r>
      <w:r>
        <w:rPr>
          <w:rFonts w:hint="eastAsia" w:ascii="Times New Roman" w:hAnsi="Times New Roman" w:eastAsia="宋体" w:cs="宋体"/>
          <w:b/>
          <w:bCs/>
          <w:color w:val="auto"/>
          <w:sz w:val="21"/>
          <w:szCs w:val="21"/>
          <w:highlight w:val="none"/>
        </w:rPr>
        <w:t>教师</w:t>
      </w:r>
      <w:r>
        <w:rPr>
          <w:rFonts w:hint="eastAsia" w:ascii="Times New Roman" w:hAnsi="Times New Roman" w:eastAsia="宋体" w:cs="宋体"/>
          <w:b/>
          <w:bCs/>
          <w:color w:val="auto"/>
          <w:sz w:val="21"/>
          <w:szCs w:val="21"/>
          <w:highlight w:val="none"/>
          <w:lang w:val="en-US" w:eastAsia="zh-CN"/>
        </w:rPr>
        <w:t>教学</w:t>
      </w:r>
      <w:r>
        <w:rPr>
          <w:rFonts w:hint="eastAsia" w:ascii="Times New Roman" w:hAnsi="Times New Roman" w:eastAsia="宋体" w:cs="宋体"/>
          <w:b/>
          <w:bCs/>
          <w:color w:val="auto"/>
          <w:sz w:val="21"/>
          <w:szCs w:val="21"/>
          <w:highlight w:val="none"/>
          <w:lang w:eastAsia="zh-CN"/>
        </w:rPr>
        <w:t>能力</w:t>
      </w:r>
      <w:r>
        <w:rPr>
          <w:rFonts w:hint="eastAsia" w:ascii="Times New Roman" w:hAnsi="Times New Roman" w:eastAsia="宋体" w:cs="宋体"/>
          <w:b/>
          <w:bCs/>
          <w:color w:val="auto"/>
          <w:sz w:val="21"/>
          <w:szCs w:val="21"/>
          <w:highlight w:val="none"/>
          <w:lang w:val="en-US" w:eastAsia="zh-CN"/>
        </w:rPr>
        <w:t>大</w:t>
      </w:r>
      <w:r>
        <w:rPr>
          <w:rFonts w:hint="eastAsia" w:ascii="Times New Roman" w:hAnsi="Times New Roman" w:eastAsia="宋体" w:cs="宋体"/>
          <w:b/>
          <w:bCs/>
          <w:color w:val="auto"/>
          <w:sz w:val="21"/>
          <w:szCs w:val="21"/>
          <w:highlight w:val="none"/>
        </w:rPr>
        <w:t>赛获奖情况</w:t>
      </w:r>
      <w:bookmarkEnd w:id="352"/>
      <w:bookmarkEnd w:id="353"/>
    </w:p>
    <w:tbl>
      <w:tblPr>
        <w:tblStyle w:val="30"/>
        <w:tblW w:w="8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951"/>
        <w:gridCol w:w="2167"/>
        <w:gridCol w:w="2764"/>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34" w:type="dxa"/>
            <w:tcBorders>
              <w:top w:val="single" w:color="ED7D31" w:sz="4" w:space="0"/>
              <w:left w:val="single" w:color="ED7D31" w:sz="4" w:space="0"/>
              <w:bottom w:val="single" w:color="ED7D31" w:sz="4" w:space="0"/>
              <w:right w:val="single" w:color="ED7D31" w:sz="4" w:space="0"/>
              <w:tl2br w:val="nil"/>
            </w:tcBorders>
            <w:shd w:val="clear" w:color="auto" w:fill="F5B08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color w:val="000000"/>
                <w:sz w:val="18"/>
                <w:szCs w:val="18"/>
                <w:lang w:val="en-US" w:eastAsia="zh-Hans" w:bidi="ar-SA"/>
              </w:rPr>
            </w:pPr>
            <w:r>
              <w:rPr>
                <w:rFonts w:hint="eastAsia" w:ascii="宋体" w:hAnsi="宋体" w:eastAsia="宋体" w:cs="宋体"/>
                <w:b/>
                <w:color w:val="000000"/>
                <w:sz w:val="18"/>
                <w:szCs w:val="18"/>
                <w:lang w:val="en-US" w:eastAsia="zh-Hans" w:bidi="ar-SA"/>
              </w:rPr>
              <w:t>序号</w:t>
            </w:r>
          </w:p>
        </w:tc>
        <w:tc>
          <w:tcPr>
            <w:tcW w:w="1951" w:type="dxa"/>
            <w:tcBorders>
              <w:top w:val="single" w:color="ED7D31" w:sz="4" w:space="0"/>
              <w:left w:val="single" w:color="ED7D31" w:sz="4" w:space="0"/>
              <w:bottom w:val="single" w:color="ED7D31" w:sz="4" w:space="0"/>
              <w:right w:val="single" w:color="ED7D31" w:sz="4" w:space="0"/>
            </w:tcBorders>
            <w:shd w:val="clear" w:color="auto" w:fill="F5B08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color w:val="000000"/>
                <w:sz w:val="18"/>
                <w:szCs w:val="18"/>
                <w:lang w:val="en-US" w:eastAsia="zh-Hans" w:bidi="ar-SA"/>
              </w:rPr>
            </w:pPr>
            <w:r>
              <w:rPr>
                <w:rFonts w:hint="eastAsia" w:ascii="宋体" w:hAnsi="宋体" w:eastAsia="宋体" w:cs="宋体"/>
                <w:b/>
                <w:color w:val="000000"/>
                <w:sz w:val="18"/>
                <w:szCs w:val="18"/>
                <w:lang w:val="en-US" w:eastAsia="zh-Hans" w:bidi="ar-SA"/>
              </w:rPr>
              <w:t>学校名称</w:t>
            </w:r>
          </w:p>
        </w:tc>
        <w:tc>
          <w:tcPr>
            <w:tcW w:w="2167" w:type="dxa"/>
            <w:tcBorders>
              <w:top w:val="single" w:color="ED7D31" w:sz="4" w:space="0"/>
              <w:left w:val="single" w:color="ED7D31" w:sz="4" w:space="0"/>
              <w:bottom w:val="single" w:color="ED7D31" w:sz="4" w:space="0"/>
              <w:right w:val="single" w:color="ED7D31" w:sz="4" w:space="0"/>
            </w:tcBorders>
            <w:shd w:val="clear" w:color="auto" w:fill="F5B08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color w:val="000000"/>
                <w:sz w:val="18"/>
                <w:szCs w:val="18"/>
                <w:lang w:val="en-US" w:eastAsia="zh-Hans" w:bidi="ar-SA"/>
              </w:rPr>
            </w:pPr>
            <w:r>
              <w:rPr>
                <w:rFonts w:hint="eastAsia" w:ascii="宋体" w:hAnsi="宋体" w:eastAsia="宋体" w:cs="宋体"/>
                <w:b/>
                <w:color w:val="000000"/>
                <w:sz w:val="18"/>
                <w:szCs w:val="18"/>
                <w:lang w:val="en-US" w:eastAsia="zh-Hans" w:bidi="ar-SA"/>
              </w:rPr>
              <w:t>作品名称</w:t>
            </w:r>
          </w:p>
        </w:tc>
        <w:tc>
          <w:tcPr>
            <w:tcW w:w="2764" w:type="dxa"/>
            <w:tcBorders>
              <w:top w:val="single" w:color="ED7D31" w:sz="4" w:space="0"/>
              <w:left w:val="single" w:color="ED7D31" w:sz="4" w:space="0"/>
              <w:bottom w:val="single" w:color="ED7D31" w:sz="4" w:space="0"/>
              <w:right w:val="single" w:color="ED7D31" w:sz="4" w:space="0"/>
            </w:tcBorders>
            <w:shd w:val="clear" w:color="auto" w:fill="F5B08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color w:val="000000"/>
                <w:sz w:val="18"/>
                <w:szCs w:val="18"/>
                <w:lang w:val="en-US" w:eastAsia="zh-Hans" w:bidi="ar-SA"/>
              </w:rPr>
            </w:pPr>
            <w:r>
              <w:rPr>
                <w:rFonts w:hint="eastAsia" w:ascii="宋体" w:hAnsi="宋体" w:eastAsia="宋体" w:cs="宋体"/>
                <w:b/>
                <w:color w:val="000000"/>
                <w:sz w:val="18"/>
                <w:szCs w:val="18"/>
                <w:lang w:val="en-US" w:eastAsia="zh-Hans" w:bidi="ar-SA"/>
              </w:rPr>
              <w:t>教学团队成员</w:t>
            </w:r>
          </w:p>
        </w:tc>
        <w:tc>
          <w:tcPr>
            <w:tcW w:w="840" w:type="dxa"/>
            <w:tcBorders>
              <w:top w:val="single" w:color="ED7D31" w:sz="4" w:space="0"/>
              <w:left w:val="single" w:color="ED7D31" w:sz="4" w:space="0"/>
              <w:bottom w:val="single" w:color="ED7D31" w:sz="4" w:space="0"/>
              <w:right w:val="single" w:color="ED7D31" w:sz="4" w:space="0"/>
            </w:tcBorders>
            <w:shd w:val="clear" w:color="auto" w:fill="F5B08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color w:val="000000"/>
                <w:sz w:val="18"/>
                <w:szCs w:val="18"/>
                <w:lang w:val="en-US" w:eastAsia="zh-Hans" w:bidi="ar-SA"/>
              </w:rPr>
            </w:pPr>
            <w:r>
              <w:rPr>
                <w:rFonts w:hint="eastAsia" w:ascii="宋体" w:hAnsi="宋体" w:eastAsia="宋体" w:cs="宋体"/>
                <w:b/>
                <w:color w:val="000000"/>
                <w:sz w:val="18"/>
                <w:szCs w:val="18"/>
                <w:lang w:val="en-US" w:eastAsia="zh-Hans" w:bidi="ar-SA"/>
              </w:rPr>
              <w:t>等级奖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34"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Hans" w:bidi="ar-SA"/>
              </w:rPr>
            </w:pPr>
            <w:r>
              <w:rPr>
                <w:rFonts w:hint="eastAsia" w:ascii="宋体" w:hAnsi="宋体" w:eastAsia="宋体" w:cs="宋体"/>
                <w:b w:val="0"/>
                <w:color w:val="000000"/>
                <w:sz w:val="18"/>
                <w:szCs w:val="18"/>
                <w:lang w:val="en-US" w:eastAsia="zh-Hans" w:bidi="ar-SA"/>
              </w:rPr>
              <w:t>1</w:t>
            </w:r>
          </w:p>
        </w:tc>
        <w:tc>
          <w:tcPr>
            <w:tcW w:w="1951"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遂宁市船山职业技术学校</w:t>
            </w:r>
          </w:p>
        </w:tc>
        <w:tc>
          <w:tcPr>
            <w:tcW w:w="2167"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智仓智送作业</w:t>
            </w:r>
          </w:p>
        </w:tc>
        <w:tc>
          <w:tcPr>
            <w:tcW w:w="2764"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吴泽军</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杨启地</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彭维</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许雷娟</w:t>
            </w:r>
          </w:p>
        </w:tc>
        <w:tc>
          <w:tcPr>
            <w:tcW w:w="840"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34"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Hans" w:bidi="ar-SA"/>
              </w:rPr>
            </w:pPr>
            <w:r>
              <w:rPr>
                <w:rFonts w:hint="eastAsia" w:ascii="宋体" w:hAnsi="宋体" w:eastAsia="宋体" w:cs="宋体"/>
                <w:b w:val="0"/>
                <w:color w:val="000000"/>
                <w:sz w:val="18"/>
                <w:szCs w:val="18"/>
                <w:lang w:val="en-US" w:eastAsia="zh-Hans" w:bidi="ar-SA"/>
              </w:rPr>
              <w:t>2</w:t>
            </w:r>
          </w:p>
        </w:tc>
        <w:tc>
          <w:tcPr>
            <w:tcW w:w="1951"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四川省大英县中等职业技术学校</w:t>
            </w:r>
          </w:p>
        </w:tc>
        <w:tc>
          <w:tcPr>
            <w:tcW w:w="2167"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圆弧类零件的加工</w:t>
            </w:r>
          </w:p>
        </w:tc>
        <w:tc>
          <w:tcPr>
            <w:tcW w:w="2764"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郭小艳</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郭岱鑫</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周汝强</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刘迪</w:t>
            </w:r>
          </w:p>
        </w:tc>
        <w:tc>
          <w:tcPr>
            <w:tcW w:w="840"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34"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Hans" w:bidi="ar-SA"/>
              </w:rPr>
            </w:pPr>
            <w:r>
              <w:rPr>
                <w:rFonts w:hint="eastAsia" w:ascii="宋体" w:hAnsi="宋体" w:eastAsia="宋体" w:cs="宋体"/>
                <w:b w:val="0"/>
                <w:color w:val="000000"/>
                <w:sz w:val="18"/>
                <w:szCs w:val="18"/>
                <w:lang w:val="en-US" w:eastAsia="zh-Hans" w:bidi="ar-SA"/>
              </w:rPr>
              <w:t>3</w:t>
            </w:r>
          </w:p>
        </w:tc>
        <w:tc>
          <w:tcPr>
            <w:tcW w:w="1951"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遂宁市职业技术学校</w:t>
            </w:r>
          </w:p>
        </w:tc>
        <w:tc>
          <w:tcPr>
            <w:tcW w:w="2167"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川剧脸谱创新设计</w:t>
            </w:r>
          </w:p>
        </w:tc>
        <w:tc>
          <w:tcPr>
            <w:tcW w:w="2764"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蒋奕</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王明菊</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刘耘希</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林长虹</w:t>
            </w:r>
          </w:p>
        </w:tc>
        <w:tc>
          <w:tcPr>
            <w:tcW w:w="840"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34"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4</w:t>
            </w:r>
          </w:p>
        </w:tc>
        <w:tc>
          <w:tcPr>
            <w:tcW w:w="1951"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遂宁市职业技术学校</w:t>
            </w:r>
          </w:p>
        </w:tc>
        <w:tc>
          <w:tcPr>
            <w:tcW w:w="2167"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共享农耕直播营销</w:t>
            </w:r>
          </w:p>
        </w:tc>
        <w:tc>
          <w:tcPr>
            <w:tcW w:w="2764"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郭春梅</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胥涛</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杨莎莎</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苟煜辰</w:t>
            </w:r>
          </w:p>
        </w:tc>
        <w:tc>
          <w:tcPr>
            <w:tcW w:w="840"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34"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5</w:t>
            </w:r>
          </w:p>
        </w:tc>
        <w:tc>
          <w:tcPr>
            <w:tcW w:w="1951"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四川省遂宁市安居职业高级中学校</w:t>
            </w:r>
          </w:p>
        </w:tc>
        <w:tc>
          <w:tcPr>
            <w:tcW w:w="2167"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新能源汽车5000km保养</w:t>
            </w:r>
          </w:p>
        </w:tc>
        <w:tc>
          <w:tcPr>
            <w:tcW w:w="2764"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谭清文</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青山</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税清勇</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米庆军</w:t>
            </w:r>
          </w:p>
        </w:tc>
        <w:tc>
          <w:tcPr>
            <w:tcW w:w="840"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34"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6</w:t>
            </w:r>
          </w:p>
        </w:tc>
        <w:tc>
          <w:tcPr>
            <w:tcW w:w="1951"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四川省射洪市职业中专学校</w:t>
            </w:r>
          </w:p>
        </w:tc>
        <w:tc>
          <w:tcPr>
            <w:tcW w:w="2167"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Hotel service</w:t>
            </w:r>
          </w:p>
        </w:tc>
        <w:tc>
          <w:tcPr>
            <w:tcW w:w="2764"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吕海英</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任强</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李俊华</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但宇慧</w:t>
            </w:r>
          </w:p>
        </w:tc>
        <w:tc>
          <w:tcPr>
            <w:tcW w:w="840"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34"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7</w:t>
            </w:r>
          </w:p>
        </w:tc>
        <w:tc>
          <w:tcPr>
            <w:tcW w:w="1951"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四川省蓬溪县中等职业技术学校</w:t>
            </w:r>
          </w:p>
        </w:tc>
        <w:tc>
          <w:tcPr>
            <w:tcW w:w="2167"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中药材数字化推广</w:t>
            </w:r>
          </w:p>
        </w:tc>
        <w:tc>
          <w:tcPr>
            <w:tcW w:w="2764"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李丽华</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张腾</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王婷婷</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何小华</w:t>
            </w:r>
          </w:p>
        </w:tc>
        <w:tc>
          <w:tcPr>
            <w:tcW w:w="840"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34"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8</w:t>
            </w:r>
          </w:p>
        </w:tc>
        <w:tc>
          <w:tcPr>
            <w:tcW w:w="1951"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四川省遂宁市安居职业高级中学校</w:t>
            </w:r>
          </w:p>
        </w:tc>
        <w:tc>
          <w:tcPr>
            <w:tcW w:w="2167"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五式太极拳</w:t>
            </w:r>
          </w:p>
        </w:tc>
        <w:tc>
          <w:tcPr>
            <w:tcW w:w="2764"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祝英</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何维</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唐伟</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姜美华</w:t>
            </w:r>
          </w:p>
        </w:tc>
        <w:tc>
          <w:tcPr>
            <w:tcW w:w="840"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34"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9</w:t>
            </w:r>
          </w:p>
        </w:tc>
        <w:tc>
          <w:tcPr>
            <w:tcW w:w="1951"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四川省遂宁市安居职业高级中学校</w:t>
            </w:r>
          </w:p>
        </w:tc>
        <w:tc>
          <w:tcPr>
            <w:tcW w:w="2167"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红色景区讲解服务-杨闇公故里</w:t>
            </w:r>
          </w:p>
        </w:tc>
        <w:tc>
          <w:tcPr>
            <w:tcW w:w="2764"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陈可</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伍洪禄</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杨静</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罗兵</w:t>
            </w:r>
          </w:p>
        </w:tc>
        <w:tc>
          <w:tcPr>
            <w:tcW w:w="840"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34"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10</w:t>
            </w:r>
          </w:p>
        </w:tc>
        <w:tc>
          <w:tcPr>
            <w:tcW w:w="1951"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highlight w:val="none"/>
                <w:lang w:val="en-US" w:eastAsia="zh-Hans" w:bidi="ar-SA"/>
              </w:rPr>
            </w:pPr>
            <w:r>
              <w:rPr>
                <w:rFonts w:hint="eastAsia" w:ascii="宋体" w:hAnsi="宋体" w:eastAsia="宋体" w:cs="宋体"/>
                <w:b w:val="0"/>
                <w:color w:val="000000"/>
                <w:sz w:val="18"/>
                <w:szCs w:val="18"/>
                <w:highlight w:val="none"/>
                <w:lang w:val="en-US" w:eastAsia="zh-Hans" w:bidi="ar-SA"/>
              </w:rPr>
              <w:t>四川省射洪市职业中专学校</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highlight w:val="none"/>
                <w:lang w:val="en-US" w:eastAsia="zh-CN" w:bidi="ar-SA"/>
              </w:rPr>
            </w:pPr>
            <w:r>
              <w:rPr>
                <w:rFonts w:hint="eastAsia" w:ascii="宋体" w:hAnsi="宋体" w:eastAsia="宋体" w:cs="宋体"/>
                <w:b w:val="0"/>
                <w:color w:val="000000"/>
                <w:sz w:val="18"/>
                <w:szCs w:val="18"/>
                <w:highlight w:val="none"/>
                <w:lang w:val="en-US" w:eastAsia="zh-Hans" w:bidi="ar-SA"/>
              </w:rPr>
              <w:t>四川省蓬溪县中等职业技术学校</w:t>
            </w:r>
          </w:p>
        </w:tc>
        <w:tc>
          <w:tcPr>
            <w:tcW w:w="2167"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highlight w:val="none"/>
                <w:lang w:val="en-US" w:eastAsia="zh-CN" w:bidi="ar-SA"/>
              </w:rPr>
            </w:pPr>
            <w:r>
              <w:rPr>
                <w:rFonts w:hint="eastAsia" w:ascii="宋体" w:hAnsi="宋体" w:eastAsia="宋体" w:cs="宋体"/>
                <w:b w:val="0"/>
                <w:color w:val="000000"/>
                <w:sz w:val="18"/>
                <w:szCs w:val="18"/>
                <w:highlight w:val="none"/>
                <w:lang w:val="en-US" w:eastAsia="zh-Hans" w:bidi="ar-SA"/>
              </w:rPr>
              <w:t>小春作物收贮</w:t>
            </w:r>
          </w:p>
        </w:tc>
        <w:tc>
          <w:tcPr>
            <w:tcW w:w="2764"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尹雄</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文妍容</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赵明明</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程岚</w:t>
            </w:r>
          </w:p>
        </w:tc>
        <w:tc>
          <w:tcPr>
            <w:tcW w:w="840"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三等奖</w:t>
            </w:r>
          </w:p>
        </w:tc>
      </w:tr>
    </w:tbl>
    <w:p>
      <w:pPr>
        <w:pStyle w:val="8"/>
        <w:ind w:firstLine="0" w:firstLineChars="0"/>
        <w:jc w:val="both"/>
        <w:rPr>
          <w:rFonts w:hint="eastAsia" w:ascii="宋体" w:hAnsi="宋体" w:eastAsia="宋体" w:cs="宋体"/>
          <w:b/>
          <w:bCs/>
          <w:color w:val="FF0000"/>
          <w:sz w:val="21"/>
          <w:szCs w:val="21"/>
          <w:highlight w:val="none"/>
          <w:lang w:val="en-US" w:eastAsia="zh-CN"/>
        </w:rPr>
      </w:pPr>
    </w:p>
    <w:p>
      <w:pPr>
        <w:pStyle w:val="8"/>
        <w:keepNext w:val="0"/>
        <w:keepLines w:val="0"/>
        <w:pageBreakBefore w:val="0"/>
        <w:widowControl w:val="0"/>
        <w:kinsoku/>
        <w:wordWrap/>
        <w:overflowPunct/>
        <w:topLinePunct w:val="0"/>
        <w:autoSpaceDE/>
        <w:autoSpaceDN/>
        <w:bidi w:val="0"/>
        <w:adjustRightInd/>
        <w:snapToGrid/>
        <w:spacing w:after="126" w:afterLines="40" w:line="560" w:lineRule="exact"/>
        <w:jc w:val="center"/>
        <w:textAlignment w:val="auto"/>
        <w:rPr>
          <w:rFonts w:hint="eastAsia" w:ascii="Times New Roman" w:hAnsi="Times New Roman" w:eastAsia="宋体" w:cs="宋体"/>
          <w:b/>
          <w:bCs/>
          <w:color w:val="auto"/>
          <w:sz w:val="21"/>
          <w:szCs w:val="21"/>
        </w:rPr>
      </w:pPr>
      <w:bookmarkStart w:id="354" w:name="_Toc10883"/>
      <w:r>
        <w:rPr>
          <w:rFonts w:hint="eastAsia" w:ascii="Times New Roman" w:hAnsi="Times New Roman" w:eastAsia="宋体" w:cs="宋体"/>
          <w:b/>
          <w:bCs/>
          <w:color w:val="auto"/>
          <w:sz w:val="21"/>
          <w:szCs w:val="21"/>
        </w:rPr>
        <w:t>表</w:t>
      </w:r>
      <w:r>
        <w:rPr>
          <w:rFonts w:hint="eastAsia" w:ascii="Times New Roman" w:hAnsi="Times New Roman" w:eastAsia="宋体" w:cs="宋体"/>
          <w:b/>
          <w:bCs/>
          <w:color w:val="auto"/>
          <w:sz w:val="21"/>
          <w:szCs w:val="21"/>
        </w:rPr>
        <w:fldChar w:fldCharType="begin"/>
      </w:r>
      <w:r>
        <w:rPr>
          <w:rFonts w:hint="eastAsia" w:ascii="Times New Roman" w:hAnsi="Times New Roman" w:eastAsia="宋体" w:cs="宋体"/>
          <w:b/>
          <w:bCs/>
          <w:color w:val="auto"/>
          <w:sz w:val="21"/>
          <w:szCs w:val="21"/>
        </w:rPr>
        <w:instrText xml:space="preserve"> SEQ 表 \* ARABIC </w:instrText>
      </w:r>
      <w:r>
        <w:rPr>
          <w:rFonts w:hint="eastAsia" w:ascii="Times New Roman" w:hAnsi="Times New Roman" w:eastAsia="宋体" w:cs="宋体"/>
          <w:b/>
          <w:bCs/>
          <w:color w:val="auto"/>
          <w:sz w:val="21"/>
          <w:szCs w:val="21"/>
        </w:rPr>
        <w:fldChar w:fldCharType="separate"/>
      </w:r>
      <w:r>
        <w:rPr>
          <w:rFonts w:hint="eastAsia" w:ascii="Times New Roman" w:hAnsi="Times New Roman" w:eastAsia="宋体" w:cs="宋体"/>
          <w:b/>
          <w:bCs/>
          <w:color w:val="auto"/>
          <w:sz w:val="21"/>
          <w:szCs w:val="21"/>
        </w:rPr>
        <w:t>16</w:t>
      </w:r>
      <w:r>
        <w:rPr>
          <w:rFonts w:hint="eastAsia" w:ascii="Times New Roman" w:hAnsi="Times New Roman" w:eastAsia="宋体" w:cs="宋体"/>
          <w:b/>
          <w:bCs/>
          <w:color w:val="auto"/>
          <w:sz w:val="21"/>
          <w:szCs w:val="21"/>
        </w:rPr>
        <w:fldChar w:fldCharType="end"/>
      </w:r>
      <w:bookmarkStart w:id="355" w:name="_Toc25688"/>
      <w:r>
        <w:rPr>
          <w:rFonts w:hint="eastAsia" w:ascii="Times New Roman" w:hAnsi="Times New Roman" w:eastAsia="宋体" w:cs="宋体"/>
          <w:b/>
          <w:bCs/>
          <w:color w:val="auto"/>
          <w:sz w:val="21"/>
          <w:szCs w:val="21"/>
          <w:lang w:val="en-US" w:eastAsia="zh-CN"/>
        </w:rPr>
        <w:t xml:space="preserve">  </w:t>
      </w:r>
      <w:r>
        <w:rPr>
          <w:rFonts w:hint="eastAsia" w:ascii="Times New Roman" w:hAnsi="Times New Roman" w:eastAsia="宋体" w:cs="宋体"/>
          <w:b/>
          <w:bCs/>
          <w:color w:val="auto"/>
          <w:sz w:val="21"/>
          <w:szCs w:val="21"/>
        </w:rPr>
        <w:t>202</w:t>
      </w:r>
      <w:r>
        <w:rPr>
          <w:rFonts w:hint="eastAsia" w:ascii="Times New Roman" w:hAnsi="Times New Roman" w:eastAsia="宋体" w:cs="宋体"/>
          <w:b/>
          <w:bCs/>
          <w:color w:val="auto"/>
          <w:sz w:val="21"/>
          <w:szCs w:val="21"/>
          <w:lang w:val="en-US" w:eastAsia="zh-CN"/>
        </w:rPr>
        <w:t>4</w:t>
      </w:r>
      <w:r>
        <w:rPr>
          <w:rFonts w:hint="eastAsia" w:ascii="Times New Roman" w:hAnsi="Times New Roman" w:eastAsia="宋体" w:cs="宋体"/>
          <w:b/>
          <w:bCs/>
          <w:color w:val="auto"/>
          <w:sz w:val="21"/>
          <w:szCs w:val="21"/>
        </w:rPr>
        <w:t>学年</w:t>
      </w:r>
      <w:r>
        <w:rPr>
          <w:rFonts w:hint="eastAsia" w:ascii="Times New Roman" w:hAnsi="Times New Roman" w:eastAsia="宋体" w:cs="宋体"/>
          <w:b/>
          <w:bCs/>
          <w:color w:val="auto"/>
          <w:sz w:val="21"/>
          <w:szCs w:val="21"/>
          <w:lang w:val="en-US" w:eastAsia="zh-CN"/>
        </w:rPr>
        <w:t>四川省</w:t>
      </w:r>
      <w:r>
        <w:rPr>
          <w:rFonts w:hint="eastAsia" w:ascii="Times New Roman" w:hAnsi="Times New Roman" w:eastAsia="宋体" w:cs="宋体"/>
          <w:b/>
          <w:bCs/>
          <w:color w:val="auto"/>
          <w:sz w:val="21"/>
          <w:szCs w:val="21"/>
        </w:rPr>
        <w:t>班主任</w:t>
      </w:r>
      <w:r>
        <w:rPr>
          <w:rFonts w:hint="eastAsia" w:ascii="Times New Roman" w:hAnsi="Times New Roman" w:eastAsia="宋体" w:cs="宋体"/>
          <w:b/>
          <w:bCs/>
          <w:color w:val="auto"/>
          <w:sz w:val="21"/>
          <w:szCs w:val="21"/>
          <w:lang w:val="en-US" w:eastAsia="zh-CN"/>
        </w:rPr>
        <w:t>能力大</w:t>
      </w:r>
      <w:r>
        <w:rPr>
          <w:rFonts w:hint="eastAsia" w:ascii="Times New Roman" w:hAnsi="Times New Roman" w:eastAsia="宋体" w:cs="宋体"/>
          <w:b/>
          <w:bCs/>
          <w:color w:val="auto"/>
          <w:sz w:val="21"/>
          <w:szCs w:val="21"/>
        </w:rPr>
        <w:t>赛获奖情况</w:t>
      </w:r>
      <w:bookmarkEnd w:id="354"/>
      <w:bookmarkEnd w:id="355"/>
    </w:p>
    <w:tbl>
      <w:tblPr>
        <w:tblStyle w:val="30"/>
        <w:tblW w:w="83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4245"/>
        <w:gridCol w:w="1285"/>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18" w:type="dxa"/>
            <w:tcBorders>
              <w:top w:val="single" w:color="ED7D31" w:sz="4" w:space="0"/>
              <w:left w:val="single" w:color="ED7D31" w:sz="4" w:space="0"/>
              <w:bottom w:val="single" w:color="ED7D31" w:sz="4" w:space="0"/>
              <w:right w:val="single" w:color="ED7D31" w:sz="4" w:space="0"/>
              <w:tl2br w:val="nil"/>
            </w:tcBorders>
            <w:shd w:val="clear" w:color="auto" w:fill="F5B082"/>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0"/>
                <w:szCs w:val="20"/>
                <w:u w:val="none"/>
                <w:lang w:val="en-US" w:eastAsia="zh-CN" w:bidi="ar"/>
              </w:rPr>
            </w:pPr>
            <w:r>
              <w:rPr>
                <w:rFonts w:hint="eastAsia" w:ascii="宋体" w:hAnsi="宋体" w:eastAsia="宋体" w:cs="宋体"/>
                <w:b/>
                <w:i w:val="0"/>
                <w:color w:val="000000"/>
                <w:kern w:val="0"/>
                <w:sz w:val="20"/>
                <w:szCs w:val="20"/>
                <w:u w:val="none"/>
                <w:lang w:val="en-US" w:eastAsia="zh-CN" w:bidi="ar"/>
              </w:rPr>
              <w:t>序号</w:t>
            </w:r>
          </w:p>
        </w:tc>
        <w:tc>
          <w:tcPr>
            <w:tcW w:w="4245" w:type="dxa"/>
            <w:tcBorders>
              <w:top w:val="single" w:color="ED7D31" w:sz="4" w:space="0"/>
              <w:left w:val="single" w:color="ED7D31" w:sz="4" w:space="0"/>
              <w:bottom w:val="single" w:color="ED7D31" w:sz="4" w:space="0"/>
              <w:right w:val="single" w:color="ED7D31" w:sz="4" w:space="0"/>
            </w:tcBorders>
            <w:shd w:val="clear" w:color="auto" w:fill="F5B082"/>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0"/>
                <w:szCs w:val="20"/>
                <w:u w:val="none"/>
                <w:lang w:val="en-US" w:eastAsia="zh-CN" w:bidi="ar"/>
              </w:rPr>
            </w:pPr>
            <w:r>
              <w:rPr>
                <w:rFonts w:hint="eastAsia" w:ascii="宋体" w:hAnsi="宋体" w:eastAsia="宋体" w:cs="宋体"/>
                <w:b/>
                <w:i w:val="0"/>
                <w:color w:val="000000"/>
                <w:kern w:val="0"/>
                <w:sz w:val="20"/>
                <w:szCs w:val="20"/>
                <w:u w:val="none"/>
                <w:lang w:val="en-US" w:eastAsia="zh-CN" w:bidi="ar"/>
              </w:rPr>
              <w:t>学校名称</w:t>
            </w:r>
          </w:p>
        </w:tc>
        <w:tc>
          <w:tcPr>
            <w:tcW w:w="1285" w:type="dxa"/>
            <w:tcBorders>
              <w:top w:val="single" w:color="ED7D31" w:sz="4" w:space="0"/>
              <w:left w:val="single" w:color="ED7D31" w:sz="4" w:space="0"/>
              <w:bottom w:val="single" w:color="ED7D31" w:sz="4" w:space="0"/>
              <w:right w:val="single" w:color="ED7D31" w:sz="4" w:space="0"/>
            </w:tcBorders>
            <w:shd w:val="clear" w:color="auto" w:fill="F5B082"/>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0"/>
                <w:szCs w:val="20"/>
                <w:u w:val="none"/>
                <w:lang w:val="en-US" w:eastAsia="zh-CN" w:bidi="ar"/>
              </w:rPr>
            </w:pPr>
            <w:r>
              <w:rPr>
                <w:rFonts w:hint="eastAsia" w:ascii="宋体" w:hAnsi="宋体" w:eastAsia="宋体" w:cs="宋体"/>
                <w:b/>
                <w:i w:val="0"/>
                <w:color w:val="000000"/>
                <w:kern w:val="0"/>
                <w:sz w:val="20"/>
                <w:szCs w:val="20"/>
                <w:u w:val="none"/>
                <w:lang w:val="en-US" w:eastAsia="zh-CN" w:bidi="ar"/>
              </w:rPr>
              <w:t>获奖选手</w:t>
            </w:r>
          </w:p>
        </w:tc>
        <w:tc>
          <w:tcPr>
            <w:tcW w:w="1908" w:type="dxa"/>
            <w:tcBorders>
              <w:top w:val="single" w:color="ED7D31" w:sz="4" w:space="0"/>
              <w:left w:val="single" w:color="ED7D31" w:sz="4" w:space="0"/>
              <w:bottom w:val="single" w:color="ED7D31" w:sz="4" w:space="0"/>
              <w:right w:val="single" w:color="ED7D31" w:sz="4" w:space="0"/>
            </w:tcBorders>
            <w:shd w:val="clear" w:color="auto" w:fill="F5B082"/>
            <w:noWrap w:val="0"/>
            <w:vAlign w:val="center"/>
          </w:tcPr>
          <w:p>
            <w:pPr>
              <w:keepNext w:val="0"/>
              <w:keepLines w:val="0"/>
              <w:widowControl/>
              <w:suppressLineNumbers w:val="0"/>
              <w:jc w:val="center"/>
              <w:textAlignment w:val="center"/>
              <w:rPr>
                <w:rFonts w:hint="eastAsia" w:ascii="宋体" w:hAnsi="宋体" w:eastAsia="宋体" w:cs="宋体"/>
                <w:b/>
                <w:i w:val="0"/>
                <w:color w:val="000000"/>
                <w:kern w:val="0"/>
                <w:sz w:val="20"/>
                <w:szCs w:val="20"/>
                <w:u w:val="none"/>
                <w:lang w:val="en-US" w:eastAsia="zh-CN" w:bidi="ar"/>
              </w:rPr>
            </w:pPr>
            <w:r>
              <w:rPr>
                <w:rFonts w:hint="eastAsia" w:ascii="宋体" w:hAnsi="宋体" w:eastAsia="宋体" w:cs="宋体"/>
                <w:b/>
                <w:i w:val="0"/>
                <w:color w:val="000000"/>
                <w:kern w:val="0"/>
                <w:sz w:val="20"/>
                <w:szCs w:val="20"/>
                <w:u w:val="none"/>
                <w:lang w:val="en-US" w:eastAsia="zh-CN" w:bidi="ar"/>
              </w:rPr>
              <w:t>等级奖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18"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1</w:t>
            </w:r>
          </w:p>
        </w:tc>
        <w:tc>
          <w:tcPr>
            <w:tcW w:w="4245"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遂宁市船山职业技术学校</w:t>
            </w:r>
          </w:p>
        </w:tc>
        <w:tc>
          <w:tcPr>
            <w:tcW w:w="1285"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陈金凤</w:t>
            </w:r>
          </w:p>
        </w:tc>
        <w:tc>
          <w:tcPr>
            <w:tcW w:w="1908"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18"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2</w:t>
            </w:r>
          </w:p>
        </w:tc>
        <w:tc>
          <w:tcPr>
            <w:tcW w:w="4245"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四川省遂宁市安居职业高级中学校</w:t>
            </w:r>
          </w:p>
        </w:tc>
        <w:tc>
          <w:tcPr>
            <w:tcW w:w="1285"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方</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艳</w:t>
            </w:r>
          </w:p>
        </w:tc>
        <w:tc>
          <w:tcPr>
            <w:tcW w:w="1908"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18"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3</w:t>
            </w:r>
          </w:p>
        </w:tc>
        <w:tc>
          <w:tcPr>
            <w:tcW w:w="4245"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四川省大英县中等职业技术学校</w:t>
            </w:r>
          </w:p>
        </w:tc>
        <w:tc>
          <w:tcPr>
            <w:tcW w:w="1285"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戴鸿霖</w:t>
            </w:r>
          </w:p>
        </w:tc>
        <w:tc>
          <w:tcPr>
            <w:tcW w:w="1908"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18"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4</w:t>
            </w:r>
          </w:p>
        </w:tc>
        <w:tc>
          <w:tcPr>
            <w:tcW w:w="4245"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遂宁市船山职业技术学校</w:t>
            </w:r>
          </w:p>
        </w:tc>
        <w:tc>
          <w:tcPr>
            <w:tcW w:w="1285"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谭杰文</w:t>
            </w:r>
          </w:p>
        </w:tc>
        <w:tc>
          <w:tcPr>
            <w:tcW w:w="1908"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18"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5</w:t>
            </w:r>
          </w:p>
        </w:tc>
        <w:tc>
          <w:tcPr>
            <w:tcW w:w="4245"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四川省射洪市职业中专学校</w:t>
            </w:r>
          </w:p>
        </w:tc>
        <w:tc>
          <w:tcPr>
            <w:tcW w:w="1285"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谢婷婷</w:t>
            </w:r>
          </w:p>
        </w:tc>
        <w:tc>
          <w:tcPr>
            <w:tcW w:w="1908"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18"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6</w:t>
            </w:r>
          </w:p>
        </w:tc>
        <w:tc>
          <w:tcPr>
            <w:tcW w:w="4245"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四川省蓬溪县中等职业技术学校</w:t>
            </w:r>
          </w:p>
        </w:tc>
        <w:tc>
          <w:tcPr>
            <w:tcW w:w="1285"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邓又苹</w:t>
            </w:r>
          </w:p>
        </w:tc>
        <w:tc>
          <w:tcPr>
            <w:tcW w:w="1908"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三等奖</w:t>
            </w:r>
          </w:p>
        </w:tc>
      </w:tr>
    </w:tbl>
    <w:p>
      <w:pPr>
        <w:rPr>
          <w:rFonts w:hint="eastAsia" w:ascii="Times New Roman" w:hAnsi="Times New Roman" w:eastAsia="宋体" w:cs="宋体"/>
          <w:b/>
          <w:bCs/>
          <w:color w:val="auto"/>
          <w:sz w:val="21"/>
          <w:szCs w:val="21"/>
          <w:highlight w:val="none"/>
        </w:rPr>
      </w:pPr>
    </w:p>
    <w:p>
      <w:pPr>
        <w:pStyle w:val="8"/>
        <w:keepNext w:val="0"/>
        <w:keepLines w:val="0"/>
        <w:pageBreakBefore w:val="0"/>
        <w:widowControl w:val="0"/>
        <w:kinsoku/>
        <w:wordWrap/>
        <w:overflowPunct/>
        <w:topLinePunct w:val="0"/>
        <w:autoSpaceDE/>
        <w:autoSpaceDN/>
        <w:bidi w:val="0"/>
        <w:adjustRightInd/>
        <w:snapToGrid/>
        <w:spacing w:after="126" w:afterLines="40" w:line="560" w:lineRule="exact"/>
        <w:jc w:val="center"/>
        <w:textAlignment w:val="auto"/>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rPr>
        <w:t>表</w:t>
      </w:r>
      <w:r>
        <w:rPr>
          <w:rFonts w:hint="eastAsia" w:ascii="Times New Roman" w:hAnsi="Times New Roman" w:eastAsia="宋体" w:cs="宋体"/>
          <w:b/>
          <w:bCs/>
          <w:color w:val="auto"/>
          <w:sz w:val="21"/>
          <w:szCs w:val="21"/>
        </w:rPr>
        <w:fldChar w:fldCharType="begin"/>
      </w:r>
      <w:r>
        <w:rPr>
          <w:rFonts w:hint="eastAsia" w:ascii="Times New Roman" w:hAnsi="Times New Roman" w:eastAsia="宋体" w:cs="宋体"/>
          <w:b/>
          <w:bCs/>
          <w:color w:val="auto"/>
          <w:sz w:val="21"/>
          <w:szCs w:val="21"/>
        </w:rPr>
        <w:instrText xml:space="preserve"> SEQ 表 \* ARABIC </w:instrText>
      </w:r>
      <w:r>
        <w:rPr>
          <w:rFonts w:hint="eastAsia" w:ascii="Times New Roman" w:hAnsi="Times New Roman" w:eastAsia="宋体" w:cs="宋体"/>
          <w:b/>
          <w:bCs/>
          <w:color w:val="auto"/>
          <w:sz w:val="21"/>
          <w:szCs w:val="21"/>
        </w:rPr>
        <w:fldChar w:fldCharType="separate"/>
      </w:r>
      <w:r>
        <w:rPr>
          <w:rFonts w:hint="eastAsia" w:ascii="Times New Roman" w:hAnsi="Times New Roman" w:eastAsia="宋体" w:cs="宋体"/>
          <w:b/>
          <w:bCs/>
          <w:color w:val="auto"/>
          <w:sz w:val="21"/>
          <w:szCs w:val="21"/>
        </w:rPr>
        <w:t>17</w:t>
      </w:r>
      <w:r>
        <w:rPr>
          <w:rFonts w:hint="eastAsia" w:ascii="Times New Roman" w:hAnsi="Times New Roman" w:eastAsia="宋体" w:cs="宋体"/>
          <w:b/>
          <w:bCs/>
          <w:color w:val="auto"/>
          <w:sz w:val="21"/>
          <w:szCs w:val="21"/>
        </w:rPr>
        <w:fldChar w:fldCharType="end"/>
      </w:r>
      <w:bookmarkStart w:id="356" w:name="_Toc1175"/>
      <w:r>
        <w:rPr>
          <w:rFonts w:hint="eastAsia" w:ascii="Times New Roman" w:hAnsi="Times New Roman" w:eastAsia="宋体" w:cs="宋体"/>
          <w:b/>
          <w:bCs/>
          <w:color w:val="auto"/>
          <w:sz w:val="21"/>
          <w:szCs w:val="21"/>
          <w:lang w:val="en-US" w:eastAsia="zh-CN"/>
        </w:rPr>
        <w:t xml:space="preserve">  2024学年四川省中等职业学校思想政治教师能力比赛获奖情况</w:t>
      </w:r>
      <w:bookmarkEnd w:id="356"/>
    </w:p>
    <w:tbl>
      <w:tblPr>
        <w:tblStyle w:val="80"/>
        <w:tblW w:w="4914" w:type="pct"/>
        <w:jc w:val="center"/>
        <w:tblBorders>
          <w:top w:val="single" w:color="4874CB" w:sz="4" w:space="0"/>
          <w:left w:val="none" w:color="auto" w:sz="0" w:space="0"/>
          <w:bottom w:val="single" w:color="4874CB" w:sz="4" w:space="0"/>
          <w:right w:val="none" w:color="auto" w:sz="0" w:space="0"/>
          <w:insideH w:val="single" w:color="4874CB" w:sz="4" w:space="0"/>
          <w:insideV w:val="none" w:color="auto" w:sz="0" w:space="0"/>
        </w:tblBorders>
        <w:tblLayout w:type="fixed"/>
        <w:tblCellMar>
          <w:top w:w="0" w:type="dxa"/>
          <w:left w:w="108" w:type="dxa"/>
          <w:bottom w:w="0" w:type="dxa"/>
          <w:right w:w="108" w:type="dxa"/>
        </w:tblCellMar>
      </w:tblPr>
      <w:tblGrid>
        <w:gridCol w:w="585"/>
        <w:gridCol w:w="2922"/>
        <w:gridCol w:w="2009"/>
        <w:gridCol w:w="2099"/>
        <w:gridCol w:w="761"/>
      </w:tblGrid>
      <w:tr>
        <w:tblPrEx>
          <w:tblBorders>
            <w:top w:val="single" w:color="4874CB" w:sz="4" w:space="0"/>
            <w:left w:val="none" w:color="auto" w:sz="0" w:space="0"/>
            <w:bottom w:val="single" w:color="4874CB" w:sz="4" w:space="0"/>
            <w:right w:val="none" w:color="auto" w:sz="0" w:space="0"/>
            <w:insideH w:val="single" w:color="4874CB" w:sz="4" w:space="0"/>
            <w:insideV w:val="none" w:color="auto" w:sz="0" w:space="0"/>
          </w:tblBorders>
          <w:tblCellMar>
            <w:top w:w="0" w:type="dxa"/>
            <w:left w:w="108" w:type="dxa"/>
            <w:bottom w:w="0" w:type="dxa"/>
            <w:right w:w="108" w:type="dxa"/>
          </w:tblCellMar>
        </w:tblPrEx>
        <w:trPr>
          <w:trHeight w:val="499" w:hRule="atLeast"/>
          <w:tblHeader/>
          <w:jc w:val="center"/>
        </w:trPr>
        <w:tc>
          <w:tcPr>
            <w:tcW w:w="585" w:type="dxa"/>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rPr>
                <w:rFonts w:hint="eastAsia" w:ascii="宋体" w:hAnsi="宋体" w:eastAsia="宋体" w:cs="宋体"/>
                <w:b/>
                <w:bCs/>
                <w:color w:val="000000"/>
                <w:sz w:val="18"/>
                <w:szCs w:val="18"/>
              </w:rPr>
            </w:pPr>
            <w:r>
              <w:rPr>
                <w:rFonts w:hint="eastAsia" w:ascii="宋体" w:hAnsi="宋体" w:eastAsia="宋体" w:cs="宋体"/>
                <w:b/>
                <w:bCs w:val="0"/>
                <w:color w:val="000000"/>
                <w:sz w:val="18"/>
                <w:szCs w:val="18"/>
              </w:rPr>
              <w:t>序号</w:t>
            </w:r>
          </w:p>
        </w:tc>
        <w:tc>
          <w:tcPr>
            <w:tcW w:w="2922" w:type="dxa"/>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rPr>
                <w:rFonts w:hint="eastAsia" w:ascii="宋体" w:hAnsi="宋体" w:eastAsia="宋体" w:cs="宋体"/>
                <w:b/>
                <w:bCs/>
                <w:color w:val="000000"/>
                <w:sz w:val="18"/>
                <w:szCs w:val="18"/>
                <w:lang w:eastAsia="zh-CN"/>
              </w:rPr>
            </w:pPr>
            <w:r>
              <w:rPr>
                <w:rFonts w:hint="eastAsia" w:ascii="宋体" w:hAnsi="宋体" w:eastAsia="宋体" w:cs="宋体"/>
                <w:b/>
                <w:bCs w:val="0"/>
                <w:color w:val="000000"/>
                <w:sz w:val="18"/>
                <w:szCs w:val="18"/>
              </w:rPr>
              <w:t>参赛</w:t>
            </w:r>
            <w:r>
              <w:rPr>
                <w:rFonts w:hint="eastAsia" w:ascii="宋体" w:hAnsi="宋体" w:eastAsia="宋体" w:cs="宋体"/>
                <w:b/>
                <w:bCs w:val="0"/>
                <w:color w:val="000000"/>
                <w:sz w:val="18"/>
                <w:szCs w:val="18"/>
                <w:lang w:eastAsia="zh-CN"/>
              </w:rPr>
              <w:t>学校</w:t>
            </w:r>
          </w:p>
        </w:tc>
        <w:tc>
          <w:tcPr>
            <w:tcW w:w="2009" w:type="dxa"/>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rPr>
                <w:rFonts w:hint="eastAsia" w:ascii="宋体" w:hAnsi="宋体" w:eastAsia="宋体" w:cs="宋体"/>
                <w:b/>
                <w:bCs/>
                <w:color w:val="000000"/>
                <w:sz w:val="18"/>
                <w:szCs w:val="18"/>
                <w:lang w:eastAsia="zh-CN"/>
              </w:rPr>
            </w:pPr>
            <w:r>
              <w:rPr>
                <w:rFonts w:hint="eastAsia" w:ascii="宋体" w:hAnsi="宋体" w:eastAsia="宋体" w:cs="宋体"/>
                <w:b/>
                <w:bCs/>
                <w:color w:val="000000"/>
                <w:sz w:val="18"/>
                <w:szCs w:val="18"/>
                <w:lang w:eastAsia="zh-CN"/>
              </w:rPr>
              <w:t>项目</w:t>
            </w:r>
          </w:p>
        </w:tc>
        <w:tc>
          <w:tcPr>
            <w:tcW w:w="2099" w:type="dxa"/>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rPr>
                <w:rFonts w:hint="eastAsia" w:ascii="宋体" w:hAnsi="宋体" w:eastAsia="宋体" w:cs="宋体"/>
                <w:b/>
                <w:bCs/>
                <w:color w:val="000000"/>
                <w:sz w:val="18"/>
                <w:szCs w:val="18"/>
              </w:rPr>
            </w:pPr>
            <w:r>
              <w:rPr>
                <w:rFonts w:hint="eastAsia" w:ascii="宋体" w:hAnsi="宋体" w:eastAsia="宋体" w:cs="宋体"/>
                <w:b/>
                <w:bCs w:val="0"/>
                <w:color w:val="000000"/>
                <w:sz w:val="18"/>
                <w:szCs w:val="18"/>
              </w:rPr>
              <w:t>姓名</w:t>
            </w:r>
          </w:p>
        </w:tc>
        <w:tc>
          <w:tcPr>
            <w:tcW w:w="761" w:type="dxa"/>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keepNext w:val="0"/>
              <w:keepLines w:val="0"/>
              <w:pageBreakBefore w:val="0"/>
              <w:widowControl/>
              <w:kinsoku/>
              <w:wordWrap/>
              <w:overflowPunct/>
              <w:topLinePunct w:val="0"/>
              <w:autoSpaceDE/>
              <w:autoSpaceDN/>
              <w:bidi w:val="0"/>
              <w:adjustRightInd w:val="0"/>
              <w:snapToGrid/>
              <w:spacing w:line="320" w:lineRule="exact"/>
              <w:jc w:val="center"/>
              <w:rPr>
                <w:rFonts w:hint="eastAsia" w:ascii="宋体" w:hAnsi="宋体" w:eastAsia="宋体" w:cs="宋体"/>
                <w:b/>
                <w:bCs/>
                <w:color w:val="000000"/>
                <w:sz w:val="18"/>
                <w:szCs w:val="18"/>
              </w:rPr>
            </w:pPr>
            <w:r>
              <w:rPr>
                <w:rFonts w:hint="eastAsia" w:ascii="宋体" w:hAnsi="宋体" w:eastAsia="宋体" w:cs="宋体"/>
                <w:b/>
                <w:i w:val="0"/>
                <w:color w:val="000000"/>
                <w:kern w:val="0"/>
                <w:sz w:val="18"/>
                <w:szCs w:val="18"/>
                <w:u w:val="none"/>
                <w:lang w:val="en-US" w:eastAsia="zh-CN" w:bidi="ar"/>
              </w:rPr>
              <w:t>等级奖</w:t>
            </w:r>
          </w:p>
        </w:tc>
      </w:tr>
      <w:tr>
        <w:tblPrEx>
          <w:tblBorders>
            <w:top w:val="single" w:color="4874CB" w:sz="4" w:space="0"/>
            <w:left w:val="none" w:color="auto" w:sz="0" w:space="0"/>
            <w:bottom w:val="single" w:color="4874CB" w:sz="4" w:space="0"/>
            <w:right w:val="none" w:color="auto" w:sz="0" w:space="0"/>
            <w:insideH w:val="single" w:color="4874CB" w:sz="4" w:space="0"/>
            <w:insideV w:val="none" w:color="auto" w:sz="0" w:space="0"/>
          </w:tblBorders>
          <w:tblCellMar>
            <w:top w:w="0" w:type="dxa"/>
            <w:left w:w="108" w:type="dxa"/>
            <w:bottom w:w="0" w:type="dxa"/>
            <w:right w:w="108" w:type="dxa"/>
          </w:tblCellMar>
        </w:tblPrEx>
        <w:trPr>
          <w:trHeight w:val="499" w:hRule="atLeast"/>
          <w:tblHeader/>
          <w:jc w:val="center"/>
        </w:trPr>
        <w:tc>
          <w:tcPr>
            <w:tcW w:w="585"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1</w:t>
            </w:r>
          </w:p>
        </w:tc>
        <w:tc>
          <w:tcPr>
            <w:tcW w:w="2922"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遂宁市职业技术学校</w:t>
            </w:r>
          </w:p>
        </w:tc>
        <w:tc>
          <w:tcPr>
            <w:tcW w:w="2009"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职业道德与法治</w:t>
            </w:r>
          </w:p>
        </w:tc>
        <w:tc>
          <w:tcPr>
            <w:tcW w:w="2099"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补秋荭</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张</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雪</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卢</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倩</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钟</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 xml:space="preserve"> 佳</w:t>
            </w:r>
          </w:p>
        </w:tc>
        <w:tc>
          <w:tcPr>
            <w:tcW w:w="761"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一等奖</w:t>
            </w:r>
          </w:p>
        </w:tc>
      </w:tr>
      <w:tr>
        <w:tblPrEx>
          <w:tblBorders>
            <w:top w:val="single" w:color="4874CB" w:sz="4" w:space="0"/>
            <w:left w:val="none" w:color="auto" w:sz="0" w:space="0"/>
            <w:bottom w:val="single" w:color="4874CB" w:sz="4" w:space="0"/>
            <w:right w:val="none" w:color="auto" w:sz="0" w:space="0"/>
            <w:insideH w:val="single" w:color="4874CB" w:sz="4" w:space="0"/>
            <w:insideV w:val="none" w:color="auto" w:sz="0" w:space="0"/>
          </w:tblBorders>
          <w:tblCellMar>
            <w:top w:w="0" w:type="dxa"/>
            <w:left w:w="108" w:type="dxa"/>
            <w:bottom w:w="0" w:type="dxa"/>
            <w:right w:w="108" w:type="dxa"/>
          </w:tblCellMar>
        </w:tblPrEx>
        <w:trPr>
          <w:trHeight w:val="499" w:hRule="atLeast"/>
          <w:tblHeader/>
          <w:jc w:val="center"/>
        </w:trPr>
        <w:tc>
          <w:tcPr>
            <w:tcW w:w="585"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2</w:t>
            </w:r>
          </w:p>
        </w:tc>
        <w:tc>
          <w:tcPr>
            <w:tcW w:w="2922"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Hans" w:bidi="ar-SA"/>
              </w:rPr>
            </w:pPr>
            <w:r>
              <w:rPr>
                <w:rFonts w:hint="eastAsia" w:ascii="宋体" w:hAnsi="宋体" w:eastAsia="宋体" w:cs="宋体"/>
                <w:b w:val="0"/>
                <w:color w:val="000000"/>
                <w:sz w:val="18"/>
                <w:szCs w:val="18"/>
                <w:lang w:val="en-US" w:eastAsia="zh-Hans" w:bidi="ar-SA"/>
              </w:rPr>
              <w:t>四川省射洪市职业 中专学校</w:t>
            </w:r>
          </w:p>
        </w:tc>
        <w:tc>
          <w:tcPr>
            <w:tcW w:w="2009"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Hans" w:bidi="ar-SA"/>
              </w:rPr>
            </w:pPr>
            <w:r>
              <w:rPr>
                <w:rFonts w:hint="eastAsia" w:ascii="宋体" w:hAnsi="宋体" w:eastAsia="宋体" w:cs="宋体"/>
                <w:b w:val="0"/>
                <w:color w:val="000000"/>
                <w:sz w:val="18"/>
                <w:szCs w:val="18"/>
                <w:lang w:val="en-US" w:eastAsia="zh-Hans" w:bidi="ar-SA"/>
              </w:rPr>
              <w:t>哲学与人生</w:t>
            </w:r>
          </w:p>
        </w:tc>
        <w:tc>
          <w:tcPr>
            <w:tcW w:w="2099"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兰凤鸣</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李</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洋</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Hans" w:bidi="ar-SA"/>
              </w:rPr>
            </w:pPr>
            <w:r>
              <w:rPr>
                <w:rFonts w:hint="eastAsia" w:ascii="宋体" w:hAnsi="宋体" w:eastAsia="宋体" w:cs="宋体"/>
                <w:b w:val="0"/>
                <w:color w:val="000000"/>
                <w:sz w:val="18"/>
                <w:szCs w:val="18"/>
                <w:lang w:val="en-US" w:eastAsia="zh-Hans" w:bidi="ar-SA"/>
              </w:rPr>
              <w:t>姚</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凡</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周</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瑜</w:t>
            </w:r>
          </w:p>
        </w:tc>
        <w:tc>
          <w:tcPr>
            <w:tcW w:w="761"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Hans" w:bidi="ar-SA"/>
              </w:rPr>
            </w:pPr>
            <w:r>
              <w:rPr>
                <w:rFonts w:hint="eastAsia" w:ascii="宋体" w:hAnsi="宋体" w:eastAsia="宋体" w:cs="宋体"/>
                <w:b w:val="0"/>
                <w:color w:val="000000"/>
                <w:sz w:val="18"/>
                <w:szCs w:val="18"/>
                <w:lang w:val="en-US" w:eastAsia="zh-CN" w:bidi="ar-SA"/>
              </w:rPr>
              <w:t>二等奖</w:t>
            </w:r>
          </w:p>
        </w:tc>
      </w:tr>
      <w:tr>
        <w:tblPrEx>
          <w:tblBorders>
            <w:top w:val="single" w:color="4874CB" w:sz="4" w:space="0"/>
            <w:left w:val="none" w:color="auto" w:sz="0" w:space="0"/>
            <w:bottom w:val="single" w:color="4874CB" w:sz="4" w:space="0"/>
            <w:right w:val="none" w:color="auto" w:sz="0" w:space="0"/>
            <w:insideH w:val="single" w:color="4874CB" w:sz="4" w:space="0"/>
            <w:insideV w:val="none" w:color="auto" w:sz="0" w:space="0"/>
          </w:tblBorders>
          <w:tblCellMar>
            <w:top w:w="0" w:type="dxa"/>
            <w:left w:w="108" w:type="dxa"/>
            <w:bottom w:w="0" w:type="dxa"/>
            <w:right w:w="108" w:type="dxa"/>
          </w:tblCellMar>
        </w:tblPrEx>
        <w:trPr>
          <w:trHeight w:val="499" w:hRule="atLeast"/>
          <w:tblHeader/>
          <w:jc w:val="center"/>
        </w:trPr>
        <w:tc>
          <w:tcPr>
            <w:tcW w:w="585"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3</w:t>
            </w:r>
          </w:p>
        </w:tc>
        <w:tc>
          <w:tcPr>
            <w:tcW w:w="2922"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Hans" w:bidi="ar-SA"/>
              </w:rPr>
            </w:pPr>
            <w:r>
              <w:rPr>
                <w:rFonts w:hint="eastAsia" w:ascii="宋体" w:hAnsi="宋体" w:eastAsia="宋体" w:cs="宋体"/>
                <w:b w:val="0"/>
                <w:color w:val="000000"/>
                <w:sz w:val="18"/>
                <w:szCs w:val="18"/>
                <w:lang w:val="en-US" w:eastAsia="zh-Hans" w:bidi="ar-SA"/>
              </w:rPr>
              <w:t>四川省遂宁市安居职业高级中学校</w:t>
            </w:r>
          </w:p>
        </w:tc>
        <w:tc>
          <w:tcPr>
            <w:tcW w:w="2009"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Hans" w:bidi="ar-SA"/>
              </w:rPr>
            </w:pPr>
            <w:r>
              <w:rPr>
                <w:rFonts w:hint="eastAsia" w:ascii="宋体" w:hAnsi="宋体" w:eastAsia="宋体" w:cs="宋体"/>
                <w:b w:val="0"/>
                <w:color w:val="000000"/>
                <w:sz w:val="18"/>
                <w:szCs w:val="18"/>
                <w:lang w:val="en-US" w:eastAsia="zh-Hans" w:bidi="ar-SA"/>
              </w:rPr>
              <w:t>心理健康与职业生涯</w:t>
            </w:r>
          </w:p>
        </w:tc>
        <w:tc>
          <w:tcPr>
            <w:tcW w:w="2099"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阳</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林</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柴</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婷</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Hans" w:bidi="ar-SA"/>
              </w:rPr>
            </w:pPr>
            <w:r>
              <w:rPr>
                <w:rFonts w:hint="eastAsia" w:ascii="宋体" w:hAnsi="宋体" w:eastAsia="宋体" w:cs="宋体"/>
                <w:b w:val="0"/>
                <w:color w:val="000000"/>
                <w:sz w:val="18"/>
                <w:szCs w:val="18"/>
                <w:lang w:val="en-US" w:eastAsia="zh-Hans" w:bidi="ar-SA"/>
              </w:rPr>
              <w:t>蒋</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勇</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何云珍</w:t>
            </w:r>
          </w:p>
        </w:tc>
        <w:tc>
          <w:tcPr>
            <w:tcW w:w="761"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Hans" w:bidi="ar-SA"/>
              </w:rPr>
            </w:pPr>
            <w:r>
              <w:rPr>
                <w:rFonts w:hint="eastAsia" w:ascii="宋体" w:hAnsi="宋体" w:eastAsia="宋体" w:cs="宋体"/>
                <w:b w:val="0"/>
                <w:color w:val="000000"/>
                <w:sz w:val="18"/>
                <w:szCs w:val="18"/>
                <w:lang w:val="en-US" w:eastAsia="zh-CN" w:bidi="ar-SA"/>
              </w:rPr>
              <w:t>二等奖</w:t>
            </w:r>
          </w:p>
        </w:tc>
      </w:tr>
      <w:tr>
        <w:tblPrEx>
          <w:tblBorders>
            <w:top w:val="single" w:color="4874CB" w:sz="4" w:space="0"/>
            <w:left w:val="none" w:color="auto" w:sz="0" w:space="0"/>
            <w:bottom w:val="single" w:color="4874CB" w:sz="4" w:space="0"/>
            <w:right w:val="none" w:color="auto" w:sz="0" w:space="0"/>
            <w:insideH w:val="single" w:color="4874CB" w:sz="4" w:space="0"/>
            <w:insideV w:val="none" w:color="auto" w:sz="0" w:space="0"/>
          </w:tblBorders>
          <w:tblCellMar>
            <w:top w:w="0" w:type="dxa"/>
            <w:left w:w="108" w:type="dxa"/>
            <w:bottom w:w="0" w:type="dxa"/>
            <w:right w:w="108" w:type="dxa"/>
          </w:tblCellMar>
        </w:tblPrEx>
        <w:trPr>
          <w:trHeight w:val="499" w:hRule="atLeast"/>
          <w:tblHeader/>
          <w:jc w:val="center"/>
        </w:trPr>
        <w:tc>
          <w:tcPr>
            <w:tcW w:w="585"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4</w:t>
            </w:r>
          </w:p>
        </w:tc>
        <w:tc>
          <w:tcPr>
            <w:tcW w:w="2922"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Hans" w:bidi="ar-SA"/>
              </w:rPr>
            </w:pPr>
            <w:r>
              <w:rPr>
                <w:rFonts w:hint="eastAsia" w:ascii="宋体" w:hAnsi="宋体" w:eastAsia="宋体" w:cs="宋体"/>
                <w:b w:val="0"/>
                <w:color w:val="000000"/>
                <w:sz w:val="18"/>
                <w:szCs w:val="18"/>
                <w:lang w:val="en-US" w:eastAsia="zh-Hans" w:bidi="ar-SA"/>
              </w:rPr>
              <w:t>四川省蓬溪县中等职业技术学校</w:t>
            </w:r>
          </w:p>
        </w:tc>
        <w:tc>
          <w:tcPr>
            <w:tcW w:w="2009"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心理健康与职业生涯</w:t>
            </w:r>
          </w:p>
        </w:tc>
        <w:tc>
          <w:tcPr>
            <w:tcW w:w="2099"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张</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欣</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李运河</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Hans" w:bidi="ar-SA"/>
              </w:rPr>
            </w:pPr>
            <w:r>
              <w:rPr>
                <w:rFonts w:hint="eastAsia" w:ascii="宋体" w:hAnsi="宋体" w:eastAsia="宋体" w:cs="宋体"/>
                <w:b w:val="0"/>
                <w:color w:val="000000"/>
                <w:sz w:val="18"/>
                <w:szCs w:val="18"/>
                <w:lang w:val="en-US" w:eastAsia="zh-Hans" w:bidi="ar-SA"/>
              </w:rPr>
              <w:t>杨</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晨</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冯</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钦</w:t>
            </w:r>
          </w:p>
        </w:tc>
        <w:tc>
          <w:tcPr>
            <w:tcW w:w="761"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Hans" w:bidi="ar-SA"/>
              </w:rPr>
            </w:pPr>
            <w:r>
              <w:rPr>
                <w:rFonts w:hint="eastAsia" w:ascii="宋体" w:hAnsi="宋体" w:eastAsia="宋体" w:cs="宋体"/>
                <w:b w:val="0"/>
                <w:color w:val="000000"/>
                <w:sz w:val="18"/>
                <w:szCs w:val="18"/>
                <w:lang w:val="en-US" w:eastAsia="zh-CN" w:bidi="ar-SA"/>
              </w:rPr>
              <w:t>二等奖</w:t>
            </w:r>
          </w:p>
        </w:tc>
      </w:tr>
      <w:tr>
        <w:tblPrEx>
          <w:tblBorders>
            <w:top w:val="single" w:color="4874CB" w:sz="4" w:space="0"/>
            <w:left w:val="none" w:color="auto" w:sz="0" w:space="0"/>
            <w:bottom w:val="single" w:color="4874CB" w:sz="4" w:space="0"/>
            <w:right w:val="none" w:color="auto" w:sz="0" w:space="0"/>
            <w:insideH w:val="single" w:color="4874CB" w:sz="4" w:space="0"/>
            <w:insideV w:val="none" w:color="auto" w:sz="0" w:space="0"/>
          </w:tblBorders>
          <w:tblCellMar>
            <w:top w:w="0" w:type="dxa"/>
            <w:left w:w="108" w:type="dxa"/>
            <w:bottom w:w="0" w:type="dxa"/>
            <w:right w:w="108" w:type="dxa"/>
          </w:tblCellMar>
        </w:tblPrEx>
        <w:trPr>
          <w:trHeight w:val="499" w:hRule="atLeast"/>
          <w:tblHeader/>
          <w:jc w:val="center"/>
        </w:trPr>
        <w:tc>
          <w:tcPr>
            <w:tcW w:w="585"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5</w:t>
            </w:r>
          </w:p>
        </w:tc>
        <w:tc>
          <w:tcPr>
            <w:tcW w:w="2922"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Hans" w:bidi="ar-SA"/>
              </w:rPr>
            </w:pPr>
            <w:r>
              <w:rPr>
                <w:rFonts w:hint="eastAsia" w:ascii="宋体" w:hAnsi="宋体" w:eastAsia="宋体" w:cs="宋体"/>
                <w:b w:val="0"/>
                <w:color w:val="000000"/>
                <w:sz w:val="18"/>
                <w:szCs w:val="18"/>
                <w:lang w:val="en-US" w:eastAsia="zh-Hans" w:bidi="ar-SA"/>
              </w:rPr>
              <w:t>四川省大英县中等职业技术学校</w:t>
            </w:r>
          </w:p>
        </w:tc>
        <w:tc>
          <w:tcPr>
            <w:tcW w:w="2009"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Hans" w:bidi="ar-SA"/>
              </w:rPr>
            </w:pPr>
            <w:r>
              <w:rPr>
                <w:rFonts w:hint="eastAsia" w:ascii="宋体" w:hAnsi="宋体" w:eastAsia="宋体" w:cs="宋体"/>
                <w:b w:val="0"/>
                <w:color w:val="000000"/>
                <w:sz w:val="18"/>
                <w:szCs w:val="18"/>
                <w:lang w:val="en-US" w:eastAsia="zh-Hans" w:bidi="ar-SA"/>
              </w:rPr>
              <w:t>心理健康与职业生涯</w:t>
            </w:r>
          </w:p>
        </w:tc>
        <w:tc>
          <w:tcPr>
            <w:tcW w:w="2099"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Hans" w:bidi="ar-SA"/>
              </w:rPr>
              <w:t>袁</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旭</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彭国华</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Hans" w:bidi="ar-SA"/>
              </w:rPr>
            </w:pPr>
            <w:r>
              <w:rPr>
                <w:rFonts w:hint="eastAsia" w:ascii="宋体" w:hAnsi="宋体" w:eastAsia="宋体" w:cs="宋体"/>
                <w:b w:val="0"/>
                <w:color w:val="000000"/>
                <w:sz w:val="18"/>
                <w:szCs w:val="18"/>
                <w:lang w:val="en-US" w:eastAsia="zh-Hans" w:bidi="ar-SA"/>
              </w:rPr>
              <w:t>李佳蔚</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周</w:t>
            </w:r>
            <w:r>
              <w:rPr>
                <w:rFonts w:hint="eastAsia" w:ascii="宋体" w:hAnsi="宋体" w:eastAsia="宋体" w:cs="宋体"/>
                <w:b w:val="0"/>
                <w:color w:val="000000"/>
                <w:sz w:val="18"/>
                <w:szCs w:val="18"/>
                <w:lang w:val="en-US" w:eastAsia="zh-CN" w:bidi="ar-SA"/>
              </w:rPr>
              <w:t xml:space="preserve">  </w:t>
            </w:r>
            <w:r>
              <w:rPr>
                <w:rFonts w:hint="eastAsia" w:ascii="宋体" w:hAnsi="宋体" w:eastAsia="宋体" w:cs="宋体"/>
                <w:b w:val="0"/>
                <w:color w:val="000000"/>
                <w:sz w:val="18"/>
                <w:szCs w:val="18"/>
                <w:lang w:val="en-US" w:eastAsia="zh-Hans" w:bidi="ar-SA"/>
              </w:rPr>
              <w:t>曼</w:t>
            </w:r>
          </w:p>
        </w:tc>
        <w:tc>
          <w:tcPr>
            <w:tcW w:w="761"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b w:val="0"/>
                <w:color w:val="000000"/>
                <w:sz w:val="18"/>
                <w:szCs w:val="18"/>
                <w:lang w:val="en-US" w:eastAsia="zh-CN" w:bidi="ar-SA"/>
              </w:rPr>
            </w:pPr>
            <w:r>
              <w:rPr>
                <w:rFonts w:hint="eastAsia" w:ascii="宋体" w:hAnsi="宋体" w:eastAsia="宋体" w:cs="宋体"/>
                <w:b w:val="0"/>
                <w:color w:val="000000"/>
                <w:sz w:val="18"/>
                <w:szCs w:val="18"/>
                <w:lang w:val="en-US" w:eastAsia="zh-CN" w:bidi="ar-SA"/>
              </w:rPr>
              <w:t>三等奖</w:t>
            </w:r>
          </w:p>
        </w:tc>
      </w:tr>
    </w:tbl>
    <w:p>
      <w:pPr>
        <w:keepNext w:val="0"/>
        <w:keepLines w:val="0"/>
        <w:pageBreakBefore w:val="0"/>
        <w:widowControl w:val="0"/>
        <w:kinsoku/>
        <w:wordWrap/>
        <w:overflowPunct/>
        <w:topLinePunct w:val="0"/>
        <w:autoSpaceDE/>
        <w:autoSpaceDN/>
        <w:bidi w:val="0"/>
        <w:adjustRightInd/>
        <w:snapToGrid/>
        <w:spacing w:line="240" w:lineRule="exact"/>
        <w:ind w:firstLine="562" w:firstLineChars="200"/>
        <w:textAlignment w:val="auto"/>
        <w:outlineLvl w:val="9"/>
        <w:rPr>
          <w:rFonts w:hint="eastAsia" w:ascii="Times New Roman" w:hAnsi="Times New Roman" w:eastAsia="宋体" w:cs="Times New Roman"/>
          <w:b/>
          <w:bCs/>
          <w:color w:val="auto"/>
          <w:sz w:val="28"/>
          <w:szCs w:val="28"/>
          <w:highlight w:val="none"/>
          <w:lang w:val="en-US" w:eastAsia="zh-CN"/>
        </w:rPr>
      </w:pPr>
      <w:bookmarkStart w:id="357" w:name="_Toc1325"/>
      <w:bookmarkStart w:id="358" w:name="_Toc23358"/>
      <w:bookmarkStart w:id="359" w:name="_Toc2850"/>
      <w:bookmarkStart w:id="360" w:name="_Toc13006"/>
      <w:bookmarkStart w:id="361" w:name="_Toc91576141"/>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7.2.3 教师科研</w:t>
      </w:r>
      <w:bookmarkEnd w:id="357"/>
      <w:bookmarkEnd w:id="358"/>
      <w:bookmarkEnd w:id="359"/>
      <w:bookmarkEnd w:id="360"/>
      <w:bookmarkEnd w:id="361"/>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2024年，遂宁市教育和体育局配合省教科院、市教科所，积极培育优秀职教课题，邀请专家到学校指导课题，提高教师课题研究的积极性、专业性。在省教科院组织优秀职教论文评选活动中，遂宁市组织参评论文20篇，评选出省一等奖2篇、二等奖6篇、三等奖11篇，部分优秀获奖论文在《当代职业教育》发表。现有省级研究课题12项，市级研究课题4项。2024学年省教科院优秀论文获奖统计见表18，省级科研课题统计见表19。</w:t>
      </w:r>
    </w:p>
    <w:p>
      <w:pPr>
        <w:pStyle w:val="2"/>
        <w:rPr>
          <w:rFonts w:hint="eastAsia"/>
          <w:lang w:val="en-US" w:eastAsia="zh-CN"/>
        </w:rPr>
      </w:pPr>
    </w:p>
    <w:p>
      <w:pPr>
        <w:pStyle w:val="8"/>
        <w:keepNext w:val="0"/>
        <w:keepLines w:val="0"/>
        <w:pageBreakBefore w:val="0"/>
        <w:widowControl w:val="0"/>
        <w:kinsoku/>
        <w:wordWrap/>
        <w:overflowPunct/>
        <w:topLinePunct w:val="0"/>
        <w:autoSpaceDE/>
        <w:autoSpaceDN/>
        <w:bidi w:val="0"/>
        <w:adjustRightInd/>
        <w:snapToGrid/>
        <w:spacing w:after="126" w:afterLines="40" w:line="560" w:lineRule="exact"/>
        <w:jc w:val="center"/>
        <w:textAlignment w:val="auto"/>
        <w:rPr>
          <w:rFonts w:hint="eastAsia" w:ascii="Times New Roman" w:hAnsi="Times New Roman" w:eastAsia="宋体" w:cs="宋体"/>
          <w:b/>
          <w:bCs/>
          <w:color w:val="auto"/>
          <w:sz w:val="21"/>
          <w:szCs w:val="21"/>
          <w:highlight w:val="yellow"/>
          <w:lang w:eastAsia="zh-CN"/>
        </w:rPr>
      </w:pPr>
      <w:bookmarkStart w:id="362" w:name="_Toc24050"/>
      <w:r>
        <w:rPr>
          <w:rFonts w:hint="eastAsia" w:ascii="Times New Roman" w:hAnsi="Times New Roman" w:eastAsia="宋体" w:cs="宋体"/>
          <w:b/>
          <w:bCs/>
          <w:color w:val="auto"/>
          <w:sz w:val="21"/>
          <w:szCs w:val="21"/>
        </w:rPr>
        <w:t>表</w:t>
      </w:r>
      <w:r>
        <w:rPr>
          <w:rFonts w:hint="eastAsia" w:ascii="Times New Roman" w:hAnsi="Times New Roman" w:eastAsia="宋体" w:cs="宋体"/>
          <w:b/>
          <w:bCs/>
          <w:color w:val="auto"/>
          <w:sz w:val="21"/>
          <w:szCs w:val="21"/>
        </w:rPr>
        <w:fldChar w:fldCharType="begin"/>
      </w:r>
      <w:r>
        <w:rPr>
          <w:rFonts w:hint="eastAsia" w:ascii="Times New Roman" w:hAnsi="Times New Roman" w:eastAsia="宋体" w:cs="宋体"/>
          <w:b/>
          <w:bCs/>
          <w:color w:val="auto"/>
          <w:sz w:val="21"/>
          <w:szCs w:val="21"/>
        </w:rPr>
        <w:instrText xml:space="preserve"> SEQ 表 \* ARABIC </w:instrText>
      </w:r>
      <w:r>
        <w:rPr>
          <w:rFonts w:hint="eastAsia" w:ascii="Times New Roman" w:hAnsi="Times New Roman" w:eastAsia="宋体" w:cs="宋体"/>
          <w:b/>
          <w:bCs/>
          <w:color w:val="auto"/>
          <w:sz w:val="21"/>
          <w:szCs w:val="21"/>
        </w:rPr>
        <w:fldChar w:fldCharType="separate"/>
      </w:r>
      <w:r>
        <w:rPr>
          <w:rFonts w:hint="eastAsia" w:ascii="Times New Roman" w:hAnsi="Times New Roman" w:eastAsia="宋体" w:cs="宋体"/>
          <w:b/>
          <w:bCs/>
          <w:color w:val="auto"/>
          <w:sz w:val="21"/>
          <w:szCs w:val="21"/>
        </w:rPr>
        <w:t>18</w:t>
      </w:r>
      <w:r>
        <w:rPr>
          <w:rFonts w:hint="eastAsia" w:ascii="Times New Roman" w:hAnsi="Times New Roman" w:eastAsia="宋体" w:cs="宋体"/>
          <w:b/>
          <w:bCs/>
          <w:color w:val="auto"/>
          <w:sz w:val="21"/>
          <w:szCs w:val="21"/>
        </w:rPr>
        <w:fldChar w:fldCharType="end"/>
      </w:r>
      <w:bookmarkStart w:id="363" w:name="_Toc21549"/>
      <w:r>
        <w:rPr>
          <w:rFonts w:hint="eastAsia" w:ascii="Times New Roman" w:hAnsi="Times New Roman" w:eastAsia="宋体" w:cs="宋体"/>
          <w:b/>
          <w:bCs/>
          <w:color w:val="auto"/>
          <w:sz w:val="21"/>
          <w:szCs w:val="21"/>
          <w:lang w:val="en-US" w:eastAsia="zh-CN"/>
        </w:rPr>
        <w:t xml:space="preserve">  2024学年四川省教科院优秀论文获奖统计表</w:t>
      </w:r>
      <w:bookmarkEnd w:id="362"/>
      <w:bookmarkEnd w:id="363"/>
    </w:p>
    <w:tbl>
      <w:tblPr>
        <w:tblStyle w:val="30"/>
        <w:tblW w:w="8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9"/>
        <w:gridCol w:w="3458"/>
        <w:gridCol w:w="1057"/>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49" w:type="dxa"/>
            <w:tcBorders>
              <w:top w:val="single" w:color="ED7D31" w:sz="4" w:space="0"/>
              <w:left w:val="single" w:color="ED7D31" w:sz="4" w:space="0"/>
              <w:bottom w:val="single" w:color="ED7D31" w:sz="4" w:space="0"/>
              <w:right w:val="single" w:color="ED7D31" w:sz="4" w:space="0"/>
              <w:tl2br w:val="nil"/>
            </w:tcBorders>
            <w:shd w:val="clear" w:color="auto" w:fill="F5B08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CESI楷体-GB18030" w:hAnsi="CESI楷体-GB18030" w:eastAsia="CESI楷体-GB18030" w:cs="CESI楷体-GB18030"/>
                <w:b/>
                <w:i w:val="0"/>
                <w:color w:val="000000"/>
                <w:kern w:val="0"/>
                <w:sz w:val="20"/>
                <w:szCs w:val="20"/>
                <w:u w:val="none"/>
                <w:lang w:val="en-US" w:eastAsia="zh-CN" w:bidi="ar"/>
              </w:rPr>
            </w:pPr>
            <w:r>
              <w:rPr>
                <w:rFonts w:hint="eastAsia" w:ascii="CESI楷体-GB18030" w:hAnsi="CESI楷体-GB18030" w:eastAsia="CESI楷体-GB18030" w:cs="CESI楷体-GB18030"/>
                <w:b/>
                <w:i w:val="0"/>
                <w:color w:val="000000"/>
                <w:kern w:val="0"/>
                <w:sz w:val="20"/>
                <w:szCs w:val="20"/>
                <w:u w:val="none"/>
                <w:lang w:val="en-US" w:eastAsia="zh-CN" w:bidi="ar"/>
              </w:rPr>
              <w:t>学校名称</w:t>
            </w:r>
          </w:p>
        </w:tc>
        <w:tc>
          <w:tcPr>
            <w:tcW w:w="3458" w:type="dxa"/>
            <w:tcBorders>
              <w:top w:val="single" w:color="ED7D31" w:sz="4" w:space="0"/>
              <w:left w:val="single" w:color="ED7D31" w:sz="4" w:space="0"/>
              <w:bottom w:val="single" w:color="ED7D31" w:sz="4" w:space="0"/>
              <w:right w:val="single" w:color="ED7D31" w:sz="4" w:space="0"/>
            </w:tcBorders>
            <w:shd w:val="clear" w:color="auto" w:fill="F5B08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CESI楷体-GB18030" w:hAnsi="CESI楷体-GB18030" w:eastAsia="CESI楷体-GB18030" w:cs="CESI楷体-GB18030"/>
                <w:b/>
                <w:i w:val="0"/>
                <w:color w:val="000000"/>
                <w:kern w:val="0"/>
                <w:sz w:val="20"/>
                <w:szCs w:val="20"/>
                <w:u w:val="none"/>
                <w:lang w:val="en-US" w:eastAsia="zh-CN" w:bidi="ar"/>
              </w:rPr>
            </w:pPr>
            <w:r>
              <w:rPr>
                <w:rFonts w:hint="eastAsia" w:ascii="CESI楷体-GB18030" w:hAnsi="CESI楷体-GB18030" w:eastAsia="CESI楷体-GB18030" w:cs="CESI楷体-GB18030"/>
                <w:b/>
                <w:i w:val="0"/>
                <w:color w:val="000000"/>
                <w:kern w:val="0"/>
                <w:sz w:val="20"/>
                <w:szCs w:val="20"/>
                <w:u w:val="none"/>
                <w:lang w:val="en-US" w:eastAsia="zh-CN" w:bidi="ar"/>
              </w:rPr>
              <w:t>作品名称</w:t>
            </w:r>
          </w:p>
        </w:tc>
        <w:tc>
          <w:tcPr>
            <w:tcW w:w="1057" w:type="dxa"/>
            <w:tcBorders>
              <w:top w:val="single" w:color="ED7D31" w:sz="4" w:space="0"/>
              <w:left w:val="single" w:color="ED7D31" w:sz="4" w:space="0"/>
              <w:bottom w:val="single" w:color="ED7D31" w:sz="4" w:space="0"/>
              <w:right w:val="single" w:color="ED7D31" w:sz="4" w:space="0"/>
            </w:tcBorders>
            <w:shd w:val="clear" w:color="auto" w:fill="F5B08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CESI楷体-GB18030" w:hAnsi="CESI楷体-GB18030" w:eastAsia="CESI楷体-GB18030" w:cs="CESI楷体-GB18030"/>
                <w:b/>
                <w:i w:val="0"/>
                <w:color w:val="000000"/>
                <w:kern w:val="0"/>
                <w:sz w:val="20"/>
                <w:szCs w:val="20"/>
                <w:u w:val="none"/>
                <w:lang w:val="en-US" w:eastAsia="zh-CN" w:bidi="ar"/>
              </w:rPr>
            </w:pPr>
            <w:r>
              <w:rPr>
                <w:rFonts w:hint="eastAsia" w:ascii="CESI楷体-GB18030" w:hAnsi="CESI楷体-GB18030" w:eastAsia="CESI楷体-GB18030" w:cs="CESI楷体-GB18030"/>
                <w:b/>
                <w:i w:val="0"/>
                <w:color w:val="000000"/>
                <w:kern w:val="0"/>
                <w:sz w:val="20"/>
                <w:szCs w:val="20"/>
                <w:u w:val="none"/>
                <w:lang w:val="en-US" w:eastAsia="zh-CN" w:bidi="ar"/>
              </w:rPr>
              <w:t>获奖选手</w:t>
            </w:r>
          </w:p>
        </w:tc>
        <w:tc>
          <w:tcPr>
            <w:tcW w:w="892" w:type="dxa"/>
            <w:tcBorders>
              <w:top w:val="single" w:color="ED7D31" w:sz="4" w:space="0"/>
              <w:left w:val="single" w:color="ED7D31" w:sz="4" w:space="0"/>
              <w:bottom w:val="single" w:color="ED7D31" w:sz="4" w:space="0"/>
              <w:right w:val="single" w:color="ED7D31" w:sz="4" w:space="0"/>
            </w:tcBorders>
            <w:shd w:val="clear" w:color="auto" w:fill="F5B08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CESI楷体-GB18030" w:hAnsi="CESI楷体-GB18030" w:eastAsia="CESI楷体-GB18030" w:cs="CESI楷体-GB18030"/>
                <w:b/>
                <w:i w:val="0"/>
                <w:color w:val="000000"/>
                <w:kern w:val="0"/>
                <w:sz w:val="20"/>
                <w:szCs w:val="20"/>
                <w:u w:val="none"/>
                <w:lang w:val="en-US" w:eastAsia="zh-CN" w:bidi="ar"/>
              </w:rPr>
            </w:pPr>
            <w:r>
              <w:rPr>
                <w:rFonts w:hint="eastAsia" w:ascii="CESI楷体-GB18030" w:hAnsi="CESI楷体-GB18030" w:eastAsia="CESI楷体-GB18030" w:cs="CESI楷体-GB18030"/>
                <w:b/>
                <w:i w:val="0"/>
                <w:color w:val="000000"/>
                <w:kern w:val="0"/>
                <w:sz w:val="20"/>
                <w:szCs w:val="20"/>
                <w:u w:val="none"/>
                <w:lang w:val="en-US" w:eastAsia="zh-CN" w:bidi="ar"/>
              </w:rPr>
              <w:t>等级奖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49"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41"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四川省蓬溪县中等职业技术学校</w:t>
            </w:r>
          </w:p>
        </w:tc>
        <w:tc>
          <w:tcPr>
            <w:tcW w:w="3458"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26"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职业学校传承中华优秀传统文化的路径探索</w:t>
            </w:r>
          </w:p>
        </w:tc>
        <w:tc>
          <w:tcPr>
            <w:tcW w:w="1057"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陈长奎</w:t>
            </w:r>
          </w:p>
        </w:tc>
        <w:tc>
          <w:tcPr>
            <w:tcW w:w="892"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49"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13"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遂宁市职业技术学校</w:t>
            </w:r>
          </w:p>
        </w:tc>
        <w:tc>
          <w:tcPr>
            <w:tcW w:w="3458"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44"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中职学校“ 四字工作法” 师德师风建设研究</w:t>
            </w:r>
          </w:p>
        </w:tc>
        <w:tc>
          <w:tcPr>
            <w:tcW w:w="1057"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徐  华</w:t>
            </w:r>
          </w:p>
        </w:tc>
        <w:tc>
          <w:tcPr>
            <w:tcW w:w="892"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49"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41"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四川省射洪市职业中专学校</w:t>
            </w:r>
          </w:p>
        </w:tc>
        <w:tc>
          <w:tcPr>
            <w:tcW w:w="3458"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27" w:leftChars="0" w:right="108" w:rightChars="0" w:firstLine="5" w:firstLineChars="0"/>
              <w:jc w:val="center"/>
              <w:rPr>
                <w:rFonts w:hint="default"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三个重构融通岗课赛证、三课耦合共振产学研创——《机械制图》课程 实施“课堂革命”研究</w:t>
            </w:r>
          </w:p>
        </w:tc>
        <w:tc>
          <w:tcPr>
            <w:tcW w:w="1057"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周  玉</w:t>
            </w:r>
          </w:p>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default"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马利军</w:t>
            </w:r>
          </w:p>
        </w:tc>
        <w:tc>
          <w:tcPr>
            <w:tcW w:w="892"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49"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41"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四川省射洪市职业中专学校</w:t>
            </w:r>
          </w:p>
        </w:tc>
        <w:tc>
          <w:tcPr>
            <w:tcW w:w="3458"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43"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中职学校教师教学质量监控与评价研究</w:t>
            </w:r>
          </w:p>
        </w:tc>
        <w:tc>
          <w:tcPr>
            <w:tcW w:w="1057"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pStyle w:val="111"/>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蒲  伟</w:t>
            </w:r>
          </w:p>
          <w:p>
            <w:pPr>
              <w:pStyle w:val="111"/>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任  鹏</w:t>
            </w:r>
          </w:p>
        </w:tc>
        <w:tc>
          <w:tcPr>
            <w:tcW w:w="892"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49"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41"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四川省射洪市职业中专学校</w:t>
            </w:r>
          </w:p>
        </w:tc>
        <w:tc>
          <w:tcPr>
            <w:tcW w:w="3458"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21"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STEM 理念融入中职机械基础课程教学的研究与实践</w:t>
            </w:r>
          </w:p>
        </w:tc>
        <w:tc>
          <w:tcPr>
            <w:tcW w:w="1057"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pStyle w:val="111"/>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王敏先</w:t>
            </w:r>
          </w:p>
          <w:p>
            <w:pPr>
              <w:pStyle w:val="111"/>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田  宇</w:t>
            </w:r>
          </w:p>
        </w:tc>
        <w:tc>
          <w:tcPr>
            <w:tcW w:w="892"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49"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41"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四川省遂宁市安居职业高级中学校</w:t>
            </w:r>
          </w:p>
        </w:tc>
        <w:tc>
          <w:tcPr>
            <w:tcW w:w="3458"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13"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提升中职学校教师数字素养的教学模式优化策略探讨</w:t>
            </w:r>
          </w:p>
        </w:tc>
        <w:tc>
          <w:tcPr>
            <w:tcW w:w="1057"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赵  军</w:t>
            </w:r>
          </w:p>
        </w:tc>
        <w:tc>
          <w:tcPr>
            <w:tcW w:w="892"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49"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13"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遂宁市职业技术学校</w:t>
            </w:r>
          </w:p>
        </w:tc>
        <w:tc>
          <w:tcPr>
            <w:tcW w:w="3458"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15"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课程思政视域下中职“ 三有”课堂构建策略探究</w:t>
            </w:r>
          </w:p>
        </w:tc>
        <w:tc>
          <w:tcPr>
            <w:tcW w:w="1057"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pStyle w:val="111"/>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汤  浪</w:t>
            </w:r>
          </w:p>
          <w:p>
            <w:pPr>
              <w:pStyle w:val="111"/>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蒋雨衡</w:t>
            </w:r>
          </w:p>
        </w:tc>
        <w:tc>
          <w:tcPr>
            <w:tcW w:w="892"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49"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13"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遂宁市职业技术学校</w:t>
            </w:r>
          </w:p>
        </w:tc>
        <w:tc>
          <w:tcPr>
            <w:tcW w:w="3458"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25"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职教高考制度下职教高考班班级建设及管理研究</w:t>
            </w:r>
          </w:p>
        </w:tc>
        <w:tc>
          <w:tcPr>
            <w:tcW w:w="1057"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pStyle w:val="111"/>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徐  敏</w:t>
            </w:r>
          </w:p>
        </w:tc>
        <w:tc>
          <w:tcPr>
            <w:tcW w:w="892"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49"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43" w:leftChars="0" w:right="163" w:righ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四川省大英县中等职业技术学校、 四川省大英县育才中学</w:t>
            </w:r>
          </w:p>
        </w:tc>
        <w:tc>
          <w:tcPr>
            <w:tcW w:w="3458"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43"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中职学生常见心理问题分析及心理疏导方法</w:t>
            </w:r>
          </w:p>
        </w:tc>
        <w:tc>
          <w:tcPr>
            <w:tcW w:w="1057"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何海龙</w:t>
            </w:r>
          </w:p>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郭  丽</w:t>
            </w:r>
          </w:p>
        </w:tc>
        <w:tc>
          <w:tcPr>
            <w:tcW w:w="892"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49"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43" w:leftChars="0" w:right="163" w:righ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四川省大英县中等职业技术学校、 四川省大英县育才中学</w:t>
            </w:r>
          </w:p>
        </w:tc>
        <w:tc>
          <w:tcPr>
            <w:tcW w:w="3458"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43"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中职教育对学生音乐感受与鉴赏能力的培养与研究</w:t>
            </w:r>
          </w:p>
        </w:tc>
        <w:tc>
          <w:tcPr>
            <w:tcW w:w="1057"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邓  艳</w:t>
            </w:r>
          </w:p>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吴林峰</w:t>
            </w:r>
          </w:p>
        </w:tc>
        <w:tc>
          <w:tcPr>
            <w:tcW w:w="892"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49"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pStyle w:val="111"/>
              <w:keepNext w:val="0"/>
              <w:keepLines w:val="0"/>
              <w:pageBreakBefore w:val="0"/>
              <w:kinsoku/>
              <w:wordWrap/>
              <w:overflowPunct/>
              <w:topLinePunct w:val="0"/>
              <w:autoSpaceDE/>
              <w:autoSpaceDN/>
              <w:bidi w:val="0"/>
              <w:adjustRightInd/>
              <w:snapToGrid/>
              <w:spacing w:line="320" w:lineRule="exact"/>
              <w:jc w:val="both"/>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四川省蓬溪县中等职业技术学校</w:t>
            </w:r>
          </w:p>
        </w:tc>
        <w:tc>
          <w:tcPr>
            <w:tcW w:w="3458"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43"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中职语文教学中学生批判性思维能力培养的策略探究</w:t>
            </w:r>
          </w:p>
        </w:tc>
        <w:tc>
          <w:tcPr>
            <w:tcW w:w="1057"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李运河</w:t>
            </w:r>
          </w:p>
        </w:tc>
        <w:tc>
          <w:tcPr>
            <w:tcW w:w="892"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49"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43"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四川省射洪市职业中专学校</w:t>
            </w:r>
          </w:p>
        </w:tc>
        <w:tc>
          <w:tcPr>
            <w:tcW w:w="3458"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30"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唤醒生命之美，让灵魂歌唱——浅谈语文课堂审美教育</w:t>
            </w:r>
          </w:p>
        </w:tc>
        <w:tc>
          <w:tcPr>
            <w:tcW w:w="1057"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颜小容</w:t>
            </w:r>
          </w:p>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胥  林</w:t>
            </w:r>
          </w:p>
        </w:tc>
        <w:tc>
          <w:tcPr>
            <w:tcW w:w="892"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49"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pStyle w:val="111"/>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四川省遂宁市安居职业高级中学校</w:t>
            </w:r>
          </w:p>
        </w:tc>
        <w:tc>
          <w:tcPr>
            <w:tcW w:w="3458"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30"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“四维一体” 师资培训模式与途径的探索</w:t>
            </w:r>
          </w:p>
        </w:tc>
        <w:tc>
          <w:tcPr>
            <w:tcW w:w="1057"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30" w:leftChars="0"/>
              <w:jc w:val="both"/>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郑  新</w:t>
            </w:r>
          </w:p>
        </w:tc>
        <w:tc>
          <w:tcPr>
            <w:tcW w:w="892"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49"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pStyle w:val="111"/>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四川省遂宁市安居职业高级中学校</w:t>
            </w:r>
          </w:p>
        </w:tc>
        <w:tc>
          <w:tcPr>
            <w:tcW w:w="3458"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30"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基于信息化背景的中职英语教学素材设计与实践</w:t>
            </w:r>
          </w:p>
        </w:tc>
        <w:tc>
          <w:tcPr>
            <w:tcW w:w="1057"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30" w:leftChars="0"/>
              <w:jc w:val="both"/>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伍洪禄</w:t>
            </w:r>
          </w:p>
        </w:tc>
        <w:tc>
          <w:tcPr>
            <w:tcW w:w="892"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49"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15"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遂宁市船山职业技术学校</w:t>
            </w:r>
          </w:p>
        </w:tc>
        <w:tc>
          <w:tcPr>
            <w:tcW w:w="3458"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18"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财经商贸类专业课教学中的跨学科融合</w:t>
            </w:r>
          </w:p>
        </w:tc>
        <w:tc>
          <w:tcPr>
            <w:tcW w:w="1057"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pStyle w:val="111"/>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刘文菊</w:t>
            </w:r>
          </w:p>
        </w:tc>
        <w:tc>
          <w:tcPr>
            <w:tcW w:w="892"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49"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15"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遂宁市船山职业技术学校</w:t>
            </w:r>
          </w:p>
        </w:tc>
        <w:tc>
          <w:tcPr>
            <w:tcW w:w="3458"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43"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中职数学课程改革与现代信息技术应用</w:t>
            </w:r>
          </w:p>
        </w:tc>
        <w:tc>
          <w:tcPr>
            <w:tcW w:w="1057"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pStyle w:val="111"/>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廖成霞</w:t>
            </w:r>
          </w:p>
        </w:tc>
        <w:tc>
          <w:tcPr>
            <w:tcW w:w="892"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49"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15"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遂宁市船山职业技术学校</w:t>
            </w:r>
          </w:p>
        </w:tc>
        <w:tc>
          <w:tcPr>
            <w:tcW w:w="3458"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43"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中职英语“线上+线下”混合式教学实践与反思</w:t>
            </w:r>
          </w:p>
        </w:tc>
        <w:tc>
          <w:tcPr>
            <w:tcW w:w="1057"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pStyle w:val="111"/>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伍晓丽</w:t>
            </w:r>
          </w:p>
        </w:tc>
        <w:tc>
          <w:tcPr>
            <w:tcW w:w="892"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49"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15"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遂宁市职业技术学校</w:t>
            </w:r>
          </w:p>
        </w:tc>
        <w:tc>
          <w:tcPr>
            <w:tcW w:w="3458"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pStyle w:val="111"/>
              <w:keepNext w:val="0"/>
              <w:keepLines w:val="0"/>
              <w:pageBreakBefore w:val="0"/>
              <w:kinsoku/>
              <w:wordWrap/>
              <w:overflowPunct/>
              <w:topLinePunct w:val="0"/>
              <w:autoSpaceDE/>
              <w:autoSpaceDN/>
              <w:bidi w:val="0"/>
              <w:adjustRightInd/>
              <w:snapToGrid/>
              <w:spacing w:line="320" w:lineRule="exact"/>
              <w:ind w:left="125" w:leftChars="0"/>
              <w:jc w:val="center"/>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浅析“ 三有课堂”理念下中职旅游教学新模式</w:t>
            </w:r>
          </w:p>
        </w:tc>
        <w:tc>
          <w:tcPr>
            <w:tcW w:w="1057"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刘  蓉</w:t>
            </w:r>
          </w:p>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陆  怡</w:t>
            </w:r>
          </w:p>
        </w:tc>
        <w:tc>
          <w:tcPr>
            <w:tcW w:w="892" w:type="dxa"/>
            <w:tcBorders>
              <w:top w:val="single" w:color="ED7D31" w:sz="4" w:space="0"/>
              <w:left w:val="single" w:color="ED7D31" w:sz="4" w:space="0"/>
              <w:bottom w:val="single" w:color="ED7D31" w:sz="4" w:space="0"/>
              <w:right w:val="single" w:color="ED7D31" w:sz="4"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49"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四川省射洪市职业中专学校</w:t>
            </w:r>
          </w:p>
        </w:tc>
        <w:tc>
          <w:tcPr>
            <w:tcW w:w="3458"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论中职学校幼儿保育专业校企合作的途径和方法</w:t>
            </w:r>
          </w:p>
        </w:tc>
        <w:tc>
          <w:tcPr>
            <w:tcW w:w="1057"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冯玉茜</w:t>
            </w:r>
          </w:p>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黄  丹</w:t>
            </w:r>
          </w:p>
        </w:tc>
        <w:tc>
          <w:tcPr>
            <w:tcW w:w="892" w:type="dxa"/>
            <w:tcBorders>
              <w:top w:val="single" w:color="ED7D31" w:sz="4" w:space="0"/>
              <w:left w:val="single" w:color="ED7D31" w:sz="4" w:space="0"/>
              <w:bottom w:val="single" w:color="ED7D31" w:sz="4" w:space="0"/>
              <w:right w:val="single" w:color="ED7D31" w:sz="4" w:space="0"/>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三等奖</w:t>
            </w:r>
          </w:p>
        </w:tc>
      </w:tr>
    </w:tbl>
    <w:p>
      <w:pPr>
        <w:pStyle w:val="8"/>
        <w:keepNext w:val="0"/>
        <w:keepLines w:val="0"/>
        <w:pageBreakBefore w:val="0"/>
        <w:widowControl w:val="0"/>
        <w:kinsoku/>
        <w:wordWrap/>
        <w:overflowPunct/>
        <w:topLinePunct w:val="0"/>
        <w:autoSpaceDE/>
        <w:autoSpaceDN/>
        <w:bidi w:val="0"/>
        <w:adjustRightInd/>
        <w:snapToGrid/>
        <w:spacing w:after="126" w:afterLines="40" w:line="560" w:lineRule="exact"/>
        <w:jc w:val="center"/>
        <w:textAlignment w:val="auto"/>
        <w:rPr>
          <w:rFonts w:hint="default" w:ascii="Times New Roman" w:hAnsi="Times New Roman" w:eastAsia="宋体" w:cs="宋体"/>
          <w:b/>
          <w:bCs/>
          <w:color w:val="auto"/>
          <w:sz w:val="21"/>
          <w:szCs w:val="21"/>
          <w:lang w:val="en-US" w:eastAsia="zh-CN"/>
        </w:rPr>
      </w:pPr>
      <w:bookmarkStart w:id="364" w:name="_Toc11792"/>
      <w:r>
        <w:rPr>
          <w:rFonts w:hint="eastAsia" w:ascii="Times New Roman" w:hAnsi="Times New Roman" w:eastAsia="宋体" w:cs="宋体"/>
          <w:b/>
          <w:bCs/>
          <w:color w:val="auto"/>
          <w:sz w:val="21"/>
          <w:szCs w:val="21"/>
        </w:rPr>
        <w:t>表</w:t>
      </w:r>
      <w:r>
        <w:rPr>
          <w:rFonts w:hint="eastAsia" w:ascii="Times New Roman" w:hAnsi="Times New Roman" w:eastAsia="宋体" w:cs="宋体"/>
          <w:b/>
          <w:bCs/>
          <w:color w:val="auto"/>
          <w:sz w:val="21"/>
          <w:szCs w:val="21"/>
        </w:rPr>
        <w:fldChar w:fldCharType="begin"/>
      </w:r>
      <w:r>
        <w:rPr>
          <w:rFonts w:hint="eastAsia" w:ascii="Times New Roman" w:hAnsi="Times New Roman" w:eastAsia="宋体" w:cs="宋体"/>
          <w:b/>
          <w:bCs/>
          <w:color w:val="auto"/>
          <w:sz w:val="21"/>
          <w:szCs w:val="21"/>
        </w:rPr>
        <w:instrText xml:space="preserve"> SEQ 表 \* ARABIC </w:instrText>
      </w:r>
      <w:r>
        <w:rPr>
          <w:rFonts w:hint="eastAsia" w:ascii="Times New Roman" w:hAnsi="Times New Roman" w:eastAsia="宋体" w:cs="宋体"/>
          <w:b/>
          <w:bCs/>
          <w:color w:val="auto"/>
          <w:sz w:val="21"/>
          <w:szCs w:val="21"/>
        </w:rPr>
        <w:fldChar w:fldCharType="separate"/>
      </w:r>
      <w:r>
        <w:rPr>
          <w:rFonts w:hint="eastAsia" w:ascii="Times New Roman" w:hAnsi="Times New Roman" w:eastAsia="宋体" w:cs="宋体"/>
          <w:b/>
          <w:bCs/>
          <w:color w:val="auto"/>
          <w:sz w:val="21"/>
          <w:szCs w:val="21"/>
        </w:rPr>
        <w:t>19</w:t>
      </w:r>
      <w:r>
        <w:rPr>
          <w:rFonts w:hint="eastAsia" w:ascii="Times New Roman" w:hAnsi="Times New Roman" w:eastAsia="宋体" w:cs="宋体"/>
          <w:b/>
          <w:bCs/>
          <w:color w:val="auto"/>
          <w:sz w:val="21"/>
          <w:szCs w:val="21"/>
        </w:rPr>
        <w:fldChar w:fldCharType="end"/>
      </w:r>
      <w:bookmarkStart w:id="365" w:name="_Toc4391"/>
      <w:r>
        <w:rPr>
          <w:rFonts w:hint="eastAsia" w:ascii="Times New Roman" w:hAnsi="Times New Roman" w:eastAsia="宋体" w:cs="宋体"/>
          <w:b/>
          <w:bCs/>
          <w:color w:val="auto"/>
          <w:sz w:val="21"/>
          <w:szCs w:val="21"/>
          <w:lang w:val="en-US" w:eastAsia="zh-CN"/>
        </w:rPr>
        <w:t xml:space="preserve">  四川省省级</w:t>
      </w:r>
      <w:r>
        <w:rPr>
          <w:rFonts w:hint="eastAsia" w:ascii="Times New Roman" w:hAnsi="Times New Roman" w:eastAsia="宋体" w:cs="宋体"/>
          <w:b/>
          <w:bCs/>
          <w:color w:val="auto"/>
          <w:sz w:val="21"/>
          <w:szCs w:val="21"/>
        </w:rPr>
        <w:t>科研课题统计情况</w:t>
      </w:r>
      <w:bookmarkEnd w:id="364"/>
      <w:bookmarkEnd w:id="365"/>
    </w:p>
    <w:tbl>
      <w:tblPr>
        <w:tblStyle w:val="80"/>
        <w:tblW w:w="4913" w:type="pct"/>
        <w:jc w:val="center"/>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Layout w:type="fixed"/>
        <w:tblCellMar>
          <w:top w:w="0" w:type="dxa"/>
          <w:left w:w="108" w:type="dxa"/>
          <w:bottom w:w="0" w:type="dxa"/>
          <w:right w:w="108" w:type="dxa"/>
        </w:tblCellMar>
      </w:tblPr>
      <w:tblGrid>
        <w:gridCol w:w="2042"/>
        <w:gridCol w:w="3000"/>
        <w:gridCol w:w="3333"/>
      </w:tblGrid>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2042" w:type="dxa"/>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b/>
                <w:bCs/>
                <w:color w:val="000000"/>
                <w:kern w:val="0"/>
                <w:sz w:val="18"/>
                <w:szCs w:val="18"/>
              </w:rPr>
            </w:pPr>
            <w:r>
              <w:rPr>
                <w:rFonts w:hint="eastAsia" w:ascii="宋体" w:hAnsi="宋体" w:eastAsia="宋体" w:cs="宋体"/>
                <w:b/>
                <w:bCs w:val="0"/>
                <w:color w:val="000000"/>
                <w:kern w:val="0"/>
                <w:sz w:val="18"/>
                <w:szCs w:val="18"/>
              </w:rPr>
              <w:t>组织机构</w:t>
            </w:r>
          </w:p>
        </w:tc>
        <w:tc>
          <w:tcPr>
            <w:tcW w:w="3000" w:type="dxa"/>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bCs/>
                <w:color w:val="000000"/>
                <w:kern w:val="0"/>
                <w:sz w:val="18"/>
                <w:szCs w:val="18"/>
                <w:lang w:val="en-US" w:eastAsia="zh-CN"/>
              </w:rPr>
            </w:pPr>
            <w:r>
              <w:rPr>
                <w:rFonts w:hint="eastAsia" w:ascii="宋体" w:hAnsi="宋体" w:eastAsia="宋体" w:cs="宋体"/>
                <w:b/>
                <w:bCs w:val="0"/>
                <w:color w:val="000000"/>
                <w:kern w:val="0"/>
                <w:sz w:val="18"/>
                <w:szCs w:val="18"/>
              </w:rPr>
              <w:t>学校</w:t>
            </w:r>
            <w:r>
              <w:rPr>
                <w:rFonts w:hint="eastAsia" w:ascii="宋体" w:hAnsi="宋体" w:eastAsia="宋体" w:cs="宋体"/>
                <w:b/>
                <w:bCs w:val="0"/>
                <w:color w:val="000000"/>
                <w:kern w:val="0"/>
                <w:sz w:val="18"/>
                <w:szCs w:val="18"/>
                <w:lang w:val="en-US" w:eastAsia="zh-CN"/>
              </w:rPr>
              <w:t>名称</w:t>
            </w:r>
          </w:p>
        </w:tc>
        <w:tc>
          <w:tcPr>
            <w:tcW w:w="3333" w:type="dxa"/>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b/>
                <w:bCs/>
                <w:color w:val="000000"/>
                <w:kern w:val="0"/>
                <w:sz w:val="18"/>
                <w:szCs w:val="18"/>
              </w:rPr>
            </w:pPr>
            <w:r>
              <w:rPr>
                <w:rFonts w:hint="eastAsia" w:ascii="宋体" w:hAnsi="宋体" w:eastAsia="宋体" w:cs="宋体"/>
                <w:b/>
                <w:bCs w:val="0"/>
                <w:color w:val="000000"/>
                <w:kern w:val="0"/>
                <w:sz w:val="18"/>
                <w:szCs w:val="18"/>
              </w:rPr>
              <w:t>课题名称</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2042"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val="en-US" w:eastAsia="zh-CN" w:bidi="ar"/>
              </w:rPr>
              <w:t>四川省教育厅</w:t>
            </w:r>
          </w:p>
        </w:tc>
        <w:tc>
          <w:tcPr>
            <w:tcW w:w="3000"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val="en-US" w:eastAsia="zh-CN" w:bidi="ar"/>
              </w:rPr>
              <w:t>四川省大英县中等职业技术学校</w:t>
            </w:r>
          </w:p>
        </w:tc>
        <w:tc>
          <w:tcPr>
            <w:tcW w:w="3333"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val="en-US" w:eastAsia="zh-CN" w:bidi="ar"/>
              </w:rPr>
              <w:t>遂潼一体化背景下职业教育高质量发展的内控机制研究</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2042"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val="en-US" w:eastAsia="zh-CN" w:bidi="ar"/>
              </w:rPr>
              <w:t>四川省教育厅</w:t>
            </w:r>
          </w:p>
        </w:tc>
        <w:tc>
          <w:tcPr>
            <w:tcW w:w="3000"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val="en-US" w:eastAsia="zh-CN" w:bidi="ar"/>
              </w:rPr>
              <w:t>四川省大英县中等职业技术学校</w:t>
            </w:r>
          </w:p>
        </w:tc>
        <w:tc>
          <w:tcPr>
            <w:tcW w:w="333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val="en-US" w:eastAsia="zh-CN" w:bidi="ar"/>
              </w:rPr>
              <w:t>“中职学历订单+社区培训菜单”的乡村振兴服务策略研究与实践</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2042"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val="en-US" w:eastAsia="zh-CN" w:bidi="ar"/>
              </w:rPr>
              <w:t>四川省教育厅</w:t>
            </w:r>
          </w:p>
        </w:tc>
        <w:tc>
          <w:tcPr>
            <w:tcW w:w="3000"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val="en-US" w:eastAsia="zh-CN" w:bidi="ar"/>
              </w:rPr>
              <w:t>遂宁市职业技术学校</w:t>
            </w:r>
          </w:p>
        </w:tc>
        <w:tc>
          <w:tcPr>
            <w:tcW w:w="3333"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val="en-US" w:eastAsia="zh-CN" w:bidi="ar"/>
              </w:rPr>
              <w:t>培养中职公共美育教师课程思政能力的实践研究</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2042"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val="en-US" w:eastAsia="zh-CN" w:bidi="ar"/>
              </w:rPr>
              <w:t>四川省教育厅</w:t>
            </w:r>
          </w:p>
        </w:tc>
        <w:tc>
          <w:tcPr>
            <w:tcW w:w="3000"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val="en-US" w:eastAsia="zh-CN" w:bidi="ar"/>
              </w:rPr>
              <w:t>遂宁市职业技术学校</w:t>
            </w:r>
          </w:p>
        </w:tc>
        <w:tc>
          <w:tcPr>
            <w:tcW w:w="333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val="en-US" w:eastAsia="zh-CN" w:bidi="ar"/>
              </w:rPr>
              <w:t>以“三省课堂”为引领“校企共育+分类培养”课堂革命的实施</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2042"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val="en-US" w:eastAsia="zh-CN" w:bidi="ar"/>
              </w:rPr>
              <w:t>四川省教育厅</w:t>
            </w:r>
          </w:p>
        </w:tc>
        <w:tc>
          <w:tcPr>
            <w:tcW w:w="3000"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val="en-US" w:eastAsia="zh-CN" w:bidi="ar"/>
              </w:rPr>
              <w:t>四川省蓬溪县中等职业技术学校</w:t>
            </w:r>
          </w:p>
        </w:tc>
        <w:tc>
          <w:tcPr>
            <w:tcW w:w="3333"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val="en-US" w:eastAsia="zh-CN" w:bidi="ar"/>
              </w:rPr>
              <w:t>作物生产技术专业“园区+企业+学校”协同育人模式研究与实践</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2042"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val="en-US" w:eastAsia="zh-CN" w:bidi="ar"/>
              </w:rPr>
              <w:t>四川省教育厅</w:t>
            </w:r>
          </w:p>
        </w:tc>
        <w:tc>
          <w:tcPr>
            <w:tcW w:w="3000"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val="en-US" w:eastAsia="zh-CN" w:bidi="ar"/>
              </w:rPr>
              <w:t>四川省射洪市职业中专学校</w:t>
            </w:r>
          </w:p>
        </w:tc>
        <w:tc>
          <w:tcPr>
            <w:tcW w:w="333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bidi="ar"/>
              </w:rPr>
            </w:pPr>
            <w:r>
              <w:rPr>
                <w:rFonts w:hint="eastAsia" w:ascii="宋体" w:hAnsi="宋体" w:eastAsia="宋体" w:cs="宋体"/>
                <w:b w:val="0"/>
                <w:bCs w:val="0"/>
                <w:color w:val="000000"/>
                <w:kern w:val="0"/>
                <w:sz w:val="18"/>
                <w:szCs w:val="18"/>
                <w:lang w:val="en-US" w:eastAsia="zh-CN" w:bidi="ar"/>
              </w:rPr>
              <w:t>中职学校教师多元评价模式研究</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2042"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四川省教育厅</w:t>
            </w:r>
          </w:p>
        </w:tc>
        <w:tc>
          <w:tcPr>
            <w:tcW w:w="3000"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四川省射洪市职业中专学校</w:t>
            </w:r>
          </w:p>
        </w:tc>
        <w:tc>
          <w:tcPr>
            <w:tcW w:w="3333"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中高职贯通培养下一体化专业课程体系建设——以幼儿保育专业为例</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2042"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四川省教育厅</w:t>
            </w:r>
          </w:p>
        </w:tc>
        <w:tc>
          <w:tcPr>
            <w:tcW w:w="3000"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四川省遂宁市安居职业高级中学校</w:t>
            </w:r>
          </w:p>
        </w:tc>
        <w:tc>
          <w:tcPr>
            <w:tcW w:w="333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新时代加强和改进职业学校体育、美育和劳动教育实践研究</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2042"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四川省教育厅</w:t>
            </w:r>
          </w:p>
        </w:tc>
        <w:tc>
          <w:tcPr>
            <w:tcW w:w="3000"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四川省遂宁市安居职业高级中学校</w:t>
            </w:r>
          </w:p>
        </w:tc>
        <w:tc>
          <w:tcPr>
            <w:tcW w:w="3333"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职业院校教师信息化教学能力提升研究</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2042"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四川省教育厅</w:t>
            </w:r>
          </w:p>
        </w:tc>
        <w:tc>
          <w:tcPr>
            <w:tcW w:w="3000"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遂宁市船山职业技术学校</w:t>
            </w:r>
          </w:p>
        </w:tc>
        <w:tc>
          <w:tcPr>
            <w:tcW w:w="333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新时代职业教育“双师型”教师队伍建设模式和路径研究</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2042"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四川省教育厅</w:t>
            </w:r>
          </w:p>
        </w:tc>
        <w:tc>
          <w:tcPr>
            <w:tcW w:w="3000"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遂宁市船山职业技术学校</w:t>
            </w:r>
          </w:p>
        </w:tc>
        <w:tc>
          <w:tcPr>
            <w:tcW w:w="3333"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虚拟现实技术在职业院校教育教学中的应用研究</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2042"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四川省教育科学研究院</w:t>
            </w:r>
          </w:p>
        </w:tc>
        <w:tc>
          <w:tcPr>
            <w:tcW w:w="3000"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四川省遂宁市安居职业高级中学校</w:t>
            </w:r>
          </w:p>
        </w:tc>
        <w:tc>
          <w:tcPr>
            <w:tcW w:w="3333"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18"/>
                <w:szCs w:val="18"/>
                <w:lang w:val="en-US" w:eastAsia="zh-CN" w:bidi="ar"/>
              </w:rPr>
            </w:pPr>
            <w:r>
              <w:rPr>
                <w:rFonts w:hint="eastAsia" w:ascii="宋体" w:hAnsi="宋体" w:eastAsia="宋体" w:cs="宋体"/>
                <w:b w:val="0"/>
                <w:bCs w:val="0"/>
                <w:color w:val="000000"/>
                <w:kern w:val="0"/>
                <w:sz w:val="18"/>
                <w:szCs w:val="18"/>
                <w:lang w:val="en-US" w:eastAsia="zh-CN" w:bidi="ar"/>
              </w:rPr>
              <w:t>DFM视域下中职生心理健康现状及促进策略研究</w:t>
            </w:r>
          </w:p>
        </w:tc>
      </w:tr>
    </w:tbl>
    <w:p>
      <w:pPr>
        <w:keepNext/>
        <w:keepLines/>
        <w:pageBreakBefore w:val="0"/>
        <w:widowControl w:val="0"/>
        <w:kinsoku/>
        <w:wordWrap/>
        <w:overflowPunct/>
        <w:topLinePunct w:val="0"/>
        <w:autoSpaceDE/>
        <w:autoSpaceDN/>
        <w:bidi w:val="0"/>
        <w:adjustRightInd/>
        <w:snapToGrid/>
        <w:spacing w:line="240" w:lineRule="exact"/>
        <w:textAlignment w:val="auto"/>
        <w:outlineLvl w:val="9"/>
        <w:rPr>
          <w:rFonts w:hint="default"/>
          <w:lang w:val="en-US" w:eastAsia="zh-CN"/>
        </w:rPr>
      </w:pPr>
    </w:p>
    <w:p>
      <w:pPr>
        <w:spacing w:line="560" w:lineRule="exact"/>
        <w:ind w:firstLine="602" w:firstLineChars="200"/>
        <w:outlineLvl w:val="1"/>
        <w:rPr>
          <w:rFonts w:hint="eastAsia" w:ascii="Times New Roman" w:hAnsi="Times New Roman" w:eastAsia="楷体" w:cs="Times New Roman"/>
          <w:b/>
          <w:bCs/>
          <w:color w:val="auto"/>
          <w:sz w:val="30"/>
          <w:szCs w:val="30"/>
          <w:highlight w:val="none"/>
        </w:rPr>
      </w:pPr>
      <w:bookmarkStart w:id="366" w:name="_Toc91576142"/>
      <w:bookmarkStart w:id="367" w:name="_Toc4322"/>
      <w:bookmarkStart w:id="368" w:name="_Toc7169"/>
      <w:bookmarkStart w:id="369" w:name="_Toc7504"/>
      <w:bookmarkStart w:id="370" w:name="_Toc18933"/>
      <w:bookmarkStart w:id="371" w:name="_Toc15560"/>
      <w:r>
        <w:rPr>
          <w:rFonts w:hint="eastAsia" w:ascii="Times New Roman" w:hAnsi="Times New Roman" w:eastAsia="楷体" w:cs="Times New Roman"/>
          <w:b/>
          <w:bCs/>
          <w:color w:val="auto"/>
          <w:sz w:val="30"/>
          <w:szCs w:val="30"/>
          <w:highlight w:val="none"/>
          <w:lang w:val="en-US" w:eastAsia="zh-CN"/>
        </w:rPr>
        <w:t>7</w:t>
      </w:r>
      <w:r>
        <w:rPr>
          <w:rFonts w:hint="eastAsia" w:ascii="Times New Roman" w:hAnsi="Times New Roman" w:eastAsia="楷体" w:cs="Times New Roman"/>
          <w:b/>
          <w:bCs/>
          <w:color w:val="auto"/>
          <w:sz w:val="30"/>
          <w:szCs w:val="30"/>
          <w:highlight w:val="none"/>
        </w:rPr>
        <w:t>.</w:t>
      </w:r>
      <w:bookmarkEnd w:id="366"/>
      <w:r>
        <w:rPr>
          <w:rFonts w:hint="eastAsia" w:ascii="Times New Roman" w:hAnsi="Times New Roman" w:eastAsia="楷体" w:cs="Times New Roman"/>
          <w:b/>
          <w:bCs/>
          <w:color w:val="auto"/>
          <w:sz w:val="30"/>
          <w:szCs w:val="30"/>
          <w:highlight w:val="none"/>
          <w:lang w:val="en-US" w:eastAsia="zh-CN"/>
        </w:rPr>
        <w:t xml:space="preserve">3 </w:t>
      </w:r>
      <w:r>
        <w:rPr>
          <w:rFonts w:hint="eastAsia" w:ascii="Times New Roman" w:hAnsi="Times New Roman" w:eastAsia="楷体" w:cs="Times New Roman"/>
          <w:b/>
          <w:bCs/>
          <w:color w:val="auto"/>
          <w:sz w:val="30"/>
          <w:szCs w:val="30"/>
          <w:highlight w:val="none"/>
        </w:rPr>
        <w:t>课程建设</w:t>
      </w:r>
      <w:bookmarkEnd w:id="367"/>
      <w:bookmarkEnd w:id="368"/>
      <w:bookmarkEnd w:id="369"/>
      <w:bookmarkEnd w:id="370"/>
      <w:bookmarkEnd w:id="371"/>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课程承担着中职人才培养的核心功能，对人才培养质量起关键作用，各学校把课程建设作为学校重点工作来抓，突出课程在人才培养中的重要地位。</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一是优化课程体系。以“就业与升学并重”为导向，探索突显中等职业教育基础性的“思想政治课+文化基础课+专业基础课+专业技能课”纵向贯通、横向融通的课程体系；对接职业标准、行业标准和岗位规范，调整课程结构，更新课程内容，建设高职衔接课程56门，产教融合课程45门，配套建设56门在线精品课程。2024年全市共开办50个专业，共开设教学计划内课程1687门。</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二是落实课程思政。通过“课程思政”教育教学改革，促进思想政治教育与知识体系教育的有机统一；坚持专业课程与思政课同向同行，将专业知识与思政元素深度融合，构建 “课程思政”育人体系。改革教学方法，创新教学手段，拓展思政教育与专业教育的融入渠道。</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三是改革课程评价。各学校积极探索“就业与升学并重”背景下课程考核改革，针对不同课程性质和培养目标，灵活考试考核形式，全面评价学生学业水平；增强了考试题型的开放性，减少死记硬背试题，既强调了学生基本文化素养的考核，又强化学生的动手实践操作能力和解决实际问题的能力的考查，将过程性评价与总结性评价相结合，对学生的核心素养等关键因素都进行评价，体现对学生发展方向的价值引领。</w:t>
      </w:r>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7.3.1 公共基础课开设情况</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按照教育部要求，开设《心理健康与职业生涯》《哲学与人生》《语文》《数学》《英语》《历史》等15门公共基础课程，其中，《心理健康与职业生涯》《哲学与人生》《职业道德与法治》《就业指导与创业教育》《语文》《历史》全部按照规定统一使用国家教材，并对教师开展了国家教材培训，详见表20。</w:t>
      </w:r>
    </w:p>
    <w:p>
      <w:pPr>
        <w:pStyle w:val="8"/>
        <w:keepNext w:val="0"/>
        <w:keepLines w:val="0"/>
        <w:pageBreakBefore w:val="0"/>
        <w:widowControl w:val="0"/>
        <w:kinsoku/>
        <w:wordWrap/>
        <w:overflowPunct/>
        <w:topLinePunct w:val="0"/>
        <w:autoSpaceDE/>
        <w:autoSpaceDN/>
        <w:bidi w:val="0"/>
        <w:adjustRightInd/>
        <w:snapToGrid/>
        <w:spacing w:after="126" w:afterLines="40" w:line="560" w:lineRule="exact"/>
        <w:contextualSpacing/>
        <w:jc w:val="center"/>
        <w:textAlignment w:val="auto"/>
        <w:rPr>
          <w:color w:val="FF0000"/>
        </w:rPr>
      </w:pPr>
      <w:bookmarkStart w:id="372" w:name="_Toc25048"/>
      <w:r>
        <w:rPr>
          <w:rFonts w:hint="eastAsia" w:ascii="Times New Roman" w:hAnsi="Times New Roman" w:eastAsia="宋体" w:cs="宋体"/>
          <w:b/>
          <w:bCs/>
          <w:color w:val="auto"/>
          <w:sz w:val="21"/>
          <w:szCs w:val="21"/>
        </w:rPr>
        <w:t>表</w:t>
      </w:r>
      <w:r>
        <w:rPr>
          <w:rFonts w:hint="eastAsia" w:ascii="Times New Roman" w:hAnsi="Times New Roman" w:eastAsia="宋体" w:cs="宋体"/>
          <w:b/>
          <w:bCs/>
          <w:color w:val="auto"/>
          <w:sz w:val="21"/>
          <w:szCs w:val="21"/>
        </w:rPr>
        <w:fldChar w:fldCharType="begin"/>
      </w:r>
      <w:r>
        <w:rPr>
          <w:rFonts w:hint="eastAsia" w:ascii="Times New Roman" w:hAnsi="Times New Roman" w:eastAsia="宋体" w:cs="宋体"/>
          <w:b/>
          <w:bCs/>
          <w:color w:val="auto"/>
          <w:sz w:val="21"/>
          <w:szCs w:val="21"/>
        </w:rPr>
        <w:instrText xml:space="preserve"> SEQ 表 \* ARABIC </w:instrText>
      </w:r>
      <w:r>
        <w:rPr>
          <w:rFonts w:hint="eastAsia" w:ascii="Times New Roman" w:hAnsi="Times New Roman" w:eastAsia="宋体" w:cs="宋体"/>
          <w:b/>
          <w:bCs/>
          <w:color w:val="auto"/>
          <w:sz w:val="21"/>
          <w:szCs w:val="21"/>
        </w:rPr>
        <w:fldChar w:fldCharType="separate"/>
      </w:r>
      <w:r>
        <w:rPr>
          <w:rFonts w:hint="eastAsia" w:ascii="Times New Roman" w:hAnsi="Times New Roman" w:eastAsia="宋体" w:cs="宋体"/>
          <w:b/>
          <w:bCs/>
          <w:color w:val="auto"/>
          <w:sz w:val="21"/>
          <w:szCs w:val="21"/>
        </w:rPr>
        <w:t>20</w:t>
      </w:r>
      <w:r>
        <w:rPr>
          <w:rFonts w:hint="eastAsia" w:ascii="Times New Roman" w:hAnsi="Times New Roman" w:eastAsia="宋体" w:cs="宋体"/>
          <w:b/>
          <w:bCs/>
          <w:color w:val="auto"/>
          <w:sz w:val="21"/>
          <w:szCs w:val="21"/>
        </w:rPr>
        <w:fldChar w:fldCharType="end"/>
      </w:r>
      <w:bookmarkStart w:id="373" w:name="_Toc18640"/>
      <w:r>
        <w:rPr>
          <w:rFonts w:hint="eastAsia" w:ascii="Times New Roman" w:hAnsi="Times New Roman" w:eastAsia="宋体" w:cs="宋体"/>
          <w:b/>
          <w:bCs/>
          <w:color w:val="auto"/>
          <w:sz w:val="21"/>
          <w:szCs w:val="21"/>
          <w:lang w:val="en-US" w:eastAsia="zh-CN"/>
        </w:rPr>
        <w:t xml:space="preserve">  </w:t>
      </w:r>
      <w:r>
        <w:rPr>
          <w:rFonts w:hint="eastAsia" w:ascii="Times New Roman" w:hAnsi="Times New Roman" w:eastAsia="宋体" w:cs="宋体"/>
          <w:b/>
          <w:bCs/>
          <w:color w:val="auto"/>
          <w:sz w:val="21"/>
          <w:szCs w:val="21"/>
        </w:rPr>
        <w:t>公共基</w:t>
      </w:r>
      <w:r>
        <w:rPr>
          <w:rFonts w:hint="eastAsia" w:ascii="宋体" w:hAnsi="宋体" w:eastAsia="宋体" w:cs="宋体"/>
          <w:b/>
          <w:bCs/>
          <w:color w:val="auto"/>
          <w:sz w:val="21"/>
          <w:szCs w:val="21"/>
        </w:rPr>
        <w:t>础课开设情况</w:t>
      </w:r>
      <w:bookmarkEnd w:id="372"/>
      <w:bookmarkEnd w:id="373"/>
    </w:p>
    <w:tbl>
      <w:tblPr>
        <w:tblStyle w:val="91"/>
        <w:tblW w:w="8356" w:type="dxa"/>
        <w:jc w:val="center"/>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Layout w:type="autofit"/>
        <w:tblCellMar>
          <w:top w:w="0" w:type="dxa"/>
          <w:left w:w="108" w:type="dxa"/>
          <w:bottom w:w="0" w:type="dxa"/>
          <w:right w:w="108" w:type="dxa"/>
        </w:tblCellMar>
      </w:tblPr>
      <w:tblGrid>
        <w:gridCol w:w="1099"/>
        <w:gridCol w:w="5415"/>
        <w:gridCol w:w="1842"/>
      </w:tblGrid>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jc w:val="center"/>
        </w:trPr>
        <w:tc>
          <w:tcPr>
            <w:tcW w:w="1099"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ascii="宋体" w:hAnsi="宋体" w:eastAsia="宋体" w:cs="宋体"/>
                <w:b/>
                <w:color w:val="000000"/>
                <w:sz w:val="18"/>
                <w:szCs w:val="18"/>
              </w:rPr>
            </w:pPr>
            <w:r>
              <w:rPr>
                <w:rFonts w:hint="eastAsia" w:ascii="宋体" w:hAnsi="宋体" w:eastAsia="宋体" w:cs="宋体"/>
                <w:b/>
                <w:color w:val="000000"/>
                <w:sz w:val="18"/>
                <w:szCs w:val="18"/>
              </w:rPr>
              <w:t>学期</w:t>
            </w:r>
          </w:p>
        </w:tc>
        <w:tc>
          <w:tcPr>
            <w:tcW w:w="5415"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ascii="宋体" w:hAnsi="宋体" w:eastAsia="宋体" w:cs="宋体"/>
                <w:b/>
                <w:color w:val="000000"/>
                <w:sz w:val="18"/>
                <w:szCs w:val="18"/>
              </w:rPr>
            </w:pPr>
            <w:r>
              <w:rPr>
                <w:rFonts w:hint="eastAsia" w:ascii="宋体" w:hAnsi="宋体" w:eastAsia="宋体" w:cs="宋体"/>
                <w:b/>
                <w:color w:val="000000"/>
                <w:sz w:val="18"/>
                <w:szCs w:val="18"/>
              </w:rPr>
              <w:t>开设课程</w:t>
            </w:r>
          </w:p>
        </w:tc>
        <w:tc>
          <w:tcPr>
            <w:tcW w:w="1842"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ascii="宋体" w:hAnsi="宋体" w:eastAsia="宋体" w:cs="宋体"/>
                <w:b/>
                <w:color w:val="000000"/>
                <w:sz w:val="18"/>
                <w:szCs w:val="18"/>
              </w:rPr>
            </w:pPr>
            <w:r>
              <w:rPr>
                <w:rFonts w:hint="eastAsia" w:ascii="宋体" w:hAnsi="宋体" w:eastAsia="宋体" w:cs="宋体"/>
                <w:b/>
                <w:color w:val="000000"/>
                <w:sz w:val="18"/>
                <w:szCs w:val="18"/>
              </w:rPr>
              <w:t>执行标准</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jc w:val="center"/>
        </w:trPr>
        <w:tc>
          <w:tcPr>
            <w:tcW w:w="1099"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spacing w:line="480" w:lineRule="exact"/>
              <w:contextualSpacing/>
              <w:jc w:val="center"/>
              <w:rPr>
                <w:rFonts w:ascii="宋体" w:hAnsi="宋体" w:eastAsia="宋体" w:cs="宋体"/>
                <w:b w:val="0"/>
                <w:color w:val="000000"/>
                <w:sz w:val="18"/>
                <w:szCs w:val="18"/>
              </w:rPr>
            </w:pPr>
            <w:r>
              <w:rPr>
                <w:rFonts w:hint="eastAsia" w:ascii="宋体" w:hAnsi="宋体" w:eastAsia="宋体" w:cs="宋体"/>
                <w:b w:val="0"/>
                <w:color w:val="000000"/>
                <w:sz w:val="18"/>
                <w:szCs w:val="18"/>
              </w:rPr>
              <w:t>第一学期</w:t>
            </w:r>
          </w:p>
        </w:tc>
        <w:tc>
          <w:tcPr>
            <w:tcW w:w="5415"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ascii="宋体" w:hAnsi="宋体" w:eastAsia="宋体" w:cs="宋体"/>
                <w:b w:val="0"/>
                <w:color w:val="000000"/>
                <w:sz w:val="18"/>
                <w:szCs w:val="18"/>
              </w:rPr>
            </w:pPr>
            <w:r>
              <w:rPr>
                <w:rFonts w:hint="eastAsia" w:ascii="宋体" w:hAnsi="宋体" w:eastAsia="宋体" w:cs="宋体"/>
                <w:b w:val="0"/>
                <w:color w:val="000000"/>
                <w:sz w:val="18"/>
                <w:szCs w:val="18"/>
              </w:rPr>
              <w:t>习近平新时代中国特色社会主义思想</w:t>
            </w:r>
            <w:r>
              <w:rPr>
                <w:rFonts w:hint="eastAsia" w:ascii="宋体" w:hAnsi="宋体" w:eastAsia="宋体" w:cs="宋体"/>
                <w:b w:val="0"/>
                <w:color w:val="000000"/>
                <w:sz w:val="18"/>
                <w:szCs w:val="18"/>
                <w:lang w:val="en-US" w:eastAsia="zh-CN"/>
              </w:rPr>
              <w:t>学生读本（高中）</w:t>
            </w:r>
            <w:r>
              <w:rPr>
                <w:rFonts w:hint="eastAsia" w:ascii="宋体" w:hAnsi="宋体" w:eastAsia="宋体" w:cs="宋体"/>
                <w:b w:val="0"/>
                <w:color w:val="000000"/>
                <w:sz w:val="18"/>
                <w:szCs w:val="18"/>
              </w:rPr>
              <w:t>、语文、数学、英语、历史、信息技术、体育与健康、公共艺术、中华优秀传统文化、安全教育</w:t>
            </w:r>
          </w:p>
        </w:tc>
        <w:tc>
          <w:tcPr>
            <w:tcW w:w="1842" w:type="dxa"/>
            <w:vMerge w:val="restart"/>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spacing w:line="480" w:lineRule="exact"/>
              <w:contextualSpacing/>
              <w:rPr>
                <w:rFonts w:ascii="宋体" w:hAnsi="宋体" w:eastAsia="宋体" w:cs="宋体"/>
                <w:b w:val="0"/>
                <w:color w:val="000000"/>
                <w:sz w:val="18"/>
                <w:szCs w:val="18"/>
              </w:rPr>
            </w:pPr>
            <w:r>
              <w:rPr>
                <w:rFonts w:hint="eastAsia" w:ascii="宋体" w:hAnsi="宋体" w:eastAsia="宋体" w:cs="宋体"/>
                <w:b w:val="0"/>
                <w:color w:val="000000"/>
                <w:sz w:val="18"/>
                <w:szCs w:val="18"/>
              </w:rPr>
              <w:t>教育部《关于职业院校专业人才培养方案制订与实施工作的指导意见》，教职成〔</w:t>
            </w:r>
            <w:r>
              <w:rPr>
                <w:rFonts w:ascii="Times New Roman" w:hAnsi="Times New Roman" w:eastAsia="宋体" w:cs="Times New Roman"/>
                <w:b w:val="0"/>
                <w:color w:val="000000"/>
                <w:sz w:val="18"/>
                <w:szCs w:val="18"/>
              </w:rPr>
              <w:t>2019</w:t>
            </w:r>
            <w:r>
              <w:rPr>
                <w:rFonts w:hint="eastAsia" w:ascii="宋体" w:hAnsi="宋体" w:eastAsia="宋体" w:cs="宋体"/>
                <w:b w:val="0"/>
                <w:color w:val="000000"/>
                <w:sz w:val="18"/>
                <w:szCs w:val="18"/>
              </w:rPr>
              <w:t>〕</w:t>
            </w:r>
            <w:r>
              <w:rPr>
                <w:rFonts w:ascii="Times New Roman" w:hAnsi="Times New Roman" w:eastAsia="宋体" w:cs="Times New Roman"/>
                <w:b w:val="0"/>
                <w:color w:val="000000"/>
                <w:sz w:val="18"/>
                <w:szCs w:val="18"/>
              </w:rPr>
              <w:t>13</w:t>
            </w:r>
            <w:r>
              <w:rPr>
                <w:rFonts w:hint="eastAsia" w:ascii="宋体" w:hAnsi="宋体" w:eastAsia="宋体" w:cs="宋体"/>
                <w:b w:val="0"/>
                <w:color w:val="000000"/>
                <w:sz w:val="18"/>
                <w:szCs w:val="18"/>
              </w:rPr>
              <w:t>号教育部关于中等职业学校语文等十门公共基础课程标准[</w:t>
            </w:r>
            <w:r>
              <w:rPr>
                <w:rFonts w:ascii="Times New Roman" w:hAnsi="Times New Roman" w:eastAsia="宋体" w:cs="Times New Roman"/>
                <w:b w:val="0"/>
                <w:color w:val="000000"/>
                <w:sz w:val="18"/>
                <w:szCs w:val="18"/>
              </w:rPr>
              <w:t>2020</w:t>
            </w:r>
            <w:r>
              <w:rPr>
                <w:rFonts w:hint="eastAsia" w:ascii="宋体" w:hAnsi="宋体" w:eastAsia="宋体" w:cs="宋体"/>
                <w:b w:val="0"/>
                <w:color w:val="000000"/>
                <w:sz w:val="18"/>
                <w:szCs w:val="18"/>
              </w:rPr>
              <w:t>版]</w:t>
            </w: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jc w:val="center"/>
        </w:trPr>
        <w:tc>
          <w:tcPr>
            <w:tcW w:w="109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spacing w:line="480" w:lineRule="exact"/>
              <w:contextualSpacing/>
              <w:jc w:val="center"/>
              <w:rPr>
                <w:rFonts w:ascii="宋体" w:hAnsi="宋体" w:eastAsia="宋体" w:cs="宋体"/>
                <w:b w:val="0"/>
                <w:color w:val="000000"/>
                <w:sz w:val="18"/>
                <w:szCs w:val="18"/>
              </w:rPr>
            </w:pPr>
            <w:r>
              <w:rPr>
                <w:rFonts w:hint="eastAsia" w:ascii="宋体" w:hAnsi="宋体" w:eastAsia="宋体" w:cs="宋体"/>
                <w:b w:val="0"/>
                <w:color w:val="000000"/>
                <w:sz w:val="18"/>
                <w:szCs w:val="18"/>
              </w:rPr>
              <w:t>第二学期</w:t>
            </w:r>
          </w:p>
        </w:tc>
        <w:tc>
          <w:tcPr>
            <w:tcW w:w="541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ascii="宋体" w:hAnsi="宋体" w:eastAsia="宋体" w:cs="宋体"/>
                <w:b w:val="0"/>
                <w:color w:val="000000"/>
                <w:sz w:val="18"/>
                <w:szCs w:val="18"/>
              </w:rPr>
            </w:pPr>
            <w:r>
              <w:rPr>
                <w:rFonts w:hint="eastAsia" w:ascii="宋体" w:hAnsi="宋体" w:eastAsia="宋体" w:cs="宋体"/>
                <w:b w:val="0"/>
                <w:color w:val="000000"/>
                <w:sz w:val="18"/>
                <w:szCs w:val="18"/>
              </w:rPr>
              <w:t>心理健康与职业生涯、语文、数学、英语、历史、信息技术、体育与健康、公共艺术、中华优秀传统文化、安全教育</w:t>
            </w:r>
          </w:p>
        </w:tc>
        <w:tc>
          <w:tcPr>
            <w:tcW w:w="1842"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FFFFF"/>
          </w:tcPr>
          <w:p>
            <w:pPr>
              <w:spacing w:line="480" w:lineRule="exact"/>
              <w:contextualSpacing/>
              <w:rPr>
                <w:rFonts w:ascii="仿宋_GB2312" w:eastAsia="仿宋_GB2312"/>
                <w:b w:val="0"/>
                <w:color w:val="000000"/>
                <w:sz w:val="18"/>
                <w:szCs w:val="18"/>
              </w:rPr>
            </w:pP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jc w:val="center"/>
        </w:trPr>
        <w:tc>
          <w:tcPr>
            <w:tcW w:w="1099"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spacing w:line="480" w:lineRule="exact"/>
              <w:contextualSpacing/>
              <w:jc w:val="center"/>
              <w:rPr>
                <w:rFonts w:ascii="宋体" w:hAnsi="宋体" w:eastAsia="宋体" w:cs="宋体"/>
                <w:b w:val="0"/>
                <w:color w:val="000000"/>
                <w:sz w:val="18"/>
                <w:szCs w:val="18"/>
              </w:rPr>
            </w:pPr>
            <w:r>
              <w:rPr>
                <w:rFonts w:hint="eastAsia" w:ascii="宋体" w:hAnsi="宋体" w:eastAsia="宋体" w:cs="宋体"/>
                <w:b w:val="0"/>
                <w:color w:val="000000"/>
                <w:sz w:val="18"/>
                <w:szCs w:val="18"/>
              </w:rPr>
              <w:t>第三学期</w:t>
            </w:r>
          </w:p>
        </w:tc>
        <w:tc>
          <w:tcPr>
            <w:tcW w:w="5415"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ascii="宋体" w:hAnsi="宋体" w:eastAsia="宋体" w:cs="宋体"/>
                <w:b w:val="0"/>
                <w:color w:val="000000"/>
                <w:sz w:val="18"/>
                <w:szCs w:val="18"/>
              </w:rPr>
            </w:pPr>
            <w:r>
              <w:rPr>
                <w:rFonts w:hint="eastAsia" w:ascii="宋体" w:hAnsi="宋体" w:eastAsia="宋体" w:cs="宋体"/>
                <w:b w:val="0"/>
                <w:color w:val="000000"/>
                <w:sz w:val="18"/>
                <w:szCs w:val="18"/>
              </w:rPr>
              <w:t>哲学与人生、语文、数学、英语、体育与健康、劳动教育</w:t>
            </w:r>
          </w:p>
        </w:tc>
        <w:tc>
          <w:tcPr>
            <w:tcW w:w="1842"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EF3EB"/>
          </w:tcPr>
          <w:p>
            <w:pPr>
              <w:spacing w:line="480" w:lineRule="exact"/>
              <w:contextualSpacing/>
              <w:rPr>
                <w:rFonts w:ascii="仿宋_GB2312" w:eastAsia="仿宋_GB2312"/>
                <w:b w:val="0"/>
                <w:color w:val="000000"/>
                <w:sz w:val="18"/>
                <w:szCs w:val="18"/>
              </w:rPr>
            </w:pP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jc w:val="center"/>
        </w:trPr>
        <w:tc>
          <w:tcPr>
            <w:tcW w:w="109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spacing w:line="480" w:lineRule="exact"/>
              <w:contextualSpacing/>
              <w:jc w:val="center"/>
              <w:rPr>
                <w:rFonts w:ascii="宋体" w:hAnsi="宋体" w:eastAsia="宋体" w:cs="宋体"/>
                <w:b w:val="0"/>
                <w:color w:val="000000"/>
                <w:sz w:val="18"/>
                <w:szCs w:val="18"/>
              </w:rPr>
            </w:pPr>
            <w:r>
              <w:rPr>
                <w:rFonts w:hint="eastAsia" w:ascii="宋体" w:hAnsi="宋体" w:eastAsia="宋体" w:cs="宋体"/>
                <w:b w:val="0"/>
                <w:color w:val="000000"/>
                <w:sz w:val="18"/>
                <w:szCs w:val="18"/>
              </w:rPr>
              <w:t>第四学期</w:t>
            </w:r>
          </w:p>
        </w:tc>
        <w:tc>
          <w:tcPr>
            <w:tcW w:w="541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ascii="宋体" w:hAnsi="宋体" w:eastAsia="宋体" w:cs="宋体"/>
                <w:b w:val="0"/>
                <w:color w:val="000000"/>
                <w:sz w:val="18"/>
                <w:szCs w:val="18"/>
              </w:rPr>
            </w:pPr>
            <w:r>
              <w:rPr>
                <w:rFonts w:hint="eastAsia" w:ascii="宋体" w:hAnsi="宋体" w:eastAsia="宋体" w:cs="宋体"/>
                <w:b w:val="0"/>
                <w:color w:val="000000"/>
                <w:sz w:val="18"/>
                <w:szCs w:val="18"/>
              </w:rPr>
              <w:t>职业道德与法治、语文、数学、英语、体育与健康、劳动教育</w:t>
            </w:r>
          </w:p>
        </w:tc>
        <w:tc>
          <w:tcPr>
            <w:tcW w:w="1842"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FFFFF"/>
          </w:tcPr>
          <w:p>
            <w:pPr>
              <w:spacing w:line="480" w:lineRule="exact"/>
              <w:contextualSpacing/>
              <w:rPr>
                <w:rFonts w:ascii="仿宋_GB2312" w:eastAsia="仿宋_GB2312"/>
                <w:b w:val="0"/>
                <w:color w:val="000000"/>
                <w:sz w:val="18"/>
                <w:szCs w:val="18"/>
              </w:rPr>
            </w:pPr>
          </w:p>
        </w:tc>
      </w:tr>
      <w:tr>
        <w:tblPrEx>
          <w:tblBorders>
            <w:top w:val="single" w:color="4472C4" w:themeColor="accent1" w:sz="4" w:space="0"/>
            <w:left w:val="none" w:color="auto" w:sz="0" w:space="0"/>
            <w:bottom w:val="single" w:color="4472C4" w:themeColor="accent1" w:sz="4" w:space="0"/>
            <w:right w:val="none" w:color="auto" w:sz="0" w:space="0"/>
            <w:insideH w:val="single" w:color="4472C4" w:themeColor="accent1" w:sz="4" w:space="0"/>
            <w:insideV w:val="none" w:color="auto" w:sz="0" w:space="0"/>
          </w:tblBorders>
          <w:tblCellMar>
            <w:top w:w="0" w:type="dxa"/>
            <w:left w:w="108" w:type="dxa"/>
            <w:bottom w:w="0" w:type="dxa"/>
            <w:right w:w="108" w:type="dxa"/>
          </w:tblCellMar>
        </w:tblPrEx>
        <w:trPr>
          <w:trHeight w:val="510" w:hRule="atLeast"/>
          <w:jc w:val="center"/>
        </w:trPr>
        <w:tc>
          <w:tcPr>
            <w:tcW w:w="1099"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spacing w:line="480" w:lineRule="exact"/>
              <w:contextualSpacing/>
              <w:jc w:val="center"/>
              <w:rPr>
                <w:rFonts w:ascii="宋体" w:hAnsi="宋体" w:eastAsia="宋体" w:cs="宋体"/>
                <w:b w:val="0"/>
                <w:color w:val="000000"/>
                <w:sz w:val="18"/>
                <w:szCs w:val="18"/>
              </w:rPr>
            </w:pPr>
            <w:r>
              <w:rPr>
                <w:rFonts w:hint="eastAsia" w:ascii="宋体" w:hAnsi="宋体" w:eastAsia="宋体" w:cs="宋体"/>
                <w:b w:val="0"/>
                <w:color w:val="000000"/>
                <w:sz w:val="18"/>
                <w:szCs w:val="18"/>
              </w:rPr>
              <w:t>第五学期</w:t>
            </w:r>
          </w:p>
        </w:tc>
        <w:tc>
          <w:tcPr>
            <w:tcW w:w="5415" w:type="dxa"/>
            <w:tcBorders>
              <w:top w:val="single" w:color="ED7D31" w:sz="4" w:space="0"/>
              <w:left w:val="single" w:color="ED7D31" w:sz="4" w:space="0"/>
              <w:bottom w:val="single" w:color="ED7D31" w:sz="4" w:space="0"/>
              <w:right w:val="single" w:color="ED7D31" w:sz="4" w:space="0"/>
              <w:tl2br w:val="nil"/>
              <w:tr2bl w:val="nil"/>
            </w:tcBorders>
            <w:shd w:val="clear" w:color="auto" w:fill="FEF3EB"/>
            <w:vAlign w:val="center"/>
          </w:tcPr>
          <w:p>
            <w:pPr>
              <w:keepNext w:val="0"/>
              <w:keepLines w:val="0"/>
              <w:pageBreakBefore w:val="0"/>
              <w:widowControl w:val="0"/>
              <w:kinsoku/>
              <w:wordWrap/>
              <w:overflowPunct/>
              <w:topLinePunct w:val="0"/>
              <w:autoSpaceDE/>
              <w:autoSpaceDN/>
              <w:bidi w:val="0"/>
              <w:adjustRightInd/>
              <w:snapToGrid/>
              <w:spacing w:line="400" w:lineRule="exact"/>
              <w:contextualSpacing/>
              <w:jc w:val="center"/>
              <w:textAlignment w:val="auto"/>
              <w:rPr>
                <w:rFonts w:ascii="宋体" w:hAnsi="宋体" w:eastAsia="宋体" w:cs="宋体"/>
                <w:b w:val="0"/>
                <w:color w:val="000000"/>
                <w:sz w:val="18"/>
                <w:szCs w:val="18"/>
              </w:rPr>
            </w:pPr>
            <w:r>
              <w:rPr>
                <w:rFonts w:hint="eastAsia" w:ascii="宋体" w:hAnsi="宋体" w:eastAsia="宋体" w:cs="宋体"/>
                <w:b w:val="0"/>
                <w:color w:val="000000"/>
                <w:sz w:val="18"/>
                <w:szCs w:val="18"/>
              </w:rPr>
              <w:t>就业指导与创业教育、语文、数学、英语、体育与健康、职业素养</w:t>
            </w:r>
          </w:p>
        </w:tc>
        <w:tc>
          <w:tcPr>
            <w:tcW w:w="1842"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EF3EB"/>
          </w:tcPr>
          <w:p>
            <w:pPr>
              <w:spacing w:line="480" w:lineRule="exact"/>
              <w:contextualSpacing/>
              <w:rPr>
                <w:rFonts w:ascii="仿宋_GB2312" w:eastAsia="仿宋_GB2312"/>
                <w:b w:val="0"/>
                <w:color w:val="000000"/>
                <w:sz w:val="18"/>
                <w:szCs w:val="18"/>
              </w:rPr>
            </w:pPr>
          </w:p>
        </w:tc>
      </w:tr>
    </w:tbl>
    <w:p>
      <w:pPr>
        <w:pStyle w:val="10"/>
        <w:keepNext w:val="0"/>
        <w:keepLines w:val="0"/>
        <w:pageBreakBefore w:val="0"/>
        <w:widowControl w:val="0"/>
        <w:kinsoku/>
        <w:wordWrap/>
        <w:overflowPunct/>
        <w:topLinePunct w:val="0"/>
        <w:autoSpaceDE/>
        <w:autoSpaceDN/>
        <w:bidi w:val="0"/>
        <w:adjustRightInd/>
        <w:snapToGrid/>
        <w:spacing w:line="240" w:lineRule="exact"/>
        <w:ind w:firstLine="562" w:firstLineChars="200"/>
        <w:textAlignment w:val="auto"/>
        <w:outlineLvl w:val="9"/>
        <w:rPr>
          <w:rFonts w:ascii="Times New Roman" w:hAnsi="Times New Roman" w:eastAsia="宋体" w:cs="Times New Roman"/>
          <w:b/>
          <w:bCs/>
          <w:sz w:val="28"/>
          <w:szCs w:val="28"/>
        </w:rPr>
      </w:pPr>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7.3.2 专业课程建设情况</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一是明确专业定位。结合遂宁经济发展需求和学校自身优势，确定专业的培养目标和服务方向，培养适应本地企业需求的技术技能人才。二是优化课程设置。 紧跟行业发展趋势，及时更新课程内容，引入新技术、新工艺、新规范，增加实践教学比重，一般实践教学课时应占总课时的 50%以上。开发校本课程，突出专业特色和学校优势。三是打造师资队伍。引进具有行业企业工作经验的专业教师，鼓励教师参加企业实践和培训，建立教师团队合作机制，共同开展教学改革和科研项目。四是加强实训基地建设。加大投入，建设先进的实训设备和场地，满足学生实践教学需求，与企业合作共建实训基地，实现资源共享，建立实训基地管理制度，确保设备正常运行和安全使用。五是推进产教融合。与企业开展深度合作，建立订单班、现代学徒制等人才培养模式，邀请企业专家参与专业建设和教学指导，开展产学研合作项目，提高教师和学生的科研能力和创新意识。六是建立质量保障体系。制定专业教学标准和课程标准，规范教学过程，建立教学质量监控机制，定期开展教学检查和评价，收集毕业生和用人单位的反馈意见，及时调整专业建设方向。</w:t>
      </w:r>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7.3.3 教学资源建设及利用率</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遂宁市中职学校以“双示范”和“三名工程”“薄弱学校”项目建设为契机，全面加强教学资源建设，重点建设</w:t>
      </w:r>
      <w:r>
        <w:rPr>
          <w:rFonts w:hint="default" w:ascii="Times New Roman" w:hAnsi="Times New Roman" w:eastAsia="宋体" w:cs="仿宋"/>
          <w:color w:val="auto"/>
          <w:sz w:val="24"/>
          <w:szCs w:val="24"/>
          <w:highlight w:val="none"/>
          <w:lang w:val="en-US" w:eastAsia="zh-CN"/>
        </w:rPr>
        <w:t>物流服务与管理</w:t>
      </w:r>
      <w:r>
        <w:rPr>
          <w:rFonts w:hint="eastAsia" w:ascii="Times New Roman" w:hAnsi="Times New Roman" w:eastAsia="宋体" w:cs="仿宋"/>
          <w:color w:val="auto"/>
          <w:sz w:val="24"/>
          <w:szCs w:val="24"/>
          <w:highlight w:val="none"/>
          <w:lang w:val="en-US" w:eastAsia="zh-CN"/>
        </w:rPr>
        <w:t>、机电技术应用、现代农艺技术、汽车运用与维修等5个省示范专业</w:t>
      </w:r>
      <w:r>
        <w:rPr>
          <w:rFonts w:hint="default" w:ascii="Times New Roman" w:hAnsi="Times New Roman" w:eastAsia="宋体" w:cs="仿宋"/>
          <w:color w:val="auto"/>
          <w:sz w:val="24"/>
          <w:szCs w:val="24"/>
          <w:highlight w:val="none"/>
          <w:lang w:val="en-US" w:eastAsia="zh-CN"/>
        </w:rPr>
        <w:t>教学资源库，</w:t>
      </w:r>
      <w:r>
        <w:rPr>
          <w:rFonts w:hint="eastAsia" w:ascii="Times New Roman" w:hAnsi="Times New Roman" w:eastAsia="宋体" w:cs="仿宋"/>
          <w:color w:val="auto"/>
          <w:sz w:val="24"/>
          <w:szCs w:val="24"/>
          <w:highlight w:val="none"/>
          <w:lang w:val="en-US" w:eastAsia="zh-CN"/>
        </w:rPr>
        <w:t>建立校级教学资源库51个，</w:t>
      </w:r>
      <w:r>
        <w:rPr>
          <w:rFonts w:hint="default" w:ascii="Times New Roman" w:hAnsi="Times New Roman" w:eastAsia="宋体" w:cs="仿宋"/>
          <w:color w:val="auto"/>
          <w:sz w:val="24"/>
          <w:szCs w:val="24"/>
          <w:highlight w:val="none"/>
          <w:lang w:val="en-US" w:eastAsia="zh-CN"/>
        </w:rPr>
        <w:t>覆盖</w:t>
      </w:r>
      <w:r>
        <w:rPr>
          <w:rFonts w:hint="eastAsia" w:ascii="Times New Roman" w:hAnsi="Times New Roman" w:eastAsia="宋体" w:cs="仿宋"/>
          <w:color w:val="auto"/>
          <w:sz w:val="24"/>
          <w:szCs w:val="24"/>
          <w:highlight w:val="none"/>
          <w:lang w:val="en-US" w:eastAsia="zh-CN"/>
        </w:rPr>
        <w:t>相关</w:t>
      </w:r>
      <w:r>
        <w:rPr>
          <w:rFonts w:hint="default" w:ascii="Times New Roman" w:hAnsi="Times New Roman" w:eastAsia="宋体" w:cs="仿宋"/>
          <w:color w:val="auto"/>
          <w:sz w:val="24"/>
          <w:szCs w:val="24"/>
          <w:highlight w:val="none"/>
          <w:lang w:val="en-US" w:eastAsia="zh-CN"/>
        </w:rPr>
        <w:t>专业</w:t>
      </w:r>
      <w:r>
        <w:rPr>
          <w:rFonts w:hint="eastAsia" w:ascii="Times New Roman" w:hAnsi="Times New Roman" w:eastAsia="宋体" w:cs="仿宋"/>
          <w:color w:val="auto"/>
          <w:sz w:val="24"/>
          <w:szCs w:val="24"/>
          <w:highlight w:val="none"/>
          <w:lang w:val="en-US" w:eastAsia="zh-CN"/>
        </w:rPr>
        <w:t>38</w:t>
      </w:r>
      <w:r>
        <w:rPr>
          <w:rFonts w:hint="default" w:ascii="Times New Roman" w:hAnsi="Times New Roman" w:eastAsia="宋体" w:cs="仿宋"/>
          <w:color w:val="auto"/>
          <w:sz w:val="24"/>
          <w:szCs w:val="24"/>
          <w:highlight w:val="none"/>
          <w:lang w:val="en-US" w:eastAsia="zh-CN"/>
        </w:rPr>
        <w:t>门核心课程，课程资源数量充足、资源内容丰富、形式多样，修订完善了</w:t>
      </w:r>
      <w:r>
        <w:rPr>
          <w:rFonts w:hint="eastAsia" w:ascii="Times New Roman" w:hAnsi="Times New Roman" w:eastAsia="宋体" w:cs="仿宋"/>
          <w:color w:val="auto"/>
          <w:sz w:val="24"/>
          <w:szCs w:val="24"/>
          <w:highlight w:val="none"/>
          <w:lang w:val="en-US" w:eastAsia="zh-CN"/>
        </w:rPr>
        <w:t>35</w:t>
      </w:r>
      <w:r>
        <w:rPr>
          <w:rFonts w:hint="default" w:ascii="Times New Roman" w:hAnsi="Times New Roman" w:eastAsia="宋体" w:cs="仿宋"/>
          <w:color w:val="auto"/>
          <w:sz w:val="24"/>
          <w:szCs w:val="24"/>
          <w:highlight w:val="none"/>
          <w:lang w:val="en-US" w:eastAsia="zh-CN"/>
        </w:rPr>
        <w:t>门课程标准，编写了</w:t>
      </w:r>
      <w:r>
        <w:rPr>
          <w:rFonts w:hint="eastAsia" w:ascii="Times New Roman" w:hAnsi="Times New Roman" w:eastAsia="宋体" w:cs="仿宋"/>
          <w:color w:val="auto"/>
          <w:sz w:val="24"/>
          <w:szCs w:val="24"/>
          <w:highlight w:val="none"/>
          <w:lang w:val="en-US" w:eastAsia="zh-CN"/>
        </w:rPr>
        <w:t>1600</w:t>
      </w:r>
      <w:r>
        <w:rPr>
          <w:rFonts w:hint="default" w:ascii="Times New Roman" w:hAnsi="Times New Roman" w:eastAsia="宋体" w:cs="仿宋"/>
          <w:color w:val="auto"/>
          <w:sz w:val="24"/>
          <w:szCs w:val="24"/>
          <w:highlight w:val="none"/>
          <w:lang w:val="en-US" w:eastAsia="zh-CN"/>
        </w:rPr>
        <w:t>余个教学设计，录制了微课视频</w:t>
      </w:r>
      <w:r>
        <w:rPr>
          <w:rFonts w:hint="eastAsia" w:ascii="Times New Roman" w:hAnsi="Times New Roman" w:eastAsia="宋体" w:cs="仿宋"/>
          <w:color w:val="auto"/>
          <w:sz w:val="24"/>
          <w:szCs w:val="24"/>
          <w:highlight w:val="none"/>
          <w:lang w:val="en-US" w:eastAsia="zh-CN"/>
        </w:rPr>
        <w:t>13</w:t>
      </w:r>
      <w:r>
        <w:rPr>
          <w:rFonts w:hint="default" w:ascii="Times New Roman" w:hAnsi="Times New Roman" w:eastAsia="宋体" w:cs="仿宋"/>
          <w:color w:val="auto"/>
          <w:sz w:val="24"/>
          <w:szCs w:val="24"/>
          <w:highlight w:val="none"/>
          <w:lang w:val="en-US" w:eastAsia="zh-CN"/>
        </w:rPr>
        <w:t>3</w:t>
      </w:r>
      <w:r>
        <w:rPr>
          <w:rFonts w:hint="eastAsia" w:ascii="Times New Roman" w:hAnsi="Times New Roman" w:eastAsia="宋体" w:cs="仿宋"/>
          <w:color w:val="auto"/>
          <w:sz w:val="24"/>
          <w:szCs w:val="24"/>
          <w:highlight w:val="none"/>
          <w:lang w:val="en-US" w:eastAsia="zh-CN"/>
        </w:rPr>
        <w:t>5</w:t>
      </w:r>
      <w:r>
        <w:rPr>
          <w:rFonts w:hint="default" w:ascii="Times New Roman" w:hAnsi="Times New Roman" w:eastAsia="宋体" w:cs="仿宋"/>
          <w:color w:val="auto"/>
          <w:sz w:val="24"/>
          <w:szCs w:val="24"/>
          <w:highlight w:val="none"/>
          <w:lang w:val="en-US" w:eastAsia="zh-CN"/>
        </w:rPr>
        <w:t>个，在线课程</w:t>
      </w:r>
      <w:r>
        <w:rPr>
          <w:rFonts w:hint="eastAsia" w:ascii="Times New Roman" w:hAnsi="Times New Roman" w:eastAsia="宋体" w:cs="仿宋"/>
          <w:color w:val="auto"/>
          <w:sz w:val="24"/>
          <w:szCs w:val="24"/>
          <w:highlight w:val="none"/>
          <w:lang w:val="en-US" w:eastAsia="zh-CN"/>
        </w:rPr>
        <w:t>56</w:t>
      </w:r>
      <w:r>
        <w:rPr>
          <w:rFonts w:hint="default" w:ascii="Times New Roman" w:hAnsi="Times New Roman" w:eastAsia="宋体" w:cs="仿宋"/>
          <w:color w:val="auto"/>
          <w:sz w:val="24"/>
          <w:szCs w:val="24"/>
          <w:highlight w:val="none"/>
          <w:lang w:val="en-US" w:eastAsia="zh-CN"/>
        </w:rPr>
        <w:t>门，制作知识图谱</w:t>
      </w:r>
      <w:r>
        <w:rPr>
          <w:rFonts w:hint="eastAsia" w:ascii="Times New Roman" w:hAnsi="Times New Roman" w:eastAsia="宋体" w:cs="仿宋"/>
          <w:color w:val="auto"/>
          <w:sz w:val="24"/>
          <w:szCs w:val="24"/>
          <w:highlight w:val="none"/>
          <w:lang w:val="en-US" w:eastAsia="zh-CN"/>
        </w:rPr>
        <w:t>1185</w:t>
      </w:r>
      <w:r>
        <w:rPr>
          <w:rFonts w:hint="default" w:ascii="Times New Roman" w:hAnsi="Times New Roman" w:eastAsia="宋体" w:cs="仿宋"/>
          <w:color w:val="auto"/>
          <w:sz w:val="24"/>
          <w:szCs w:val="24"/>
          <w:highlight w:val="none"/>
          <w:lang w:val="en-US" w:eastAsia="zh-CN"/>
        </w:rPr>
        <w:t>个，制作颗粒化资源</w:t>
      </w:r>
      <w:r>
        <w:rPr>
          <w:rFonts w:hint="eastAsia" w:ascii="Times New Roman" w:hAnsi="Times New Roman" w:eastAsia="宋体" w:cs="仿宋"/>
          <w:color w:val="auto"/>
          <w:sz w:val="24"/>
          <w:szCs w:val="24"/>
          <w:highlight w:val="none"/>
          <w:lang w:val="en-US" w:eastAsia="zh-CN"/>
        </w:rPr>
        <w:t>1426</w:t>
      </w:r>
      <w:r>
        <w:rPr>
          <w:rFonts w:hint="default" w:ascii="Times New Roman" w:hAnsi="Times New Roman" w:eastAsia="宋体" w:cs="仿宋"/>
          <w:color w:val="auto"/>
          <w:sz w:val="24"/>
          <w:szCs w:val="24"/>
          <w:highlight w:val="none"/>
          <w:lang w:val="en-US" w:eastAsia="zh-CN"/>
        </w:rPr>
        <w:t>个，评价试题</w:t>
      </w:r>
      <w:r>
        <w:rPr>
          <w:rFonts w:hint="eastAsia" w:ascii="Times New Roman" w:hAnsi="Times New Roman" w:eastAsia="宋体" w:cs="仿宋"/>
          <w:color w:val="auto"/>
          <w:sz w:val="24"/>
          <w:szCs w:val="24"/>
          <w:highlight w:val="none"/>
          <w:lang w:val="en-US" w:eastAsia="zh-CN"/>
        </w:rPr>
        <w:t>1145</w:t>
      </w:r>
      <w:r>
        <w:rPr>
          <w:rFonts w:hint="default" w:ascii="Times New Roman" w:hAnsi="Times New Roman" w:eastAsia="宋体" w:cs="仿宋"/>
          <w:color w:val="auto"/>
          <w:sz w:val="24"/>
          <w:szCs w:val="24"/>
          <w:highlight w:val="none"/>
          <w:lang w:val="en-US" w:eastAsia="zh-CN"/>
        </w:rPr>
        <w:t>余套</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满足中职学校学生及</w:t>
      </w:r>
      <w:r>
        <w:rPr>
          <w:rFonts w:hint="eastAsia" w:ascii="Times New Roman" w:hAnsi="Times New Roman" w:eastAsia="宋体" w:cs="仿宋"/>
          <w:color w:val="auto"/>
          <w:sz w:val="24"/>
          <w:szCs w:val="24"/>
          <w:highlight w:val="none"/>
          <w:lang w:val="en-US" w:eastAsia="zh-CN"/>
        </w:rPr>
        <w:t>相关</w:t>
      </w:r>
      <w:r>
        <w:rPr>
          <w:rFonts w:hint="default" w:ascii="Times New Roman" w:hAnsi="Times New Roman" w:eastAsia="宋体" w:cs="仿宋"/>
          <w:color w:val="auto"/>
          <w:sz w:val="24"/>
          <w:szCs w:val="24"/>
          <w:highlight w:val="none"/>
          <w:lang w:val="en-US" w:eastAsia="zh-CN"/>
        </w:rPr>
        <w:t>行业、</w:t>
      </w:r>
      <w:r>
        <w:rPr>
          <w:rFonts w:hint="eastAsia" w:ascii="Times New Roman" w:hAnsi="Times New Roman" w:eastAsia="宋体" w:cs="仿宋"/>
          <w:color w:val="auto"/>
          <w:sz w:val="24"/>
          <w:szCs w:val="24"/>
          <w:highlight w:val="none"/>
          <w:lang w:val="en-US" w:eastAsia="zh-CN"/>
        </w:rPr>
        <w:t>企</w:t>
      </w:r>
      <w:r>
        <w:rPr>
          <w:rFonts w:hint="default" w:ascii="Times New Roman" w:hAnsi="Times New Roman" w:eastAsia="宋体" w:cs="仿宋"/>
          <w:color w:val="auto"/>
          <w:sz w:val="24"/>
          <w:szCs w:val="24"/>
          <w:highlight w:val="none"/>
          <w:lang w:val="en-US" w:eastAsia="zh-CN"/>
        </w:rPr>
        <w:t>业等社会人士的学习、培训、考证、大赛、科普、拓展，利用率达3</w:t>
      </w:r>
      <w:r>
        <w:rPr>
          <w:rFonts w:hint="eastAsia" w:ascii="Times New Roman" w:hAnsi="Times New Roman" w:eastAsia="宋体" w:cs="仿宋"/>
          <w:color w:val="auto"/>
          <w:sz w:val="24"/>
          <w:szCs w:val="24"/>
          <w:highlight w:val="none"/>
          <w:lang w:val="en-US" w:eastAsia="zh-CN"/>
        </w:rPr>
        <w:t>4</w:t>
      </w:r>
      <w:r>
        <w:rPr>
          <w:rFonts w:hint="default" w:ascii="Times New Roman" w:hAnsi="Times New Roman" w:eastAsia="宋体" w:cs="仿宋"/>
          <w:color w:val="auto"/>
          <w:sz w:val="24"/>
          <w:szCs w:val="24"/>
          <w:highlight w:val="none"/>
          <w:lang w:val="en-US" w:eastAsia="zh-CN"/>
        </w:rPr>
        <w:t>次/人。</w:t>
      </w:r>
    </w:p>
    <w:p>
      <w:pPr>
        <w:spacing w:line="560" w:lineRule="exact"/>
        <w:ind w:firstLine="602" w:firstLineChars="200"/>
        <w:outlineLvl w:val="1"/>
        <w:rPr>
          <w:rFonts w:hint="eastAsia" w:ascii="Times New Roman" w:hAnsi="Times New Roman" w:eastAsia="楷体" w:cs="Times New Roman"/>
          <w:b/>
          <w:bCs/>
          <w:color w:val="auto"/>
          <w:sz w:val="30"/>
          <w:szCs w:val="30"/>
          <w:highlight w:val="none"/>
        </w:rPr>
      </w:pPr>
      <w:bookmarkStart w:id="374" w:name="_Toc30903"/>
      <w:r>
        <w:rPr>
          <w:rFonts w:hint="eastAsia" w:ascii="Times New Roman" w:hAnsi="Times New Roman" w:eastAsia="楷体" w:cs="Times New Roman"/>
          <w:b/>
          <w:bCs/>
          <w:color w:val="auto"/>
          <w:sz w:val="30"/>
          <w:szCs w:val="30"/>
          <w:highlight w:val="none"/>
          <w:lang w:val="en-US" w:eastAsia="zh-CN"/>
        </w:rPr>
        <w:t>7</w:t>
      </w:r>
      <w:r>
        <w:rPr>
          <w:rFonts w:hint="eastAsia" w:ascii="Times New Roman" w:hAnsi="Times New Roman" w:eastAsia="楷体" w:cs="Times New Roman"/>
          <w:b/>
          <w:bCs/>
          <w:color w:val="auto"/>
          <w:sz w:val="30"/>
          <w:szCs w:val="30"/>
          <w:highlight w:val="none"/>
        </w:rPr>
        <w:t>.</w:t>
      </w:r>
      <w:r>
        <w:rPr>
          <w:rFonts w:hint="eastAsia" w:ascii="Times New Roman" w:hAnsi="Times New Roman" w:eastAsia="楷体" w:cs="Times New Roman"/>
          <w:b/>
          <w:bCs/>
          <w:color w:val="auto"/>
          <w:sz w:val="30"/>
          <w:szCs w:val="30"/>
          <w:highlight w:val="none"/>
          <w:lang w:val="en-US" w:eastAsia="zh-CN"/>
        </w:rPr>
        <w:t xml:space="preserve">4 </w:t>
      </w:r>
      <w:r>
        <w:rPr>
          <w:rFonts w:hint="eastAsia" w:ascii="Times New Roman" w:hAnsi="Times New Roman" w:eastAsia="楷体" w:cs="Times New Roman"/>
          <w:b/>
          <w:bCs/>
          <w:color w:val="auto"/>
          <w:sz w:val="30"/>
          <w:szCs w:val="30"/>
          <w:highlight w:val="none"/>
        </w:rPr>
        <w:t>教材建设</w:t>
      </w:r>
      <w:bookmarkEnd w:id="374"/>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教材作为知识的载体，是学校教学活动的依托和基础，对学校稳定教育教学秩序、提升教育教学质量、培养创新技能型人才起着举足轻重的作用，为此，我市高度重视教育教材使用工作，不断加快学校教材科学化、序列化、规范化建设力度，确保了我市教材使用科学合理、使用管理规范高效。我市始终坚持“三开一用一确保”（ 既开齐课程，开好课程，开足课时，确保使用国家规划教材，确保正常教学次序和基本教学质量）的基本要求，并纳入每年的学校年度目标考核的重要内容。</w:t>
      </w:r>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7.4.1 教材管理与使用</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一是规范教材管理。要求学校建立了规范的教材征订管理办法，明确了选用工作程序和审批制度，落实专门机构和专人负责本校的教材征订和使用管理工作，教材选用和征订情况上报市、县教育局备案。二是严格征订渠道。教材征订坚持“正确选用、提前预订、健康运行”的原则，做好教材征订工作。选用教材必须从正规渠道征订，坚决防止和杜绝教育部用书目录以外的非国规教材，甚至盗版盗印教材流入课堂，确保我校教材征订管理工作正常、有序、健康运行。三是建立招标机制和规范流程。由教务处专人负责组织召开专题会议，制定《教材预订申请表》，由专业部负责人、教研组长组织任课教师选定教材。专业部负责人对本部所有任课教师提出的教材使用意见进行初步审阅，并签署意见。教务处对专业部负责人上报的《预订教材申请表》再次进行汇总审核，签署意见后报分管教学副校长。副校长签署意见后由教务处统一交总务处。总务处严格按流程挂网公开招标，整个招标、开标、与教材供应商签订合同过程接受教育主管管理部门全程监督。</w:t>
      </w:r>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7.4.2 校本教材的开发与使用</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在职业教育课程改革的大背景下，为有效克服统编教材的不足，提高人才培养质量，我市多数国办学校大胆探索和开发适应新校本课程的校本教材体系，探索有效开发和应用校本教材的策略；构建了“目标—标准---内容—编写---应用—评价”的中职校本教材开发应用“目标”模式，制定了“准备－应用－评价”的中职校本教材应用策略，</w:t>
      </w:r>
      <w:r>
        <w:rPr>
          <w:rFonts w:hint="default" w:ascii="Times New Roman" w:hAnsi="Times New Roman" w:eastAsia="宋体" w:cs="仿宋"/>
          <w:color w:val="auto"/>
          <w:sz w:val="24"/>
          <w:szCs w:val="24"/>
          <w:highlight w:val="none"/>
          <w:lang w:val="en-US" w:eastAsia="zh-CN"/>
        </w:rPr>
        <w:t>学校针对国家战略、行业重点、紧缺薄弱领域结合教学实际自编校本</w:t>
      </w:r>
      <w:r>
        <w:rPr>
          <w:rFonts w:hint="eastAsia" w:ascii="Times New Roman" w:hAnsi="Times New Roman" w:eastAsia="宋体" w:cs="仿宋"/>
          <w:color w:val="auto"/>
          <w:sz w:val="24"/>
          <w:szCs w:val="24"/>
          <w:highlight w:val="none"/>
          <w:lang w:val="en-US" w:eastAsia="zh-CN"/>
        </w:rPr>
        <w:t>活</w:t>
      </w:r>
      <w:r>
        <w:rPr>
          <w:rFonts w:hint="default" w:ascii="Times New Roman" w:hAnsi="Times New Roman" w:eastAsia="宋体" w:cs="仿宋"/>
          <w:color w:val="auto"/>
          <w:sz w:val="24"/>
          <w:szCs w:val="24"/>
          <w:highlight w:val="none"/>
          <w:lang w:val="en-US" w:eastAsia="zh-CN"/>
        </w:rPr>
        <w:t>页式教材，全市校本教材一共有</w:t>
      </w:r>
      <w:r>
        <w:rPr>
          <w:rFonts w:hint="eastAsia" w:ascii="Times New Roman" w:hAnsi="Times New Roman" w:eastAsia="宋体" w:cs="仿宋"/>
          <w:color w:val="auto"/>
          <w:sz w:val="24"/>
          <w:szCs w:val="24"/>
          <w:highlight w:val="none"/>
          <w:lang w:val="en-US" w:eastAsia="zh-CN"/>
        </w:rPr>
        <w:t>24</w:t>
      </w:r>
      <w:r>
        <w:rPr>
          <w:rFonts w:hint="default" w:ascii="Times New Roman" w:hAnsi="Times New Roman" w:eastAsia="宋体" w:cs="仿宋"/>
          <w:color w:val="auto"/>
          <w:sz w:val="24"/>
          <w:szCs w:val="24"/>
          <w:highlight w:val="none"/>
          <w:lang w:val="en-US" w:eastAsia="zh-CN"/>
        </w:rPr>
        <w:t>本，</w:t>
      </w:r>
      <w:r>
        <w:rPr>
          <w:rFonts w:hint="eastAsia" w:ascii="Times New Roman" w:hAnsi="Times New Roman" w:eastAsia="宋体" w:cs="仿宋"/>
          <w:color w:val="auto"/>
          <w:sz w:val="24"/>
          <w:szCs w:val="24"/>
          <w:highlight w:val="none"/>
          <w:lang w:val="en-US" w:eastAsia="zh-CN"/>
        </w:rPr>
        <w:t>其中，校企合作编写教材8本，</w:t>
      </w:r>
      <w:r>
        <w:rPr>
          <w:rFonts w:hint="default" w:ascii="Times New Roman" w:hAnsi="Times New Roman" w:eastAsia="宋体" w:cs="仿宋"/>
          <w:color w:val="auto"/>
          <w:sz w:val="24"/>
          <w:szCs w:val="24"/>
          <w:highlight w:val="none"/>
          <w:lang w:val="en-US" w:eastAsia="zh-CN"/>
        </w:rPr>
        <w:t>所有校本教材在学校教材管理委员</w:t>
      </w:r>
      <w:r>
        <w:rPr>
          <w:rFonts w:hint="eastAsia" w:ascii="Times New Roman" w:hAnsi="Times New Roman" w:eastAsia="宋体" w:cs="仿宋"/>
          <w:color w:val="auto"/>
          <w:sz w:val="24"/>
          <w:szCs w:val="24"/>
          <w:highlight w:val="none"/>
          <w:lang w:val="en-US" w:eastAsia="zh-CN"/>
        </w:rPr>
        <w:t>会</w:t>
      </w:r>
      <w:r>
        <w:rPr>
          <w:rFonts w:hint="default" w:ascii="Times New Roman" w:hAnsi="Times New Roman" w:eastAsia="宋体" w:cs="仿宋"/>
          <w:color w:val="auto"/>
          <w:sz w:val="24"/>
          <w:szCs w:val="24"/>
          <w:highlight w:val="none"/>
          <w:lang w:val="en-US" w:eastAsia="zh-CN"/>
        </w:rPr>
        <w:t>的指导下进行了严格的政治、意识形态、教学内容等的审查。</w:t>
      </w:r>
      <w:r>
        <w:rPr>
          <w:rFonts w:hint="eastAsia" w:ascii="Times New Roman" w:hAnsi="Times New Roman" w:eastAsia="宋体" w:cs="仿宋"/>
          <w:color w:val="auto"/>
          <w:sz w:val="24"/>
          <w:szCs w:val="24"/>
          <w:highlight w:val="none"/>
          <w:lang w:val="en-US" w:eastAsia="zh-CN"/>
        </w:rPr>
        <w:t>遂宁</w:t>
      </w:r>
      <w:r>
        <w:rPr>
          <w:rFonts w:hint="default" w:ascii="Times New Roman" w:hAnsi="Times New Roman" w:eastAsia="宋体" w:cs="仿宋"/>
          <w:color w:val="auto"/>
          <w:sz w:val="24"/>
          <w:szCs w:val="24"/>
          <w:highlight w:val="none"/>
          <w:lang w:val="en-US" w:eastAsia="zh-CN"/>
        </w:rPr>
        <w:t>市</w:t>
      </w:r>
      <w:r>
        <w:rPr>
          <w:rFonts w:hint="eastAsia" w:ascii="Times New Roman" w:hAnsi="Times New Roman" w:eastAsia="宋体" w:cs="仿宋"/>
          <w:color w:val="auto"/>
          <w:sz w:val="24"/>
          <w:szCs w:val="24"/>
          <w:highlight w:val="none"/>
          <w:lang w:val="en-US" w:eastAsia="zh-CN"/>
        </w:rPr>
        <w:t>中职</w:t>
      </w:r>
      <w:r>
        <w:rPr>
          <w:rFonts w:hint="default" w:ascii="Times New Roman" w:hAnsi="Times New Roman" w:eastAsia="宋体" w:cs="仿宋"/>
          <w:color w:val="auto"/>
          <w:sz w:val="24"/>
          <w:szCs w:val="24"/>
          <w:highlight w:val="none"/>
          <w:lang w:val="en-US" w:eastAsia="zh-CN"/>
        </w:rPr>
        <w:t>学校多学科教材被广泛使用，其中</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十四五</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国规</w:t>
      </w:r>
      <w:r>
        <w:rPr>
          <w:rFonts w:hint="eastAsia" w:ascii="Times New Roman" w:hAnsi="Times New Roman" w:eastAsia="宋体" w:cs="仿宋"/>
          <w:color w:val="auto"/>
          <w:sz w:val="24"/>
          <w:szCs w:val="24"/>
          <w:highlight w:val="none"/>
          <w:lang w:val="en-US" w:eastAsia="zh-CN"/>
        </w:rPr>
        <w:t>教材</w:t>
      </w:r>
      <w:r>
        <w:rPr>
          <w:rFonts w:hint="default" w:ascii="Times New Roman" w:hAnsi="Times New Roman" w:eastAsia="宋体" w:cs="仿宋"/>
          <w:color w:val="auto"/>
          <w:sz w:val="24"/>
          <w:szCs w:val="24"/>
          <w:highlight w:val="none"/>
          <w:lang w:val="en-US" w:eastAsia="zh-CN"/>
        </w:rPr>
        <w:t>9本，省规教材有1</w:t>
      </w:r>
      <w:r>
        <w:rPr>
          <w:rFonts w:hint="eastAsia" w:ascii="Times New Roman" w:hAnsi="Times New Roman" w:eastAsia="宋体" w:cs="仿宋"/>
          <w:color w:val="auto"/>
          <w:sz w:val="24"/>
          <w:szCs w:val="24"/>
          <w:highlight w:val="none"/>
          <w:lang w:val="en-US" w:eastAsia="zh-CN"/>
        </w:rPr>
        <w:t>2</w:t>
      </w:r>
      <w:r>
        <w:rPr>
          <w:rFonts w:hint="default" w:ascii="Times New Roman" w:hAnsi="Times New Roman" w:eastAsia="宋体" w:cs="仿宋"/>
          <w:color w:val="auto"/>
          <w:sz w:val="24"/>
          <w:szCs w:val="24"/>
          <w:highlight w:val="none"/>
          <w:lang w:val="en-US" w:eastAsia="zh-CN"/>
        </w:rPr>
        <w:t>本。</w:t>
      </w:r>
    </w:p>
    <w:p>
      <w:pPr>
        <w:spacing w:line="560" w:lineRule="exact"/>
        <w:ind w:firstLine="562" w:firstLineChars="200"/>
        <w:outlineLvl w:val="2"/>
        <w:rPr>
          <w:rFonts w:hint="default"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7.4.3 落实教材排查</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首先是明确排查对象：中职学校地方课程教材、校本教材及教辅、进入校园的各种读本（含资料、试卷、宣传材料等）、除中职“三科”（思想政治、语文、历史）和人社部门所属以外的职业学校哲学社会科学类教材教辅。其次是确定排查重点，对教材内容意识形态进行专项排查，对照中小学教材教辅专项排查参考要点，对中职学校教材教辅的政治方向和价值导向进行了全面的排查。再次是确立排查方式，采用学校自我排查、区县复查、市局抽查的三级排查方式，确保排查落到实处，不走形式。最后是明确任务分工，由驻局纪检组、职教科、教科所、督导室组成工作组，部署和组织专项排查治理工作。</w:t>
      </w:r>
    </w:p>
    <w:p>
      <w:pPr>
        <w:spacing w:line="560" w:lineRule="exact"/>
        <w:ind w:firstLine="602" w:firstLineChars="200"/>
        <w:outlineLvl w:val="1"/>
        <w:rPr>
          <w:rFonts w:hint="eastAsia" w:ascii="Times New Roman" w:hAnsi="Times New Roman" w:eastAsia="楷体" w:cs="Times New Roman"/>
          <w:b/>
          <w:bCs/>
          <w:color w:val="auto"/>
          <w:sz w:val="30"/>
          <w:szCs w:val="30"/>
          <w:highlight w:val="none"/>
          <w:lang w:val="en-US" w:eastAsia="zh-CN"/>
        </w:rPr>
      </w:pPr>
      <w:bookmarkStart w:id="375" w:name="_Toc31137"/>
      <w:bookmarkStart w:id="376" w:name="_Toc20204"/>
      <w:bookmarkStart w:id="377" w:name="_Toc18245"/>
      <w:bookmarkStart w:id="378" w:name="_Toc24483"/>
      <w:bookmarkStart w:id="379" w:name="_Toc1788"/>
      <w:bookmarkStart w:id="380" w:name="_Toc25177"/>
      <w:bookmarkStart w:id="381" w:name="_Toc91576145"/>
      <w:bookmarkStart w:id="382" w:name="_Toc7527"/>
      <w:bookmarkStart w:id="383" w:name="_Toc18820"/>
      <w:bookmarkStart w:id="384" w:name="_Toc829"/>
      <w:r>
        <w:rPr>
          <w:rFonts w:hint="eastAsia" w:ascii="Times New Roman" w:hAnsi="Times New Roman" w:eastAsia="楷体" w:cs="Times New Roman"/>
          <w:b/>
          <w:bCs/>
          <w:color w:val="auto"/>
          <w:sz w:val="30"/>
          <w:szCs w:val="30"/>
          <w:highlight w:val="none"/>
          <w:lang w:val="en-US" w:eastAsia="zh-CN"/>
        </w:rPr>
        <w:t>7</w:t>
      </w:r>
      <w:r>
        <w:rPr>
          <w:rFonts w:hint="eastAsia" w:ascii="Times New Roman" w:hAnsi="Times New Roman" w:eastAsia="楷体" w:cs="Times New Roman"/>
          <w:b/>
          <w:bCs/>
          <w:color w:val="auto"/>
          <w:sz w:val="30"/>
          <w:szCs w:val="30"/>
          <w:highlight w:val="none"/>
        </w:rPr>
        <w:t>.</w:t>
      </w:r>
      <w:r>
        <w:rPr>
          <w:rFonts w:hint="eastAsia" w:ascii="Times New Roman" w:hAnsi="Times New Roman" w:eastAsia="楷体" w:cs="Times New Roman"/>
          <w:b/>
          <w:bCs/>
          <w:color w:val="auto"/>
          <w:sz w:val="30"/>
          <w:szCs w:val="30"/>
          <w:highlight w:val="none"/>
          <w:lang w:val="en-US" w:eastAsia="zh-CN"/>
        </w:rPr>
        <w:t xml:space="preserve">5 </w:t>
      </w:r>
      <w:r>
        <w:rPr>
          <w:rFonts w:hint="eastAsia" w:ascii="Times New Roman" w:hAnsi="Times New Roman" w:eastAsia="楷体" w:cs="Times New Roman"/>
          <w:b/>
          <w:bCs/>
          <w:color w:val="auto"/>
          <w:sz w:val="30"/>
          <w:szCs w:val="30"/>
          <w:highlight w:val="none"/>
        </w:rPr>
        <w:t>资源建设</w:t>
      </w:r>
      <w:bookmarkEnd w:id="375"/>
      <w:bookmarkEnd w:id="376"/>
      <w:bookmarkEnd w:id="377"/>
      <w:bookmarkEnd w:id="378"/>
      <w:bookmarkEnd w:id="379"/>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bookmarkStart w:id="385" w:name="_Toc32730"/>
      <w:bookmarkStart w:id="386" w:name="_Toc12126"/>
      <w:bookmarkStart w:id="387" w:name="_Toc24775"/>
      <w:bookmarkStart w:id="388" w:name="_Toc91576146"/>
      <w:bookmarkStart w:id="389" w:name="_Toc502"/>
      <w:r>
        <w:rPr>
          <w:rFonts w:hint="eastAsia" w:ascii="Times New Roman" w:hAnsi="Times New Roman" w:eastAsia="宋体" w:cs="Times New Roman"/>
          <w:b/>
          <w:bCs/>
          <w:color w:val="auto"/>
          <w:sz w:val="28"/>
          <w:szCs w:val="28"/>
          <w:highlight w:val="none"/>
          <w:lang w:val="en-US" w:eastAsia="zh-CN"/>
        </w:rPr>
        <w:t>7.5.1 信息化教学条件</w:t>
      </w:r>
      <w:bookmarkEnd w:id="385"/>
      <w:bookmarkEnd w:id="386"/>
      <w:bookmarkEnd w:id="387"/>
      <w:bookmarkEnd w:id="388"/>
      <w:bookmarkEnd w:id="389"/>
    </w:p>
    <w:p>
      <w:pPr>
        <w:spacing w:line="560" w:lineRule="exact"/>
        <w:ind w:firstLine="480" w:firstLineChars="200"/>
        <w:rPr>
          <w:rFonts w:hint="default" w:ascii="Times New Roman" w:hAnsi="Times New Roman" w:eastAsia="宋体" w:cs="仿宋"/>
          <w:color w:val="auto"/>
          <w:sz w:val="24"/>
          <w:szCs w:val="24"/>
          <w:highlight w:val="none"/>
          <w:lang w:val="en-US" w:eastAsia="zh-CN"/>
        </w:rPr>
      </w:pPr>
      <w:bookmarkStart w:id="390" w:name="_Hlk90042647"/>
      <w:r>
        <w:rPr>
          <w:rFonts w:hint="eastAsia" w:ascii="Times New Roman" w:hAnsi="Times New Roman" w:eastAsia="宋体" w:cs="仿宋"/>
          <w:color w:val="auto"/>
          <w:sz w:val="24"/>
          <w:szCs w:val="24"/>
          <w:highlight w:val="none"/>
          <w:lang w:val="en-US" w:eastAsia="zh-CN"/>
        </w:rPr>
        <w:t>各中等职业学校重视信息化建设，全市信息化工作人员208人，网络信息点4680个，其中无线接入430个；上网课程数218门，数据库15个，计算机教室58间，网络多媒体教室6288间，计算机共计6702台，每百名学生配备计算机数30.74台，信息化条件远远高于设置标准中“每百名学生配备计算机数不低于15台”的标准。</w:t>
      </w:r>
    </w:p>
    <w:bookmarkEnd w:id="390"/>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7.5.2 建立市级网络教学资源库</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一是利用好市教育服务云平台。查询职教资源，获取职业教育信息；共享“公开课”“示范课”“优质课”优秀作品，展示教师优质资源，教师共享；获取电子图书资料。</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二是遂宁市职业技术学校、大英中等职业技术学校等6所公办学校建立开放教学资源平台，其他学校共享资源。</w:t>
      </w:r>
    </w:p>
    <w:p>
      <w:pPr>
        <w:spacing w:line="560" w:lineRule="exact"/>
        <w:ind w:firstLine="480" w:firstLineChars="200"/>
        <w:rPr>
          <w:rFonts w:hint="default" w:ascii="Times New Roman" w:hAnsi="Times New Roman" w:eastAsia="宋体" w:cs="仿宋"/>
          <w:color w:val="auto"/>
          <w:kern w:val="2"/>
          <w:sz w:val="24"/>
          <w:szCs w:val="24"/>
          <w:lang w:val="en-US" w:eastAsia="zh-CN" w:bidi="ar-SA"/>
        </w:rPr>
      </w:pPr>
      <w:r>
        <w:rPr>
          <w:rFonts w:hint="eastAsia" w:ascii="Times New Roman" w:hAnsi="Times New Roman" w:eastAsia="宋体" w:cs="仿宋"/>
          <w:color w:val="auto"/>
          <w:sz w:val="24"/>
          <w:szCs w:val="24"/>
          <w:highlight w:val="none"/>
          <w:lang w:val="en-US" w:eastAsia="zh-CN"/>
        </w:rPr>
        <w:t>三是利用微信公众号、微信群、QQ群等共享教育教学资源。</w:t>
      </w:r>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7.5.3 专业教学资源库建设</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遂宁中等职业学校建立了包含专业课程的教学大纲、教案、课件、视频教程、试题库等多种资源。为教师教学提供丰富的素材和参考，方便备课和授课。学生可以自主学习，拓展知识面，提高学习效果。促进教学资源的共享和交流，提高职业教育的整体水平。建设内容主要有课程资源：涵盖专业核心课程和拓展课程。教学视频生动直观地展示教学内容，课件辅助教师教学和学生，详细的教学方案。实训资源：实训指导书指导学生进行实践操作。虚拟仿真软件，遂宁市船山职业技术学校、大英县中等职业技术学校等6所学校与合作企业共同开发虚拟仿真实训项目，全市职业院校建有无人机实训基地、汽修实训基地、新能源汽修实训基地、现代物流等实训基地等8个实践教学基地，配备了先进的计算机硬件、头戴式显示器及手柄控制器等虚拟仿真设备、专业软件及仿真系统，能够模拟真实的媒体工作环境让学生进行实际操作和实践演练，为学生提供沉浸式体验，让学生更好地理解和掌握知识技能；降低了实训成本，减少设备和材料的消耗；提高了安全性，避免实际操作中的危险；突破了时空限制，随时进行实训； 增强了互动性，提升学习兴趣和效果。学校邀请企业高级工程师参与相关专业人才培养方案制定及教学，同时参与虚拟仿真资源开发，为项目建设提供问题解决思路与方法。</w:t>
      </w:r>
    </w:p>
    <w:p>
      <w:pPr>
        <w:keepNext w:val="0"/>
        <w:keepLines w:val="0"/>
        <w:pageBreakBefore w:val="0"/>
        <w:widowControl w:val="0"/>
        <w:kinsoku/>
        <w:wordWrap/>
        <w:overflowPunct/>
        <w:topLinePunct w:val="0"/>
        <w:autoSpaceDE/>
        <w:autoSpaceDN/>
        <w:bidi w:val="0"/>
        <w:adjustRightInd w:val="0"/>
        <w:snapToGrid w:val="0"/>
        <w:spacing w:line="240" w:lineRule="atLeast"/>
        <w:jc w:val="both"/>
        <w:textAlignment w:val="auto"/>
        <w:rPr>
          <w:rFonts w:hint="eastAsia" w:ascii="楷体" w:hAnsi="楷体" w:eastAsia="楷体" w:cs="楷体"/>
          <w:b/>
          <w:bCs/>
          <w:color w:val="C55A11" w:themeColor="accent2" w:themeShade="BF"/>
          <w:sz w:val="24"/>
          <w:szCs w:val="24"/>
          <w:lang w:eastAsia="zh-CN"/>
        </w:rPr>
      </w:pPr>
    </w:p>
    <w:p>
      <w:pPr>
        <w:pStyle w:val="8"/>
        <w:keepNext w:val="0"/>
        <w:keepLines w:val="0"/>
        <w:pageBreakBefore w:val="0"/>
        <w:widowControl w:val="0"/>
        <w:kinsoku/>
        <w:wordWrap/>
        <w:overflowPunct/>
        <w:topLinePunct w:val="0"/>
        <w:autoSpaceDE/>
        <w:autoSpaceDN/>
        <w:bidi w:val="0"/>
        <w:adjustRightInd w:val="0"/>
        <w:snapToGrid w:val="0"/>
        <w:spacing w:line="480" w:lineRule="exact"/>
        <w:contextualSpacing/>
        <w:jc w:val="left"/>
        <w:textAlignment w:val="auto"/>
        <w:outlineLvl w:val="2"/>
        <w:rPr>
          <w:rFonts w:hint="eastAsia" w:ascii="黑体" w:hAnsi="黑体" w:eastAsia="黑体" w:cs="黑体"/>
          <w:b/>
          <w:bCs/>
          <w:color w:val="C55A11" w:themeColor="accent2" w:themeShade="BF"/>
          <w:sz w:val="24"/>
          <w:szCs w:val="24"/>
          <w:lang w:val="en-US" w:eastAsia="zh-CN"/>
        </w:rPr>
      </w:pPr>
      <w:r>
        <w:rPr>
          <w:rFonts w:hint="eastAsia" w:ascii="黑体" w:hAnsi="黑体" w:eastAsia="黑体" w:cs="黑体"/>
          <w:b/>
          <w:bCs/>
          <w:color w:val="C55A11" w:themeColor="accent2" w:themeShade="BF"/>
          <w:sz w:val="24"/>
          <w:szCs w:val="24"/>
          <w:lang w:eastAsia="zh-CN"/>
        </w:rPr>
        <w:t>【案例</w:t>
      </w:r>
      <w:r>
        <w:rPr>
          <w:rFonts w:hint="eastAsia" w:ascii="黑体" w:hAnsi="黑体" w:eastAsia="黑体" w:cs="黑体"/>
          <w:b/>
          <w:bCs/>
          <w:color w:val="C55A11" w:themeColor="accent2" w:themeShade="BF"/>
          <w:sz w:val="24"/>
          <w:szCs w:val="24"/>
          <w:lang w:eastAsia="zh-CN"/>
        </w:rPr>
        <w:fldChar w:fldCharType="begin"/>
      </w:r>
      <w:r>
        <w:rPr>
          <w:rFonts w:hint="eastAsia" w:ascii="黑体" w:hAnsi="黑体" w:eastAsia="黑体" w:cs="黑体"/>
          <w:b/>
          <w:bCs/>
          <w:color w:val="C55A11" w:themeColor="accent2" w:themeShade="BF"/>
          <w:sz w:val="24"/>
          <w:szCs w:val="24"/>
          <w:lang w:eastAsia="zh-CN"/>
        </w:rPr>
        <w:instrText xml:space="preserve"> SEQ 案例 \* ARABIC </w:instrText>
      </w:r>
      <w:r>
        <w:rPr>
          <w:rFonts w:hint="eastAsia" w:ascii="黑体" w:hAnsi="黑体" w:eastAsia="黑体" w:cs="黑体"/>
          <w:b/>
          <w:bCs/>
          <w:color w:val="C55A11" w:themeColor="accent2" w:themeShade="BF"/>
          <w:sz w:val="24"/>
          <w:szCs w:val="24"/>
          <w:lang w:eastAsia="zh-CN"/>
        </w:rPr>
        <w:fldChar w:fldCharType="separate"/>
      </w:r>
      <w:r>
        <w:rPr>
          <w:rFonts w:hint="eastAsia" w:ascii="黑体" w:hAnsi="黑体" w:eastAsia="黑体" w:cs="黑体"/>
          <w:b/>
          <w:bCs/>
          <w:color w:val="C55A11" w:themeColor="accent2" w:themeShade="BF"/>
          <w:sz w:val="24"/>
          <w:szCs w:val="24"/>
          <w:lang w:eastAsia="zh-CN"/>
        </w:rPr>
        <w:t>7</w:t>
      </w:r>
      <w:r>
        <w:rPr>
          <w:rFonts w:hint="eastAsia" w:ascii="黑体" w:hAnsi="黑体" w:eastAsia="黑体" w:cs="黑体"/>
          <w:b/>
          <w:bCs/>
          <w:color w:val="C55A11" w:themeColor="accent2" w:themeShade="BF"/>
          <w:sz w:val="24"/>
          <w:szCs w:val="24"/>
          <w:lang w:eastAsia="zh-CN"/>
        </w:rPr>
        <w:fldChar w:fldCharType="end"/>
      </w:r>
      <w:bookmarkStart w:id="391" w:name="_Toc5533"/>
      <w:r>
        <w:rPr>
          <w:rFonts w:hint="eastAsia" w:ascii="黑体" w:hAnsi="黑体" w:eastAsia="黑体" w:cs="黑体"/>
          <w:b/>
          <w:bCs/>
          <w:color w:val="C55A11" w:themeColor="accent2" w:themeShade="BF"/>
          <w:sz w:val="24"/>
          <w:szCs w:val="24"/>
          <w:lang w:val="en-US" w:eastAsia="zh-CN"/>
        </w:rPr>
        <w:t>】智慧教育云平台在数字化学教平台背景下的教学实践与评价创新</w:t>
      </w:r>
      <w:bookmarkEnd w:id="391"/>
    </w:p>
    <w:p>
      <w:pPr>
        <w:pStyle w:val="8"/>
        <w:keepNext w:val="0"/>
        <w:keepLines w:val="0"/>
        <w:pageBreakBefore w:val="0"/>
        <w:widowControl w:val="0"/>
        <w:kinsoku/>
        <w:wordWrap/>
        <w:overflowPunct/>
        <w:topLinePunct w:val="0"/>
        <w:autoSpaceDE/>
        <w:autoSpaceDN/>
        <w:bidi w:val="0"/>
        <w:adjustRightInd w:val="0"/>
        <w:snapToGrid w:val="0"/>
        <w:spacing w:line="480" w:lineRule="exact"/>
        <w:contextualSpacing/>
        <w:jc w:val="right"/>
        <w:textAlignment w:val="auto"/>
        <w:outlineLvl w:val="2"/>
        <w:rPr>
          <w:rFonts w:hint="eastAsia" w:ascii="黑体" w:hAnsi="黑体" w:eastAsia="黑体" w:cs="黑体"/>
          <w:b/>
          <w:bCs/>
          <w:color w:val="C55A11" w:themeColor="accent2" w:themeShade="BF"/>
          <w:sz w:val="24"/>
          <w:szCs w:val="24"/>
          <w:lang w:val="en-US" w:eastAsia="zh-CN"/>
        </w:rPr>
      </w:pPr>
      <w:r>
        <w:rPr>
          <w:rFonts w:hint="eastAsia" w:ascii="黑体" w:hAnsi="黑体" w:eastAsia="黑体" w:cs="黑体"/>
          <w:b/>
          <w:bCs/>
          <w:color w:val="C55A11" w:themeColor="accent2" w:themeShade="BF"/>
          <w:sz w:val="24"/>
          <w:szCs w:val="24"/>
          <w:lang w:val="en-US" w:eastAsia="zh-CN"/>
        </w:rPr>
        <w:t>——四川省遂宁市安居职业高级中学校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随着信息技术的快速发展，教育信息化已成为推动教育现代化的重要力量。中职学校作为技能型人才培养的重要基地，亟需通过信息化手段提升教育教学质量。学校紧跟时代潮流，构建智慧教育云平台，旨在通过数字化学教平台技术，实现教育教学的个性化、精准化。在此背景下，学生利用平板电脑作为教学工具，教师根据反馈统计数据作评价手段，成为学校教学改革的突破口。</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一、具体做法</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1.智慧教育云平台的建设：学校投入资金，以精品录播室为基础框架，精心打造智慧教育云平台，实现师生信息管理、教学资源、学习分析等功能的一体化。</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color w:val="auto"/>
          <w:sz w:val="24"/>
          <w:szCs w:val="24"/>
          <w:lang w:val="en-US" w:eastAsia="zh-CN"/>
        </w:rPr>
      </w:pPr>
      <w:r>
        <w:rPr>
          <w:rFonts w:hint="eastAsia" w:ascii="仿宋_GB2312" w:hAnsi="仿宋_GB2312" w:eastAsia="仿宋_GB2312" w:cs="仿宋_GB2312"/>
          <w:sz w:val="32"/>
          <w:szCs w:val="32"/>
          <w:lang w:eastAsia="zh-CN"/>
        </w:rPr>
        <w:drawing>
          <wp:anchor distT="0" distB="0" distL="114300" distR="114300" simplePos="0" relativeHeight="251682816" behindDoc="0" locked="0" layoutInCell="1" allowOverlap="1">
            <wp:simplePos x="0" y="0"/>
            <wp:positionH relativeFrom="column">
              <wp:posOffset>598805</wp:posOffset>
            </wp:positionH>
            <wp:positionV relativeFrom="paragraph">
              <wp:posOffset>78740</wp:posOffset>
            </wp:positionV>
            <wp:extent cx="4077335" cy="2231390"/>
            <wp:effectExtent l="9525" t="9525" r="15240" b="19685"/>
            <wp:wrapNone/>
            <wp:docPr id="39" name="图片 39" descr="fc2eead6-1b56-403d-9219-ce8973ac8df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descr="fc2eead6-1b56-403d-9219-ce8973ac8df2"/>
                    <pic:cNvPicPr>
                      <a:picLocks noChangeAspect="true"/>
                    </pic:cNvPicPr>
                  </pic:nvPicPr>
                  <pic:blipFill>
                    <a:blip r:embed="rId64"/>
                    <a:stretch>
                      <a:fillRect/>
                    </a:stretch>
                  </pic:blipFill>
                  <pic:spPr>
                    <a:xfrm>
                      <a:off x="0" y="0"/>
                      <a:ext cx="4077335" cy="2231390"/>
                    </a:xfrm>
                    <a:prstGeom prst="rect">
                      <a:avLst/>
                    </a:prstGeom>
                    <a:ln w="6350" cmpd="sng">
                      <a:solidFill>
                        <a:schemeClr val="bg1">
                          <a:lumMod val="85000"/>
                        </a:schemeClr>
                      </a:solidFill>
                      <a:prstDash val="soli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600" w:lineRule="auto"/>
        <w:textAlignment w:val="auto"/>
        <w:rPr>
          <w:rFonts w:hint="eastAsia" w:ascii="仿宋" w:hAnsi="仿宋" w:eastAsia="仿宋"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color w:val="auto"/>
          <w:sz w:val="24"/>
          <w:szCs w:val="24"/>
          <w:lang w:val="en-US" w:eastAsia="zh-CN"/>
        </w:rPr>
      </w:pPr>
    </w:p>
    <w:p>
      <w:pPr>
        <w:pStyle w:val="8"/>
        <w:keepNext w:val="0"/>
        <w:keepLines w:val="0"/>
        <w:pageBreakBefore w:val="0"/>
        <w:widowControl w:val="0"/>
        <w:kinsoku/>
        <w:wordWrap/>
        <w:overflowPunct/>
        <w:topLinePunct w:val="0"/>
        <w:autoSpaceDE/>
        <w:autoSpaceDN/>
        <w:bidi w:val="0"/>
        <w:adjustRightInd/>
        <w:snapToGrid/>
        <w:spacing w:before="63" w:beforeLines="20" w:after="63" w:afterLines="20" w:line="240" w:lineRule="auto"/>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33</w:t>
      </w:r>
      <w:r>
        <w:rPr>
          <w:rFonts w:hint="eastAsia" w:ascii="Times New Roman" w:hAnsi="Times New Roman" w:eastAsia="楷体" w:cs="楷体"/>
          <w:sz w:val="24"/>
          <w:szCs w:val="24"/>
        </w:rPr>
        <w:fldChar w:fldCharType="end"/>
      </w:r>
      <w:bookmarkStart w:id="392" w:name="_Toc8529"/>
      <w:r>
        <w:rPr>
          <w:rFonts w:hint="eastAsia" w:ascii="Times New Roman" w:hAnsi="Times New Roman" w:eastAsia="楷体" w:cs="楷体"/>
          <w:sz w:val="24"/>
          <w:szCs w:val="24"/>
          <w:lang w:val="en-US" w:eastAsia="zh-CN"/>
        </w:rPr>
        <w:t xml:space="preserve"> 学校建设智慧教育云平台</w:t>
      </w:r>
      <w:bookmarkEnd w:id="392"/>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2.平板电脑的配备与培训：为每位学生配备平板电脑，并对教师开展了系统且深入的信息化教学专项培训，确保平板电脑在教学中的有效应用。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3.教学资源的整合与开发：结合中职教育特点，整合和开发适合平板电脑教学的教学资源，包括电子教材、微课程、互动习题等。</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4.教学过程的实施：教师在课堂上利用平板电脑进行教学，通过实时互动、在线测试、小组讨论等方式，提高教学效果。</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5.数据的收集与分析：平板电脑自动记录学生的学习行为数据，通过数字化学教平台技术进行分析，为教师提供教学反馈。</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6.教学评价的改革：教师根据反馈统计数据，结合学生的课堂表现，进行综合性、过程性的评价。</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二、成果成效</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1.提升了教学互动性：数据分析显示，课堂互动次数平均增加40%，学生通过平板电脑提交问题的频率是传统课堂的3倍，即时反馈的互动问答使学生更加积极地参与课堂讨论。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2.优化了教学效果：平板电脑教学通过推送个性化学习资源，如专项练习视频、知识点讲解微课等，帮助学生突破难点，平均成绩提高15%。</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3.改进了学习方式：数据显示，学生利用碎片时间学习的比例提升25%，访问教学资源的次数增长50%，学习方式更加多样化和个性化。</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楷体" w:hAnsi="楷体" w:eastAsia="楷体" w:cs="楷体"/>
          <w:sz w:val="24"/>
          <w:szCs w:val="24"/>
          <w:lang w:val="en-US" w:eastAsia="zh-CN"/>
        </w:rPr>
      </w:pPr>
      <w:r>
        <w:rPr>
          <w:rFonts w:hint="eastAsia" w:ascii="楷体" w:hAnsi="楷体" w:eastAsia="楷体" w:cs="楷体"/>
          <w:color w:val="auto"/>
          <w:sz w:val="24"/>
          <w:szCs w:val="24"/>
          <w:lang w:val="en-US" w:eastAsia="zh-CN"/>
        </w:rPr>
        <w:t>4.实现了精准评价：通过对学生学习行为数据的分析，构建了一套包含学习时长、作业完成情况、测试成绩、课堂参与度等多维度评价指标体系。以一次为期三个月的学期评价为例：A 学生在物联网技术学科上展现出了卓越的学习态度与成果，其学习时长比班级平均水平多出 20%，且在章节测试中的正确率高达 90%，最终在该学科的成绩排名中位居班级前 5%。这表明 A 学生不仅学习努力，而且对知识的掌握程度较高。而 B 学生则呈现出不同的学习特点，他在课堂互动中表现极为活跃，参与度评分达到 85 分（满分 100 分），但课后作业完成情况却不尽如人意，仅有 70%的完成率。这样的评价结果能够精准地反映出每个学生的学习优势与不足，为教师提供了极具针对性的教学指导依据。教师可以针对 B 学生的情况，加强对其课后学习的监督与辅导，引导其合理安排学习时间，提高作业完成质量，从而促进学生的全面发展。</w:t>
      </w:r>
    </w:p>
    <w:bookmarkEnd w:id="380"/>
    <w:bookmarkEnd w:id="381"/>
    <w:bookmarkEnd w:id="382"/>
    <w:bookmarkEnd w:id="383"/>
    <w:bookmarkEnd w:id="384"/>
    <w:p>
      <w:pPr>
        <w:pStyle w:val="94"/>
        <w:keepNext w:val="0"/>
        <w:keepLines w:val="0"/>
        <w:pageBreakBefore w:val="0"/>
        <w:widowControl/>
        <w:shd w:val="clear"/>
        <w:kinsoku/>
        <w:wordWrap/>
        <w:overflowPunct/>
        <w:topLinePunct w:val="0"/>
        <w:autoSpaceDE/>
        <w:autoSpaceDN w:val="0"/>
        <w:bidi w:val="0"/>
        <w:adjustRightInd/>
        <w:snapToGrid/>
        <w:spacing w:before="251" w:beforeLines="80" w:line="560" w:lineRule="exact"/>
        <w:ind w:firstLine="602" w:firstLineChars="200"/>
        <w:textAlignment w:val="auto"/>
        <w:outlineLvl w:val="1"/>
        <w:rPr>
          <w:rFonts w:hint="eastAsia" w:ascii="Times New Roman" w:hAnsi="Times New Roman" w:eastAsia="楷体" w:cs="Times New Roman"/>
          <w:b/>
          <w:bCs/>
          <w:color w:val="auto"/>
          <w:kern w:val="2"/>
          <w:sz w:val="30"/>
          <w:szCs w:val="30"/>
          <w:highlight w:val="none"/>
          <w:lang w:val="en-US" w:eastAsia="zh-CN" w:bidi="ar-SA"/>
        </w:rPr>
      </w:pPr>
      <w:bookmarkStart w:id="393" w:name="_Toc15153"/>
      <w:r>
        <w:rPr>
          <w:rFonts w:hint="eastAsia" w:ascii="Times New Roman" w:hAnsi="Times New Roman" w:eastAsia="楷体" w:cs="Times New Roman"/>
          <w:b/>
          <w:bCs/>
          <w:color w:val="auto"/>
          <w:kern w:val="2"/>
          <w:sz w:val="30"/>
          <w:szCs w:val="30"/>
          <w:highlight w:val="none"/>
          <w:lang w:val="en-US" w:eastAsia="zh-CN" w:bidi="ar-SA"/>
        </w:rPr>
        <w:t>7.6 教研教改</w:t>
      </w:r>
      <w:bookmarkEnd w:id="393"/>
      <w:bookmarkStart w:id="394" w:name="_Toc26484"/>
      <w:bookmarkStart w:id="395" w:name="_Toc19657"/>
      <w:bookmarkStart w:id="396" w:name="_Toc8327"/>
      <w:bookmarkStart w:id="397" w:name="_Toc21095"/>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7.6.1 “三全育人”机制建设</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加强“三全育人”机制建设。一是全员育人机制强调职业院校学校中的每一位教职员工都承担着育人的责任。职业学校教师、行政人员、后勤服务人员等全员参与育人，班主任关注学生的思想动态，专业课教师在教学中融入思政元素，行政人员在处理学生事务时展现出良好的服务态度和价值观引导，后勤人员以认真负责的工作态度为学生树立榜样。二是全程育人机制注重将育人工作贯穿学生在校学习的全过程。从新生入学教育开始，到课程学习、实践活动、毕业就业指导等各个阶段，都有相应的育人目标和举措。三是全方位育人机制则是通过整合学校、家庭、社会等各方面的资源和力量，为学生创造良好的育人环境。学校方面，不仅有课堂教学，还包括校园文化活动、社团组织、志愿服务等；家庭方面，加强与家长的沟通合作，让家长了解学生在校情况，共同促进学生成长；社会方面，与企业合作开展实习实训，邀请社会知名人士到校举办讲座等。</w:t>
      </w:r>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7.6.2 落实国家职业教育教学标准</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遂宁市中职学校为有效地落实国家职业教育教学标准，提高职业教育的质量和水平。一是加强宣传与培训。让职业院校充分了解国家职业教育教学标准的内容和要求，通过开展专题培训、研讨会议等方式，确保相关人员对标准有清晰准确的认识。二是优化课程设置。依据教学标准，对现有课程进行梳理和调整，确保课程内容涵盖标准所要求的知识、技能和素养，使其与标准相匹配。三是加强师资队伍建设。培养和引进具有实践经验、符合教学标准要求的教师，鼓励教师参加企业实践和培训，提升其教学能力和实践指导水平。四是完善教学设施。加大对实训基地、实验室等教学设施的投入，使其能够满足标准中实践教学环节的需求，为学生提供真实的工作场景和实践机会。五是建立质量监控机制。制定相应的评估指标和考核办法，对教学过程和教学效果进行定期监测和评估，及时发现问题并加以改进。六是推进产教融合。加强与企业的合作，共同制定人才培养方案，让企业参与教学过程，使教学与产业需求紧密结合，确保培养的人才符合行业标准。</w:t>
      </w:r>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7.6.3 加强教学常规管理</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遂宁市9所中职学校科学制定《专业人才培养方案》，为学校组织开展教学活动、安排教学任务提供依据，为全市深化教育教学改革、创新人才培养模式提供保障。一是坚持立德树人。中等职业学校全面加强党的领导、落实立德树人根本任务，培育和践行社会主义核心价值观，加强教学规范管理和学校制度建设。强化德育管理，优化育人环境；强化学生养成教育，弘扬工匠精神；重视课堂管理，提高教学质量；加强安全教育，创建平安校园。二是规范教学秩序。制定并严格执行了专业实施性教学计划、教学大纲（课程标准）、教学工作计划，教材选用管理制度、教学例会制度、班级教学日志制度、教学检查制度，确保开齐课程，开足课时，规范选好教材，做到：坚持按标准课时开课，不随意增减课时；坚持按课程设置开课，不随意增减科目；坚持按课程标准要求教学，不随意提高或降低教学难度；坚持按教学计划把握进度，不随意提前结束课程。三是创新培养模式。推行“产教融合、校企合作”人才培养模式，积极探索现代学徒制试点，走专业与产业对接，与行业、企业实施深度融合之路，教学中突出专业特色，强化技能训练，提高动手能力，积极推行“理实一体化”的教学模式。</w:t>
      </w:r>
    </w:p>
    <w:p>
      <w:pPr>
        <w:spacing w:line="560" w:lineRule="exact"/>
        <w:ind w:firstLine="562" w:firstLineChars="200"/>
        <w:outlineLvl w:val="2"/>
        <w:rPr>
          <w:rFonts w:hint="default"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7.6.4 开展形式多样</w:t>
      </w:r>
      <w:r>
        <w:rPr>
          <w:rFonts w:hint="default" w:ascii="Times New Roman" w:hAnsi="Times New Roman" w:eastAsia="宋体" w:cs="Times New Roman"/>
          <w:b/>
          <w:bCs/>
          <w:color w:val="auto"/>
          <w:sz w:val="28"/>
          <w:szCs w:val="28"/>
          <w:highlight w:val="none"/>
          <w:lang w:val="en-US" w:eastAsia="zh-CN"/>
        </w:rPr>
        <w:t>教研活动</w:t>
      </w:r>
    </w:p>
    <w:bookmarkEnd w:id="394"/>
    <w:bookmarkEnd w:id="395"/>
    <w:bookmarkEnd w:id="396"/>
    <w:bookmarkEnd w:id="397"/>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一、开展</w:t>
      </w:r>
      <w:r>
        <w:rPr>
          <w:rFonts w:hint="default" w:ascii="Times New Roman" w:hAnsi="Times New Roman" w:eastAsia="宋体" w:cs="仿宋"/>
          <w:color w:val="auto"/>
          <w:sz w:val="24"/>
          <w:szCs w:val="24"/>
          <w:highlight w:val="none"/>
          <w:lang w:val="en-US" w:eastAsia="zh-CN"/>
        </w:rPr>
        <w:t>教研活动，教育</w:t>
      </w:r>
      <w:r>
        <w:rPr>
          <w:rFonts w:hint="default" w:ascii="Times New Roman" w:hAnsi="Times New Roman" w:eastAsia="宋体" w:cs="仿宋"/>
          <w:color w:val="auto"/>
          <w:sz w:val="24"/>
          <w:szCs w:val="24"/>
          <w:highlight w:val="none"/>
          <w:lang w:val="zh-CN" w:eastAsia="zh-CN"/>
        </w:rPr>
        <w:t>教学质量显著</w:t>
      </w:r>
      <w:r>
        <w:rPr>
          <w:rFonts w:hint="eastAsia" w:ascii="Times New Roman" w:hAnsi="Times New Roman" w:eastAsia="宋体" w:cs="仿宋"/>
          <w:color w:val="auto"/>
          <w:sz w:val="24"/>
          <w:szCs w:val="24"/>
          <w:highlight w:val="none"/>
          <w:lang w:val="zh-CN" w:eastAsia="zh-CN"/>
        </w:rPr>
        <w:t>提升</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一</w:t>
      </w:r>
      <w:r>
        <w:rPr>
          <w:rFonts w:hint="default" w:ascii="Times New Roman" w:hAnsi="Times New Roman" w:eastAsia="宋体" w:cs="仿宋"/>
          <w:color w:val="auto"/>
          <w:sz w:val="24"/>
          <w:szCs w:val="24"/>
          <w:highlight w:val="none"/>
          <w:lang w:val="en-US" w:eastAsia="zh-CN"/>
        </w:rPr>
        <w:t>是</w:t>
      </w:r>
      <w:r>
        <w:rPr>
          <w:rFonts w:hint="eastAsia" w:ascii="Times New Roman" w:hAnsi="Times New Roman" w:eastAsia="宋体" w:cs="仿宋"/>
          <w:color w:val="auto"/>
          <w:sz w:val="24"/>
          <w:szCs w:val="24"/>
          <w:highlight w:val="none"/>
          <w:lang w:val="en-US" w:eastAsia="zh-CN"/>
        </w:rPr>
        <w:t>组织</w:t>
      </w:r>
      <w:r>
        <w:rPr>
          <w:rFonts w:hint="default" w:ascii="Times New Roman" w:hAnsi="Times New Roman" w:eastAsia="宋体" w:cs="仿宋"/>
          <w:color w:val="auto"/>
          <w:sz w:val="24"/>
          <w:szCs w:val="24"/>
          <w:highlight w:val="none"/>
          <w:lang w:val="en-US" w:eastAsia="zh-CN"/>
        </w:rPr>
        <w:t>四川省</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三名工程</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建设专题指导会。专家对5所</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三名工程</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学校的建设过程进行把脉问诊、逐校指点，进一步强化工作措施，优化工作流程，改进工作方法，不断反思总结，并以此推动我市职业教育办学水平的整体提升。</w:t>
      </w:r>
      <w:r>
        <w:rPr>
          <w:rFonts w:hint="eastAsia" w:ascii="Times New Roman" w:hAnsi="Times New Roman" w:eastAsia="宋体" w:cs="仿宋"/>
          <w:color w:val="auto"/>
          <w:sz w:val="24"/>
          <w:szCs w:val="24"/>
          <w:highlight w:val="none"/>
          <w:lang w:val="en-US" w:eastAsia="zh-CN"/>
        </w:rPr>
        <w:t xml:space="preserve">   二</w:t>
      </w:r>
      <w:r>
        <w:rPr>
          <w:rFonts w:hint="default" w:ascii="Times New Roman" w:hAnsi="Times New Roman" w:eastAsia="宋体" w:cs="仿宋"/>
          <w:color w:val="auto"/>
          <w:sz w:val="24"/>
          <w:szCs w:val="24"/>
          <w:highlight w:val="none"/>
          <w:lang w:val="en-US" w:eastAsia="zh-CN"/>
        </w:rPr>
        <w:t>是开展中等职业学校现代制造技术教学指导委员会暨胥进名师工作室教研活动。实现带动一门学科（领域）、引领一个团队、结出一批成果、建设一批资源、辐射一个区域的建设目标。</w:t>
      </w:r>
      <w:r>
        <w:rPr>
          <w:rFonts w:hint="eastAsia" w:ascii="Times New Roman" w:hAnsi="Times New Roman" w:eastAsia="宋体" w:cs="仿宋"/>
          <w:color w:val="auto"/>
          <w:sz w:val="24"/>
          <w:szCs w:val="24"/>
          <w:highlight w:val="none"/>
          <w:lang w:val="en-US" w:eastAsia="zh-CN"/>
        </w:rPr>
        <w:t>三是组织加快推进现代职业教育体系建设改革重点任务专家指导会。围绕“重点任务”建设，统筹推进学校整体改革发展，提升职业学校服务地方经济和社会发展能力。四是</w:t>
      </w:r>
      <w:r>
        <w:rPr>
          <w:rFonts w:hint="default" w:ascii="Times New Roman" w:hAnsi="Times New Roman" w:eastAsia="宋体" w:cs="仿宋"/>
          <w:color w:val="auto"/>
          <w:sz w:val="24"/>
          <w:szCs w:val="24"/>
          <w:highlight w:val="none"/>
          <w:lang w:val="en-US" w:eastAsia="zh-CN"/>
        </w:rPr>
        <w:t>开展</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技能成才强国有我</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系列活动</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围绕</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职教生心中的二十大</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未来工匠读书行动</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悦读伴我成长职教学生读党报活动</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传承中华优秀传统文化活动</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文明风采</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活动要求，针对学生特点开展切合实际、生动有效、喜闻乐见的活动，打造一批能够讲好职教故事，展示新时代职业院校学生爱国热情，奋进风采的活动成果。</w:t>
      </w:r>
    </w:p>
    <w:p>
      <w:pPr>
        <w:spacing w:line="560" w:lineRule="exact"/>
        <w:ind w:firstLine="480" w:firstLineChars="200"/>
        <w:rPr>
          <w:rFonts w:hint="default" w:ascii="Times New Roman" w:hAnsi="Times New Roman" w:eastAsia="宋体" w:cs="仿宋"/>
          <w:color w:val="auto"/>
          <w:sz w:val="24"/>
          <w:szCs w:val="24"/>
          <w:highlight w:val="none"/>
          <w:lang w:val="zh-CN" w:eastAsia="zh-CN"/>
        </w:rPr>
      </w:pPr>
      <w:r>
        <w:rPr>
          <w:rFonts w:hint="eastAsia" w:ascii="Times New Roman" w:hAnsi="Times New Roman" w:eastAsia="宋体" w:cs="仿宋"/>
          <w:color w:val="auto"/>
          <w:sz w:val="24"/>
          <w:szCs w:val="24"/>
          <w:highlight w:val="none"/>
          <w:lang w:val="zh-CN" w:eastAsia="zh-CN"/>
        </w:rPr>
        <w:t>二、抓实技能大赛，</w:t>
      </w:r>
      <w:r>
        <w:rPr>
          <w:rFonts w:hint="default" w:ascii="Times New Roman" w:hAnsi="Times New Roman" w:eastAsia="宋体" w:cs="仿宋"/>
          <w:color w:val="auto"/>
          <w:sz w:val="24"/>
          <w:szCs w:val="24"/>
          <w:highlight w:val="none"/>
          <w:lang w:val="zh-CN" w:eastAsia="zh-CN"/>
        </w:rPr>
        <w:t>竞赛成绩取得重大突破</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高度重视中职学校技能大赛，局党组书记、局长亲自过问，亲自督导，成立了以分管领导为组长，职教科全体工作人员为成员的工作领导小组。</w:t>
      </w:r>
      <w:r>
        <w:rPr>
          <w:rFonts w:hint="default" w:ascii="Times New Roman" w:hAnsi="Times New Roman" w:eastAsia="宋体" w:cs="仿宋"/>
          <w:color w:val="auto"/>
          <w:sz w:val="24"/>
          <w:szCs w:val="24"/>
          <w:highlight w:val="none"/>
          <w:lang w:val="en-US" w:eastAsia="zh-CN"/>
        </w:rPr>
        <w:t>一是</w:t>
      </w:r>
      <w:r>
        <w:rPr>
          <w:rFonts w:hint="eastAsia" w:ascii="Times New Roman" w:hAnsi="Times New Roman" w:eastAsia="宋体" w:cs="仿宋"/>
          <w:color w:val="auto"/>
          <w:sz w:val="24"/>
          <w:szCs w:val="24"/>
          <w:highlight w:val="none"/>
          <w:lang w:val="en-US" w:eastAsia="zh-CN"/>
        </w:rPr>
        <w:t>教师教学能力大赛取得新飞跃。教师教学能力国赛一等奖实现零突破，</w:t>
      </w:r>
      <w:r>
        <w:rPr>
          <w:rFonts w:hint="default" w:ascii="Times New Roman" w:hAnsi="Times New Roman" w:eastAsia="宋体" w:cs="仿宋"/>
          <w:color w:val="auto"/>
          <w:sz w:val="24"/>
          <w:szCs w:val="24"/>
          <w:highlight w:val="none"/>
          <w:lang w:val="en-US" w:eastAsia="zh-CN"/>
        </w:rPr>
        <w:t>创造了我市建市以来中职学校教师教学能力国家赛事上的最高荣誉</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实现了我市在该奖项上零的突破。遂宁市职业技术学校语文教师团队勇夺一等奖，为四川省公共基础课程首次斩获国家级一等奖；四川省射洪市职业中专学校幼儿保育团队斩获全国二等奖，创造全省该专业大类最好成绩。全省教师教学能力大赛获得一等奖2个，二等奖10个，三等奖3个</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遂宁市总成绩名列全省第</w:t>
      </w:r>
      <w:r>
        <w:rPr>
          <w:rFonts w:hint="eastAsia" w:ascii="Times New Roman" w:hAnsi="Times New Roman" w:eastAsia="宋体" w:cs="仿宋"/>
          <w:color w:val="auto"/>
          <w:sz w:val="24"/>
          <w:szCs w:val="24"/>
          <w:highlight w:val="none"/>
          <w:lang w:val="en-US" w:eastAsia="zh-CN"/>
        </w:rPr>
        <w:t>六</w:t>
      </w:r>
      <w:r>
        <w:rPr>
          <w:rFonts w:hint="default" w:ascii="Times New Roman" w:hAnsi="Times New Roman" w:eastAsia="宋体" w:cs="仿宋"/>
          <w:color w:val="auto"/>
          <w:sz w:val="24"/>
          <w:szCs w:val="24"/>
          <w:highlight w:val="none"/>
          <w:lang w:val="en-US" w:eastAsia="zh-CN"/>
        </w:rPr>
        <w:t>，遂宁市教育和体育局获优秀组织奖</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二是</w:t>
      </w:r>
      <w:r>
        <w:rPr>
          <w:rFonts w:hint="eastAsia" w:ascii="Times New Roman" w:hAnsi="Times New Roman" w:eastAsia="宋体" w:cs="仿宋"/>
          <w:color w:val="auto"/>
          <w:sz w:val="24"/>
          <w:szCs w:val="24"/>
          <w:highlight w:val="none"/>
          <w:lang w:val="en-US" w:eastAsia="zh-CN"/>
        </w:rPr>
        <w:t>学生技能</w:t>
      </w:r>
      <w:r>
        <w:rPr>
          <w:rFonts w:hint="default" w:ascii="Times New Roman" w:hAnsi="Times New Roman" w:eastAsia="宋体" w:cs="仿宋"/>
          <w:color w:val="auto"/>
          <w:sz w:val="24"/>
          <w:szCs w:val="24"/>
          <w:highlight w:val="none"/>
          <w:lang w:val="en-US" w:eastAsia="zh-CN"/>
        </w:rPr>
        <w:t>省赛</w:t>
      </w:r>
      <w:r>
        <w:rPr>
          <w:rFonts w:hint="eastAsia" w:ascii="Times New Roman" w:hAnsi="Times New Roman" w:eastAsia="宋体" w:cs="仿宋"/>
          <w:color w:val="auto"/>
          <w:sz w:val="24"/>
          <w:szCs w:val="24"/>
          <w:highlight w:val="none"/>
          <w:lang w:val="en-US" w:eastAsia="zh-CN"/>
        </w:rPr>
        <w:t>持续创新高</w:t>
      </w:r>
      <w:r>
        <w:rPr>
          <w:rFonts w:hint="default" w:ascii="Times New Roman" w:hAnsi="Times New Roman" w:eastAsia="宋体" w:cs="仿宋"/>
          <w:color w:val="auto"/>
          <w:sz w:val="24"/>
          <w:szCs w:val="24"/>
          <w:highlight w:val="none"/>
          <w:lang w:val="en-US" w:eastAsia="zh-CN"/>
        </w:rPr>
        <w:t>。在省技能大赛中，获一等奖6个，二等奖23个，三等奖47个</w:t>
      </w:r>
      <w:r>
        <w:rPr>
          <w:rFonts w:hint="eastAsia" w:ascii="Times New Roman" w:hAnsi="Times New Roman" w:eastAsia="宋体" w:cs="仿宋"/>
          <w:color w:val="auto"/>
          <w:sz w:val="24"/>
          <w:szCs w:val="24"/>
          <w:highlight w:val="none"/>
          <w:lang w:val="en-US" w:eastAsia="zh-CN"/>
        </w:rPr>
        <w:t>，与上年比增长52%，总成绩</w:t>
      </w:r>
      <w:r>
        <w:rPr>
          <w:rFonts w:hint="default" w:ascii="Times New Roman" w:hAnsi="Times New Roman" w:eastAsia="宋体" w:cs="仿宋"/>
          <w:color w:val="auto"/>
          <w:sz w:val="24"/>
          <w:szCs w:val="24"/>
          <w:highlight w:val="none"/>
          <w:lang w:val="en-US" w:eastAsia="zh-CN"/>
        </w:rPr>
        <w:t>名列全省第</w:t>
      </w:r>
      <w:r>
        <w:rPr>
          <w:rFonts w:hint="eastAsia" w:ascii="Times New Roman" w:hAnsi="Times New Roman" w:eastAsia="宋体" w:cs="仿宋"/>
          <w:color w:val="auto"/>
          <w:sz w:val="24"/>
          <w:szCs w:val="24"/>
          <w:highlight w:val="none"/>
          <w:lang w:val="en-US" w:eastAsia="zh-CN"/>
        </w:rPr>
        <w:t>五，</w:t>
      </w:r>
      <w:r>
        <w:rPr>
          <w:rFonts w:hint="default" w:ascii="Times New Roman" w:hAnsi="Times New Roman" w:eastAsia="宋体" w:cs="仿宋"/>
          <w:color w:val="auto"/>
          <w:sz w:val="24"/>
          <w:szCs w:val="24"/>
          <w:highlight w:val="none"/>
          <w:lang w:val="en-US" w:eastAsia="zh-CN"/>
        </w:rPr>
        <w:t>遂宁市教育和体育局获优秀组织奖</w:t>
      </w:r>
      <w:r>
        <w:rPr>
          <w:rFonts w:hint="eastAsia" w:ascii="Times New Roman" w:hAnsi="Times New Roman" w:eastAsia="宋体" w:cs="仿宋"/>
          <w:color w:val="auto"/>
          <w:sz w:val="24"/>
          <w:szCs w:val="24"/>
          <w:highlight w:val="none"/>
          <w:lang w:val="en-US" w:eastAsia="zh-CN"/>
        </w:rPr>
        <w:t>。三是</w:t>
      </w:r>
      <w:r>
        <w:rPr>
          <w:rFonts w:hint="default" w:ascii="Times New Roman" w:hAnsi="Times New Roman" w:eastAsia="宋体" w:cs="仿宋"/>
          <w:color w:val="auto"/>
          <w:sz w:val="24"/>
          <w:szCs w:val="24"/>
          <w:highlight w:val="none"/>
          <w:lang w:val="en-US" w:eastAsia="zh-CN"/>
        </w:rPr>
        <w:t>全省班主任能力大赛</w:t>
      </w:r>
      <w:r>
        <w:rPr>
          <w:rFonts w:hint="eastAsia" w:ascii="Times New Roman" w:hAnsi="Times New Roman" w:eastAsia="宋体" w:cs="仿宋"/>
          <w:color w:val="auto"/>
          <w:sz w:val="24"/>
          <w:szCs w:val="24"/>
          <w:highlight w:val="none"/>
          <w:lang w:val="en-US" w:eastAsia="zh-CN"/>
        </w:rPr>
        <w:t>成效显著，</w:t>
      </w:r>
      <w:r>
        <w:rPr>
          <w:rFonts w:hint="default" w:ascii="Times New Roman" w:hAnsi="Times New Roman" w:eastAsia="宋体" w:cs="仿宋"/>
          <w:color w:val="auto"/>
          <w:sz w:val="24"/>
          <w:szCs w:val="24"/>
          <w:highlight w:val="none"/>
          <w:lang w:val="en-US" w:eastAsia="zh-CN"/>
        </w:rPr>
        <w:t>获一等奖2个，二等奖2个，三等奖</w:t>
      </w:r>
      <w:r>
        <w:rPr>
          <w:rFonts w:hint="eastAsia" w:ascii="Times New Roman" w:hAnsi="Times New Roman" w:eastAsia="宋体" w:cs="仿宋"/>
          <w:color w:val="auto"/>
          <w:sz w:val="24"/>
          <w:szCs w:val="24"/>
          <w:highlight w:val="none"/>
          <w:lang w:val="en-US" w:eastAsia="zh-CN"/>
        </w:rPr>
        <w:t>2</w:t>
      </w:r>
      <w:r>
        <w:rPr>
          <w:rFonts w:hint="default" w:ascii="Times New Roman" w:hAnsi="Times New Roman" w:eastAsia="宋体" w:cs="仿宋"/>
          <w:color w:val="auto"/>
          <w:sz w:val="24"/>
          <w:szCs w:val="24"/>
          <w:highlight w:val="none"/>
          <w:lang w:val="en-US" w:eastAsia="zh-CN"/>
        </w:rPr>
        <w:t>个</w:t>
      </w:r>
      <w:r>
        <w:rPr>
          <w:rFonts w:hint="eastAsia" w:ascii="Times New Roman" w:hAnsi="Times New Roman" w:eastAsia="宋体" w:cs="仿宋"/>
          <w:color w:val="auto"/>
          <w:sz w:val="24"/>
          <w:szCs w:val="24"/>
          <w:highlight w:val="none"/>
          <w:lang w:val="en-US" w:eastAsia="zh-CN"/>
        </w:rPr>
        <w:t>，总成绩</w:t>
      </w:r>
      <w:r>
        <w:rPr>
          <w:rFonts w:hint="default" w:ascii="Times New Roman" w:hAnsi="Times New Roman" w:eastAsia="宋体" w:cs="仿宋"/>
          <w:color w:val="auto"/>
          <w:sz w:val="24"/>
          <w:szCs w:val="24"/>
          <w:highlight w:val="none"/>
          <w:lang w:val="en-US" w:eastAsia="zh-CN"/>
        </w:rPr>
        <w:t>名列全省第</w:t>
      </w:r>
      <w:r>
        <w:rPr>
          <w:rFonts w:hint="eastAsia" w:ascii="Times New Roman" w:hAnsi="Times New Roman" w:eastAsia="宋体" w:cs="仿宋"/>
          <w:color w:val="auto"/>
          <w:sz w:val="24"/>
          <w:szCs w:val="24"/>
          <w:highlight w:val="none"/>
          <w:lang w:val="en-US" w:eastAsia="zh-CN"/>
        </w:rPr>
        <w:t>二，</w:t>
      </w:r>
      <w:r>
        <w:rPr>
          <w:rFonts w:hint="default" w:ascii="Times New Roman" w:hAnsi="Times New Roman" w:eastAsia="宋体" w:cs="仿宋"/>
          <w:color w:val="auto"/>
          <w:sz w:val="24"/>
          <w:szCs w:val="24"/>
          <w:highlight w:val="none"/>
          <w:lang w:val="en-US" w:eastAsia="zh-CN"/>
        </w:rPr>
        <w:t>遂宁市教育和体育局获优秀组织奖。</w:t>
      </w:r>
      <w:r>
        <w:rPr>
          <w:rFonts w:hint="eastAsia" w:ascii="Times New Roman" w:hAnsi="Times New Roman" w:eastAsia="宋体" w:cs="仿宋"/>
          <w:color w:val="auto"/>
          <w:sz w:val="24"/>
          <w:szCs w:val="24"/>
          <w:highlight w:val="none"/>
          <w:lang w:val="en-US" w:eastAsia="zh-CN"/>
        </w:rPr>
        <w:t>四是省思想政治教师能力大赛遂宁</w:t>
      </w:r>
      <w:r>
        <w:rPr>
          <w:rFonts w:hint="default" w:ascii="Times New Roman" w:hAnsi="Times New Roman" w:eastAsia="宋体" w:cs="仿宋"/>
          <w:color w:val="auto"/>
          <w:sz w:val="24"/>
          <w:szCs w:val="24"/>
          <w:highlight w:val="none"/>
          <w:lang w:val="en-US" w:eastAsia="zh-CN"/>
        </w:rPr>
        <w:t>获一等奖</w:t>
      </w:r>
      <w:r>
        <w:rPr>
          <w:rFonts w:hint="eastAsia" w:ascii="Times New Roman" w:hAnsi="Times New Roman" w:eastAsia="宋体" w:cs="仿宋"/>
          <w:color w:val="auto"/>
          <w:sz w:val="24"/>
          <w:szCs w:val="24"/>
          <w:highlight w:val="none"/>
          <w:lang w:val="en-US" w:eastAsia="zh-CN"/>
        </w:rPr>
        <w:t>1</w:t>
      </w:r>
      <w:r>
        <w:rPr>
          <w:rFonts w:hint="default" w:ascii="Times New Roman" w:hAnsi="Times New Roman" w:eastAsia="宋体" w:cs="仿宋"/>
          <w:color w:val="auto"/>
          <w:sz w:val="24"/>
          <w:szCs w:val="24"/>
          <w:highlight w:val="none"/>
          <w:lang w:val="en-US" w:eastAsia="zh-CN"/>
        </w:rPr>
        <w:t>个，二等奖</w:t>
      </w:r>
      <w:r>
        <w:rPr>
          <w:rFonts w:hint="eastAsia" w:ascii="Times New Roman" w:hAnsi="Times New Roman" w:eastAsia="宋体" w:cs="仿宋"/>
          <w:color w:val="auto"/>
          <w:sz w:val="24"/>
          <w:szCs w:val="24"/>
          <w:highlight w:val="none"/>
          <w:lang w:val="en-US" w:eastAsia="zh-CN"/>
        </w:rPr>
        <w:t>3</w:t>
      </w:r>
      <w:r>
        <w:rPr>
          <w:rFonts w:hint="default" w:ascii="Times New Roman" w:hAnsi="Times New Roman" w:eastAsia="宋体" w:cs="仿宋"/>
          <w:color w:val="auto"/>
          <w:sz w:val="24"/>
          <w:szCs w:val="24"/>
          <w:highlight w:val="none"/>
          <w:lang w:val="en-US" w:eastAsia="zh-CN"/>
        </w:rPr>
        <w:t>个，三等奖</w:t>
      </w:r>
      <w:r>
        <w:rPr>
          <w:rFonts w:hint="eastAsia" w:ascii="Times New Roman" w:hAnsi="Times New Roman" w:eastAsia="宋体" w:cs="仿宋"/>
          <w:color w:val="auto"/>
          <w:sz w:val="24"/>
          <w:szCs w:val="24"/>
          <w:highlight w:val="none"/>
          <w:lang w:val="en-US" w:eastAsia="zh-CN"/>
        </w:rPr>
        <w:t>1</w:t>
      </w:r>
      <w:r>
        <w:rPr>
          <w:rFonts w:hint="default" w:ascii="Times New Roman" w:hAnsi="Times New Roman" w:eastAsia="宋体" w:cs="仿宋"/>
          <w:color w:val="auto"/>
          <w:sz w:val="24"/>
          <w:szCs w:val="24"/>
          <w:highlight w:val="none"/>
          <w:lang w:val="en-US" w:eastAsia="zh-CN"/>
        </w:rPr>
        <w:t>个</w:t>
      </w:r>
      <w:r>
        <w:rPr>
          <w:rFonts w:hint="eastAsia" w:ascii="Times New Roman" w:hAnsi="Times New Roman" w:eastAsia="宋体" w:cs="仿宋"/>
          <w:color w:val="auto"/>
          <w:sz w:val="24"/>
          <w:szCs w:val="24"/>
          <w:highlight w:val="none"/>
          <w:lang w:val="en-US" w:eastAsia="zh-CN"/>
        </w:rPr>
        <w:t>，总成绩</w:t>
      </w:r>
      <w:r>
        <w:rPr>
          <w:rFonts w:hint="default" w:ascii="Times New Roman" w:hAnsi="Times New Roman" w:eastAsia="宋体" w:cs="仿宋"/>
          <w:color w:val="auto"/>
          <w:sz w:val="24"/>
          <w:szCs w:val="24"/>
          <w:highlight w:val="none"/>
          <w:lang w:val="en-US" w:eastAsia="zh-CN"/>
        </w:rPr>
        <w:t>名列全省第</w:t>
      </w:r>
      <w:r>
        <w:rPr>
          <w:rFonts w:hint="eastAsia" w:ascii="Times New Roman" w:hAnsi="Times New Roman" w:eastAsia="宋体" w:cs="仿宋"/>
          <w:color w:val="auto"/>
          <w:sz w:val="24"/>
          <w:szCs w:val="24"/>
          <w:highlight w:val="none"/>
          <w:lang w:val="en-US" w:eastAsia="zh-CN"/>
        </w:rPr>
        <w:t>二，</w:t>
      </w:r>
      <w:r>
        <w:rPr>
          <w:rFonts w:hint="default" w:ascii="Times New Roman" w:hAnsi="Times New Roman" w:eastAsia="宋体" w:cs="仿宋"/>
          <w:color w:val="auto"/>
          <w:sz w:val="24"/>
          <w:szCs w:val="24"/>
          <w:highlight w:val="none"/>
          <w:lang w:val="en-US" w:eastAsia="zh-CN"/>
        </w:rPr>
        <w:t>遂宁市教育和体育局获优秀组织奖。</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02" w:firstLineChars="200"/>
        <w:textAlignment w:val="auto"/>
        <w:outlineLvl w:val="9"/>
        <w:rPr>
          <w:rFonts w:hint="default" w:ascii="Times New Roman" w:hAnsi="Times New Roman" w:eastAsia="宋体" w:cs="仿宋"/>
          <w:color w:val="auto"/>
          <w:kern w:val="2"/>
          <w:sz w:val="24"/>
          <w:szCs w:val="24"/>
          <w:lang w:val="en-US" w:eastAsia="zh-CN" w:bidi="ar-SA"/>
        </w:rPr>
      </w:pPr>
      <w:r>
        <w:rPr>
          <w:rFonts w:hint="eastAsia" w:ascii="Times New Roman" w:hAnsi="Times New Roman" w:eastAsia="楷体" w:cs="Times New Roman"/>
          <w:b/>
          <w:bCs/>
          <w:color w:val="auto"/>
          <w:sz w:val="30"/>
          <w:szCs w:val="30"/>
          <w:highlight w:val="none"/>
          <w:lang w:val="en-US" w:eastAsia="zh-CN"/>
        </w:rPr>
        <w:drawing>
          <wp:anchor distT="0" distB="0" distL="114300" distR="114300" simplePos="0" relativeHeight="251688960" behindDoc="0" locked="0" layoutInCell="1" allowOverlap="1">
            <wp:simplePos x="0" y="0"/>
            <wp:positionH relativeFrom="column">
              <wp:posOffset>80645</wp:posOffset>
            </wp:positionH>
            <wp:positionV relativeFrom="paragraph">
              <wp:posOffset>102235</wp:posOffset>
            </wp:positionV>
            <wp:extent cx="1695450" cy="1094105"/>
            <wp:effectExtent l="0" t="0" r="6350" b="10795"/>
            <wp:wrapNone/>
            <wp:docPr id="33" name="图片 33" descr="77050_1735264177_hd"/>
            <wp:cNvGraphicFramePr/>
            <a:graphic xmlns:a="http://schemas.openxmlformats.org/drawingml/2006/main">
              <a:graphicData uri="http://schemas.openxmlformats.org/drawingml/2006/picture">
                <pic:pic xmlns:pic="http://schemas.openxmlformats.org/drawingml/2006/picture">
                  <pic:nvPicPr>
                    <pic:cNvPr id="33" name="图片 33" descr="77050_1735264177_hd"/>
                    <pic:cNvPicPr/>
                  </pic:nvPicPr>
                  <pic:blipFill>
                    <a:blip r:embed="rId65"/>
                    <a:stretch>
                      <a:fillRect/>
                    </a:stretch>
                  </pic:blipFill>
                  <pic:spPr>
                    <a:xfrm>
                      <a:off x="0" y="0"/>
                      <a:ext cx="1695450" cy="1094105"/>
                    </a:xfrm>
                    <a:prstGeom prst="rect">
                      <a:avLst/>
                    </a:prstGeom>
                  </pic:spPr>
                </pic:pic>
              </a:graphicData>
            </a:graphic>
          </wp:anchor>
        </w:drawing>
      </w:r>
      <w:r>
        <w:rPr>
          <w:rFonts w:hint="eastAsia" w:ascii="Times New Roman" w:hAnsi="Times New Roman" w:eastAsia="楷体" w:cs="Times New Roman"/>
          <w:b/>
          <w:bCs/>
          <w:color w:val="auto"/>
          <w:sz w:val="30"/>
          <w:szCs w:val="30"/>
          <w:highlight w:val="none"/>
          <w:lang w:val="en-US" w:eastAsia="zh-CN"/>
        </w:rPr>
        <w:drawing>
          <wp:anchor distT="0" distB="0" distL="114300" distR="114300" simplePos="0" relativeHeight="251691008" behindDoc="0" locked="0" layoutInCell="1" allowOverlap="1">
            <wp:simplePos x="0" y="0"/>
            <wp:positionH relativeFrom="column">
              <wp:posOffset>3496310</wp:posOffset>
            </wp:positionH>
            <wp:positionV relativeFrom="paragraph">
              <wp:posOffset>106680</wp:posOffset>
            </wp:positionV>
            <wp:extent cx="1757045" cy="1094105"/>
            <wp:effectExtent l="0" t="0" r="8255" b="10795"/>
            <wp:wrapNone/>
            <wp:docPr id="36" name="图片 36" descr="77077_1735265236_hd"/>
            <wp:cNvGraphicFramePr/>
            <a:graphic xmlns:a="http://schemas.openxmlformats.org/drawingml/2006/main">
              <a:graphicData uri="http://schemas.openxmlformats.org/drawingml/2006/picture">
                <pic:pic xmlns:pic="http://schemas.openxmlformats.org/drawingml/2006/picture">
                  <pic:nvPicPr>
                    <pic:cNvPr id="36" name="图片 36" descr="77077_1735265236_hd"/>
                    <pic:cNvPicPr/>
                  </pic:nvPicPr>
                  <pic:blipFill>
                    <a:blip r:embed="rId66"/>
                    <a:stretch>
                      <a:fillRect/>
                    </a:stretch>
                  </pic:blipFill>
                  <pic:spPr>
                    <a:xfrm>
                      <a:off x="0" y="0"/>
                      <a:ext cx="1757045" cy="1094105"/>
                    </a:xfrm>
                    <a:prstGeom prst="rect">
                      <a:avLst/>
                    </a:prstGeom>
                  </pic:spPr>
                </pic:pic>
              </a:graphicData>
            </a:graphic>
          </wp:anchor>
        </w:drawing>
      </w:r>
      <w:r>
        <w:rPr>
          <w:rFonts w:hint="eastAsia" w:ascii="Times New Roman" w:hAnsi="Times New Roman" w:eastAsia="楷体" w:cs="Times New Roman"/>
          <w:b/>
          <w:bCs/>
          <w:color w:val="auto"/>
          <w:sz w:val="30"/>
          <w:szCs w:val="30"/>
          <w:highlight w:val="none"/>
          <w:lang w:val="en-US" w:eastAsia="zh-CN"/>
        </w:rPr>
        <w:drawing>
          <wp:anchor distT="0" distB="0" distL="114300" distR="114300" simplePos="0" relativeHeight="251689984" behindDoc="0" locked="0" layoutInCell="1" allowOverlap="1">
            <wp:simplePos x="0" y="0"/>
            <wp:positionH relativeFrom="column">
              <wp:posOffset>1816735</wp:posOffset>
            </wp:positionH>
            <wp:positionV relativeFrom="paragraph">
              <wp:posOffset>106680</wp:posOffset>
            </wp:positionV>
            <wp:extent cx="1640205" cy="1092835"/>
            <wp:effectExtent l="0" t="0" r="17145" b="12065"/>
            <wp:wrapNone/>
            <wp:docPr id="35" name="图片 35" descr="77051_1735264224_h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77051_1735264224_hd"/>
                    <pic:cNvPicPr>
                      <a:picLocks noChangeAspect="true"/>
                    </pic:cNvPicPr>
                  </pic:nvPicPr>
                  <pic:blipFill>
                    <a:blip r:embed="rId67"/>
                    <a:stretch>
                      <a:fillRect/>
                    </a:stretch>
                  </pic:blipFill>
                  <pic:spPr>
                    <a:xfrm>
                      <a:off x="0" y="0"/>
                      <a:ext cx="1640205" cy="10928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outlineLvl w:val="9"/>
        <w:rPr>
          <w:rFonts w:hint="eastAsia" w:ascii="Times New Roman" w:hAnsi="Times New Roman" w:eastAsia="楷体" w:cs="Times New Roman"/>
          <w:b/>
          <w:bCs/>
          <w:color w:val="auto"/>
          <w:sz w:val="30"/>
          <w:szCs w:val="30"/>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outlineLvl w:val="9"/>
        <w:rPr>
          <w:rFonts w:hint="eastAsia" w:ascii="Times New Roman" w:hAnsi="Times New Roman" w:eastAsia="楷体" w:cs="Times New Roman"/>
          <w:b/>
          <w:bCs/>
          <w:color w:val="auto"/>
          <w:sz w:val="30"/>
          <w:szCs w:val="30"/>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outlineLvl w:val="9"/>
        <w:rPr>
          <w:rFonts w:hint="eastAsia" w:ascii="Times New Roman" w:hAnsi="Times New Roman" w:eastAsia="楷体" w:cs="Times New Roman"/>
          <w:b/>
          <w:bCs/>
          <w:color w:val="auto"/>
          <w:sz w:val="30"/>
          <w:szCs w:val="30"/>
          <w:highlight w:val="none"/>
          <w:lang w:val="en-US" w:eastAsia="zh-CN"/>
        </w:rPr>
      </w:pPr>
      <w:r>
        <w:rPr>
          <w:rFonts w:hint="eastAsia" w:ascii="Times New Roman" w:hAnsi="Times New Roman" w:eastAsia="楷体" w:cs="Times New Roman"/>
          <w:b/>
          <w:bCs/>
          <w:color w:val="auto"/>
          <w:sz w:val="30"/>
          <w:szCs w:val="30"/>
          <w:highlight w:val="none"/>
          <w:lang w:val="en-US" w:eastAsia="zh-CN"/>
        </w:rPr>
        <w:drawing>
          <wp:anchor distT="0" distB="0" distL="114300" distR="114300" simplePos="0" relativeHeight="251694080" behindDoc="0" locked="0" layoutInCell="1" allowOverlap="1">
            <wp:simplePos x="0" y="0"/>
            <wp:positionH relativeFrom="column">
              <wp:posOffset>3496310</wp:posOffset>
            </wp:positionH>
            <wp:positionV relativeFrom="paragraph">
              <wp:posOffset>240030</wp:posOffset>
            </wp:positionV>
            <wp:extent cx="1755775" cy="1202690"/>
            <wp:effectExtent l="0" t="0" r="9525" b="3810"/>
            <wp:wrapNone/>
            <wp:docPr id="59" name="图片 59" descr="77074_1735265229_h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59" descr="77074_1735265229_hd"/>
                    <pic:cNvPicPr>
                      <a:picLocks noChangeAspect="true"/>
                    </pic:cNvPicPr>
                  </pic:nvPicPr>
                  <pic:blipFill>
                    <a:blip r:embed="rId68"/>
                    <a:stretch>
                      <a:fillRect/>
                    </a:stretch>
                  </pic:blipFill>
                  <pic:spPr>
                    <a:xfrm>
                      <a:off x="0" y="0"/>
                      <a:ext cx="1755775" cy="1202690"/>
                    </a:xfrm>
                    <a:prstGeom prst="rect">
                      <a:avLst/>
                    </a:prstGeom>
                  </pic:spPr>
                </pic:pic>
              </a:graphicData>
            </a:graphic>
          </wp:anchor>
        </w:drawing>
      </w:r>
      <w:r>
        <w:rPr>
          <w:rFonts w:hint="eastAsia" w:ascii="Times New Roman" w:hAnsi="Times New Roman" w:eastAsia="楷体" w:cs="Times New Roman"/>
          <w:b/>
          <w:bCs/>
          <w:color w:val="auto"/>
          <w:sz w:val="30"/>
          <w:szCs w:val="30"/>
          <w:highlight w:val="none"/>
          <w:lang w:val="en-US" w:eastAsia="zh-CN"/>
        </w:rPr>
        <w:drawing>
          <wp:anchor distT="0" distB="0" distL="114300" distR="114300" simplePos="0" relativeHeight="251693056" behindDoc="0" locked="0" layoutInCell="1" allowOverlap="1">
            <wp:simplePos x="0" y="0"/>
            <wp:positionH relativeFrom="column">
              <wp:posOffset>1806575</wp:posOffset>
            </wp:positionH>
            <wp:positionV relativeFrom="paragraph">
              <wp:posOffset>236220</wp:posOffset>
            </wp:positionV>
            <wp:extent cx="1641475" cy="1203325"/>
            <wp:effectExtent l="0" t="0" r="9525" b="3175"/>
            <wp:wrapNone/>
            <wp:docPr id="44" name="图片 44" descr="7M4011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descr="7M401155"/>
                    <pic:cNvPicPr>
                      <a:picLocks noChangeAspect="true"/>
                    </pic:cNvPicPr>
                  </pic:nvPicPr>
                  <pic:blipFill>
                    <a:blip r:embed="rId69"/>
                    <a:stretch>
                      <a:fillRect/>
                    </a:stretch>
                  </pic:blipFill>
                  <pic:spPr>
                    <a:xfrm>
                      <a:off x="0" y="0"/>
                      <a:ext cx="1641475" cy="1203325"/>
                    </a:xfrm>
                    <a:prstGeom prst="rect">
                      <a:avLst/>
                    </a:prstGeom>
                  </pic:spPr>
                </pic:pic>
              </a:graphicData>
            </a:graphic>
          </wp:anchor>
        </w:drawing>
      </w:r>
      <w:r>
        <w:rPr>
          <w:rFonts w:hint="eastAsia" w:ascii="Times New Roman" w:hAnsi="Times New Roman" w:eastAsia="楷体" w:cs="Times New Roman"/>
          <w:b/>
          <w:bCs/>
          <w:color w:val="auto"/>
          <w:sz w:val="30"/>
          <w:szCs w:val="30"/>
          <w:highlight w:val="none"/>
          <w:lang w:val="en-US" w:eastAsia="zh-CN"/>
        </w:rPr>
        <w:drawing>
          <wp:anchor distT="0" distB="0" distL="114300" distR="114300" simplePos="0" relativeHeight="251692032" behindDoc="0" locked="0" layoutInCell="1" allowOverlap="1">
            <wp:simplePos x="0" y="0"/>
            <wp:positionH relativeFrom="column">
              <wp:posOffset>75565</wp:posOffset>
            </wp:positionH>
            <wp:positionV relativeFrom="paragraph">
              <wp:posOffset>226060</wp:posOffset>
            </wp:positionV>
            <wp:extent cx="1696085" cy="1202690"/>
            <wp:effectExtent l="0" t="0" r="5715" b="3810"/>
            <wp:wrapNone/>
            <wp:docPr id="37" name="图片 37" descr="IMG_07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descr="IMG_0717"/>
                    <pic:cNvPicPr>
                      <a:picLocks noChangeAspect="true"/>
                    </pic:cNvPicPr>
                  </pic:nvPicPr>
                  <pic:blipFill>
                    <a:blip r:embed="rId70"/>
                    <a:stretch>
                      <a:fillRect/>
                    </a:stretch>
                  </pic:blipFill>
                  <pic:spPr>
                    <a:xfrm>
                      <a:off x="0" y="0"/>
                      <a:ext cx="1696085" cy="12026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outlineLvl w:val="9"/>
        <w:rPr>
          <w:rFonts w:hint="eastAsia" w:ascii="Times New Roman" w:hAnsi="Times New Roman" w:eastAsia="楷体" w:cs="Times New Roman"/>
          <w:b/>
          <w:bCs/>
          <w:color w:val="auto"/>
          <w:sz w:val="30"/>
          <w:szCs w:val="30"/>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outlineLvl w:val="9"/>
        <w:rPr>
          <w:rFonts w:hint="eastAsia" w:ascii="Times New Roman" w:hAnsi="Times New Roman" w:eastAsia="楷体" w:cs="Times New Roman"/>
          <w:b/>
          <w:bCs/>
          <w:color w:val="auto"/>
          <w:sz w:val="30"/>
          <w:szCs w:val="30"/>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outlineLvl w:val="9"/>
        <w:rPr>
          <w:rFonts w:hint="eastAsia" w:ascii="Times New Roman" w:hAnsi="Times New Roman" w:eastAsia="楷体" w:cs="Times New Roman"/>
          <w:b/>
          <w:bCs/>
          <w:color w:val="auto"/>
          <w:sz w:val="30"/>
          <w:szCs w:val="30"/>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outlineLvl w:val="9"/>
        <w:rPr>
          <w:rFonts w:hint="eastAsia" w:ascii="Times New Roman" w:hAnsi="Times New Roman" w:eastAsia="楷体" w:cs="Times New Roman"/>
          <w:b/>
          <w:bCs/>
          <w:color w:val="auto"/>
          <w:sz w:val="30"/>
          <w:szCs w:val="30"/>
          <w:highlight w:val="none"/>
          <w:lang w:val="en-US" w:eastAsia="zh-CN"/>
        </w:rPr>
      </w:pPr>
      <w:r>
        <w:rPr>
          <w:rFonts w:hint="eastAsia" w:ascii="Times New Roman" w:hAnsi="Times New Roman" w:eastAsia="楷体" w:cs="Times New Roman"/>
          <w:b/>
          <w:bCs/>
          <w:color w:val="auto"/>
          <w:sz w:val="30"/>
          <w:szCs w:val="30"/>
          <w:highlight w:val="none"/>
          <w:lang w:val="en-US" w:eastAsia="zh-CN"/>
        </w:rPr>
        <w:drawing>
          <wp:anchor distT="0" distB="0" distL="114300" distR="114300" simplePos="0" relativeHeight="251695104" behindDoc="0" locked="0" layoutInCell="1" allowOverlap="1">
            <wp:simplePos x="0" y="0"/>
            <wp:positionH relativeFrom="column">
              <wp:posOffset>68580</wp:posOffset>
            </wp:positionH>
            <wp:positionV relativeFrom="paragraph">
              <wp:posOffset>124460</wp:posOffset>
            </wp:positionV>
            <wp:extent cx="1698625" cy="1231265"/>
            <wp:effectExtent l="0" t="0" r="3175" b="635"/>
            <wp:wrapNone/>
            <wp:docPr id="60" name="图片 60" descr="77043_1735263980_h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60" descr="77043_1735263980_hd"/>
                    <pic:cNvPicPr>
                      <a:picLocks noChangeAspect="true"/>
                    </pic:cNvPicPr>
                  </pic:nvPicPr>
                  <pic:blipFill>
                    <a:blip r:embed="rId71"/>
                    <a:stretch>
                      <a:fillRect/>
                    </a:stretch>
                  </pic:blipFill>
                  <pic:spPr>
                    <a:xfrm rot="10800000" flipV="true">
                      <a:off x="0" y="0"/>
                      <a:ext cx="1698625" cy="1231265"/>
                    </a:xfrm>
                    <a:prstGeom prst="rect">
                      <a:avLst/>
                    </a:prstGeom>
                  </pic:spPr>
                </pic:pic>
              </a:graphicData>
            </a:graphic>
          </wp:anchor>
        </w:drawing>
      </w:r>
      <w:r>
        <w:rPr>
          <w:rFonts w:hint="eastAsia" w:ascii="Times New Roman" w:hAnsi="Times New Roman" w:eastAsia="楷体" w:cs="Times New Roman"/>
          <w:b/>
          <w:bCs/>
          <w:color w:val="auto"/>
          <w:sz w:val="30"/>
          <w:szCs w:val="30"/>
          <w:highlight w:val="none"/>
          <w:lang w:val="en-US" w:eastAsia="zh-CN"/>
        </w:rPr>
        <w:drawing>
          <wp:anchor distT="0" distB="0" distL="114300" distR="114300" simplePos="0" relativeHeight="251697152" behindDoc="0" locked="0" layoutInCell="1" allowOverlap="1">
            <wp:simplePos x="0" y="0"/>
            <wp:positionH relativeFrom="column">
              <wp:posOffset>3488690</wp:posOffset>
            </wp:positionH>
            <wp:positionV relativeFrom="paragraph">
              <wp:posOffset>123190</wp:posOffset>
            </wp:positionV>
            <wp:extent cx="1757045" cy="1231265"/>
            <wp:effectExtent l="0" t="0" r="8255" b="635"/>
            <wp:wrapNone/>
            <wp:docPr id="66" name="图片 66" descr="77143_1735289311_hd"/>
            <wp:cNvGraphicFramePr/>
            <a:graphic xmlns:a="http://schemas.openxmlformats.org/drawingml/2006/main">
              <a:graphicData uri="http://schemas.openxmlformats.org/drawingml/2006/picture">
                <pic:pic xmlns:pic="http://schemas.openxmlformats.org/drawingml/2006/picture">
                  <pic:nvPicPr>
                    <pic:cNvPr id="66" name="图片 66" descr="77143_1735289311_hd"/>
                    <pic:cNvPicPr/>
                  </pic:nvPicPr>
                  <pic:blipFill>
                    <a:blip r:embed="rId72"/>
                    <a:stretch>
                      <a:fillRect/>
                    </a:stretch>
                  </pic:blipFill>
                  <pic:spPr>
                    <a:xfrm rot="10800000" flipV="true">
                      <a:off x="0" y="0"/>
                      <a:ext cx="1757045" cy="1231265"/>
                    </a:xfrm>
                    <a:prstGeom prst="rect">
                      <a:avLst/>
                    </a:prstGeom>
                  </pic:spPr>
                </pic:pic>
              </a:graphicData>
            </a:graphic>
          </wp:anchor>
        </w:drawing>
      </w:r>
      <w:r>
        <w:rPr>
          <w:rFonts w:hint="eastAsia" w:ascii="Times New Roman" w:hAnsi="Times New Roman" w:eastAsia="楷体" w:cs="Times New Roman"/>
          <w:b/>
          <w:bCs/>
          <w:color w:val="auto"/>
          <w:sz w:val="30"/>
          <w:szCs w:val="30"/>
          <w:highlight w:val="none"/>
          <w:lang w:val="en-US" w:eastAsia="zh-CN"/>
        </w:rPr>
        <w:drawing>
          <wp:anchor distT="0" distB="0" distL="114300" distR="114300" simplePos="0" relativeHeight="251696128" behindDoc="0" locked="0" layoutInCell="1" allowOverlap="1">
            <wp:simplePos x="0" y="0"/>
            <wp:positionH relativeFrom="column">
              <wp:posOffset>1809750</wp:posOffset>
            </wp:positionH>
            <wp:positionV relativeFrom="paragraph">
              <wp:posOffset>118745</wp:posOffset>
            </wp:positionV>
            <wp:extent cx="1641475" cy="1231265"/>
            <wp:effectExtent l="0" t="0" r="9525" b="635"/>
            <wp:wrapNone/>
            <wp:docPr id="65" name="图片 65" descr="77137_1735289133_h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图片 65" descr="77137_1735289133_hd"/>
                    <pic:cNvPicPr>
                      <a:picLocks noChangeAspect="true"/>
                    </pic:cNvPicPr>
                  </pic:nvPicPr>
                  <pic:blipFill>
                    <a:blip r:embed="rId73"/>
                    <a:stretch>
                      <a:fillRect/>
                    </a:stretch>
                  </pic:blipFill>
                  <pic:spPr>
                    <a:xfrm rot="10800000" flipV="true">
                      <a:off x="0" y="0"/>
                      <a:ext cx="1641475" cy="12312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02" w:firstLineChars="200"/>
        <w:textAlignment w:val="auto"/>
        <w:outlineLvl w:val="9"/>
        <w:rPr>
          <w:rFonts w:hint="eastAsia" w:ascii="Times New Roman" w:hAnsi="Times New Roman" w:eastAsia="楷体" w:cs="Times New Roman"/>
          <w:b/>
          <w:bCs/>
          <w:color w:val="auto"/>
          <w:sz w:val="30"/>
          <w:szCs w:val="30"/>
          <w:highlight w:val="none"/>
          <w:lang w:val="en-US" w:eastAsia="zh-CN"/>
        </w:rPr>
      </w:pPr>
    </w:p>
    <w:p>
      <w:pPr>
        <w:pStyle w:val="8"/>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rPr>
          <w:rFonts w:hint="eastAsia" w:ascii="Times New Roman" w:hAnsi="Times New Roman" w:eastAsia="楷体" w:cs="楷体"/>
          <w:sz w:val="24"/>
          <w:szCs w:val="24"/>
        </w:rPr>
      </w:pPr>
    </w:p>
    <w:p>
      <w:pPr>
        <w:rPr>
          <w:rFonts w:hint="eastAsia" w:ascii="Times New Roman" w:hAnsi="Times New Roman" w:eastAsia="楷体" w:cs="楷体"/>
          <w:sz w:val="24"/>
          <w:szCs w:val="24"/>
        </w:rPr>
      </w:pPr>
    </w:p>
    <w:p>
      <w:pPr>
        <w:pStyle w:val="2"/>
        <w:rPr>
          <w:rFonts w:hint="eastAsia"/>
        </w:rPr>
      </w:pPr>
    </w:p>
    <w:p>
      <w:pPr>
        <w:pStyle w:val="8"/>
        <w:keepNext w:val="0"/>
        <w:keepLines w:val="0"/>
        <w:pageBreakBefore w:val="0"/>
        <w:widowControl w:val="0"/>
        <w:kinsoku/>
        <w:wordWrap/>
        <w:overflowPunct/>
        <w:topLinePunct w:val="0"/>
        <w:autoSpaceDE/>
        <w:autoSpaceDN/>
        <w:bidi w:val="0"/>
        <w:adjustRightInd/>
        <w:snapToGrid/>
        <w:spacing w:before="63" w:beforeLines="20" w:line="240" w:lineRule="auto"/>
        <w:jc w:val="center"/>
        <w:textAlignment w:val="auto"/>
        <w:rPr>
          <w:rFonts w:hint="eastAsia" w:ascii="Times New Roman" w:hAnsi="Times New Roman" w:eastAsia="楷体" w:cs="楷体"/>
          <w:sz w:val="24"/>
          <w:szCs w:val="24"/>
          <w:lang w:val="en-US" w:eastAsia="zh-CN"/>
        </w:rPr>
      </w:pPr>
      <w:r>
        <w:rPr>
          <w:rFonts w:hint="eastAsia" w:ascii="Times New Roman" w:hAnsi="Times New Roman" w:eastAsia="楷体" w:cs="楷体"/>
          <w:sz w:val="24"/>
          <w:szCs w:val="24"/>
        </w:rPr>
        <w:t>图</w:t>
      </w:r>
      <w:r>
        <w:rPr>
          <w:rFonts w:hint="eastAsia" w:ascii="Times New Roman" w:hAnsi="Times New Roman" w:eastAsia="楷体" w:cs="楷体"/>
          <w:sz w:val="24"/>
          <w:szCs w:val="24"/>
        </w:rPr>
        <w:fldChar w:fldCharType="begin"/>
      </w:r>
      <w:r>
        <w:rPr>
          <w:rFonts w:hint="eastAsia" w:ascii="Times New Roman" w:hAnsi="Times New Roman" w:eastAsia="楷体" w:cs="楷体"/>
          <w:sz w:val="24"/>
          <w:szCs w:val="24"/>
        </w:rPr>
        <w:instrText xml:space="preserve"> SEQ 图 \* ARABIC </w:instrText>
      </w:r>
      <w:r>
        <w:rPr>
          <w:rFonts w:hint="eastAsia" w:ascii="Times New Roman" w:hAnsi="Times New Roman" w:eastAsia="楷体" w:cs="楷体"/>
          <w:sz w:val="24"/>
          <w:szCs w:val="24"/>
        </w:rPr>
        <w:fldChar w:fldCharType="separate"/>
      </w:r>
      <w:r>
        <w:rPr>
          <w:rFonts w:hint="eastAsia" w:ascii="Times New Roman" w:hAnsi="Times New Roman" w:eastAsia="楷体" w:cs="楷体"/>
          <w:sz w:val="24"/>
          <w:szCs w:val="24"/>
        </w:rPr>
        <w:t>34</w:t>
      </w:r>
      <w:r>
        <w:rPr>
          <w:rFonts w:hint="eastAsia" w:ascii="Times New Roman" w:hAnsi="Times New Roman" w:eastAsia="楷体" w:cs="楷体"/>
          <w:sz w:val="24"/>
          <w:szCs w:val="24"/>
        </w:rPr>
        <w:fldChar w:fldCharType="end"/>
      </w:r>
      <w:bookmarkStart w:id="398" w:name="_Toc23131"/>
      <w:r>
        <w:rPr>
          <w:rFonts w:hint="eastAsia" w:ascii="Times New Roman" w:hAnsi="Times New Roman" w:eastAsia="楷体" w:cs="楷体"/>
          <w:sz w:val="24"/>
          <w:szCs w:val="24"/>
          <w:lang w:val="en-US" w:eastAsia="zh-CN"/>
        </w:rPr>
        <w:t xml:space="preserve"> 教研活动系列图片</w:t>
      </w:r>
      <w:bookmarkEnd w:id="398"/>
    </w:p>
    <w:p>
      <w:pPr>
        <w:spacing w:line="560" w:lineRule="exact"/>
        <w:ind w:firstLine="602" w:firstLineChars="200"/>
        <w:outlineLvl w:val="1"/>
        <w:rPr>
          <w:rFonts w:hint="eastAsia" w:ascii="Times New Roman" w:hAnsi="Times New Roman" w:eastAsia="楷体" w:cs="Times New Roman"/>
          <w:b/>
          <w:bCs/>
          <w:color w:val="auto"/>
          <w:sz w:val="30"/>
          <w:szCs w:val="30"/>
          <w:highlight w:val="none"/>
          <w:lang w:eastAsia="zh-CN"/>
        </w:rPr>
      </w:pPr>
      <w:bookmarkStart w:id="399" w:name="_Toc16965"/>
      <w:r>
        <w:rPr>
          <w:rFonts w:hint="eastAsia" w:ascii="Times New Roman" w:hAnsi="Times New Roman" w:eastAsia="楷体" w:cs="Times New Roman"/>
          <w:b/>
          <w:bCs/>
          <w:color w:val="auto"/>
          <w:sz w:val="30"/>
          <w:szCs w:val="30"/>
          <w:highlight w:val="none"/>
          <w:lang w:val="en-US" w:eastAsia="zh-CN"/>
        </w:rPr>
        <w:t>7</w:t>
      </w:r>
      <w:r>
        <w:rPr>
          <w:rFonts w:hint="eastAsia" w:ascii="Times New Roman" w:hAnsi="Times New Roman" w:eastAsia="楷体" w:cs="Times New Roman"/>
          <w:b/>
          <w:bCs/>
          <w:color w:val="auto"/>
          <w:sz w:val="30"/>
          <w:szCs w:val="30"/>
          <w:highlight w:val="none"/>
        </w:rPr>
        <w:t>.</w:t>
      </w:r>
      <w:r>
        <w:rPr>
          <w:rFonts w:hint="eastAsia" w:ascii="Times New Roman" w:hAnsi="Times New Roman" w:eastAsia="楷体" w:cs="Times New Roman"/>
          <w:b/>
          <w:bCs/>
          <w:color w:val="auto"/>
          <w:sz w:val="30"/>
          <w:szCs w:val="30"/>
          <w:highlight w:val="none"/>
          <w:lang w:val="en-US" w:eastAsia="zh-CN"/>
        </w:rPr>
        <w:t>7</w:t>
      </w:r>
      <w:r>
        <w:rPr>
          <w:rFonts w:hint="eastAsia" w:ascii="Times New Roman" w:hAnsi="Times New Roman" w:eastAsia="楷体" w:cs="Times New Roman"/>
          <w:b/>
          <w:bCs/>
          <w:color w:val="auto"/>
          <w:sz w:val="30"/>
          <w:szCs w:val="30"/>
          <w:highlight w:val="none"/>
        </w:rPr>
        <w:t xml:space="preserve"> 资助情况</w:t>
      </w:r>
      <w:bookmarkEnd w:id="399"/>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根据《四川省财政厅 四川省教育厅四川省人力资源和社会保障厅 四川省退役军人事务厅 四川省军区动员局关于印发〈中央和省级财政学生资助资金管理办法〉的通知》（川财规〔2024〕5号）文件精神，遂宁市严格按照国家资助政策和管理办法开展学生资助工作，无通过虚假注册学生学籍或双重注册学籍冒领、套取国家助学金和免学费资金情况，无挤占、挪用、截留和克扣现象；非全日制、非学历教育、学籍异常的学生无申请领取中职资助资金的现象。2024年遂宁市已免除除艺术类相关表演专业外共1.98万名中职学生学费3593.15万元，已为0.42万名中职学校家庭经济困难学生发放助学金652.44万元，做到了“应免尽免、应助尽助”。</w:t>
      </w:r>
    </w:p>
    <w:p>
      <w:pPr>
        <w:spacing w:line="560" w:lineRule="exact"/>
        <w:ind w:firstLine="602" w:firstLineChars="200"/>
        <w:outlineLvl w:val="1"/>
        <w:rPr>
          <w:rFonts w:ascii="Times New Roman" w:hAnsi="Times New Roman" w:eastAsia="楷体" w:cs="Times New Roman"/>
          <w:b/>
          <w:bCs/>
          <w:color w:val="auto"/>
          <w:sz w:val="30"/>
          <w:szCs w:val="30"/>
          <w:highlight w:val="none"/>
        </w:rPr>
      </w:pPr>
      <w:bookmarkStart w:id="400" w:name="_Toc16300"/>
      <w:r>
        <w:rPr>
          <w:rFonts w:hint="eastAsia" w:ascii="Times New Roman" w:hAnsi="Times New Roman" w:eastAsia="楷体" w:cs="Times New Roman"/>
          <w:b/>
          <w:bCs/>
          <w:color w:val="auto"/>
          <w:sz w:val="30"/>
          <w:szCs w:val="30"/>
          <w:highlight w:val="none"/>
          <w:lang w:val="en-US" w:eastAsia="zh-CN"/>
        </w:rPr>
        <w:t>7</w:t>
      </w:r>
      <w:r>
        <w:rPr>
          <w:rFonts w:hint="eastAsia" w:ascii="Times New Roman" w:hAnsi="Times New Roman" w:eastAsia="楷体" w:cs="Times New Roman"/>
          <w:b/>
          <w:bCs/>
          <w:color w:val="auto"/>
          <w:sz w:val="30"/>
          <w:szCs w:val="30"/>
          <w:highlight w:val="none"/>
        </w:rPr>
        <w:t>.</w:t>
      </w:r>
      <w:r>
        <w:rPr>
          <w:rFonts w:hint="eastAsia" w:ascii="Times New Roman" w:hAnsi="Times New Roman" w:eastAsia="楷体" w:cs="Times New Roman"/>
          <w:b/>
          <w:bCs/>
          <w:color w:val="auto"/>
          <w:sz w:val="30"/>
          <w:szCs w:val="30"/>
          <w:highlight w:val="none"/>
          <w:lang w:val="en-US" w:eastAsia="zh-CN"/>
        </w:rPr>
        <w:t>8</w:t>
      </w:r>
      <w:r>
        <w:rPr>
          <w:rFonts w:hint="eastAsia" w:ascii="Times New Roman" w:hAnsi="Times New Roman" w:eastAsia="楷体" w:cs="Times New Roman"/>
          <w:b/>
          <w:bCs/>
          <w:color w:val="auto"/>
          <w:sz w:val="30"/>
          <w:szCs w:val="30"/>
          <w:highlight w:val="none"/>
        </w:rPr>
        <w:t xml:space="preserve"> </w:t>
      </w:r>
      <w:bookmarkEnd w:id="312"/>
      <w:r>
        <w:rPr>
          <w:rFonts w:hint="eastAsia" w:ascii="Times New Roman" w:hAnsi="Times New Roman" w:eastAsia="楷体" w:cs="Times New Roman"/>
          <w:b/>
          <w:bCs/>
          <w:color w:val="auto"/>
          <w:sz w:val="30"/>
          <w:szCs w:val="30"/>
          <w:highlight w:val="none"/>
        </w:rPr>
        <w:t>政策落实</w:t>
      </w:r>
      <w:bookmarkEnd w:id="313"/>
      <w:bookmarkEnd w:id="314"/>
      <w:bookmarkEnd w:id="315"/>
      <w:bookmarkEnd w:id="316"/>
      <w:bookmarkEnd w:id="400"/>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为促进遂宁市中等职业教育的发展，2024年遂宁市认真贯彻落实国、省文件精神，出台了一系列政策、文件，为中等职业教育发展提供政策支持。主要文件见表21。</w:t>
      </w:r>
    </w:p>
    <w:p>
      <w:pPr>
        <w:pStyle w:val="8"/>
        <w:keepNext w:val="0"/>
        <w:keepLines w:val="0"/>
        <w:pageBreakBefore w:val="0"/>
        <w:widowControl w:val="0"/>
        <w:kinsoku/>
        <w:wordWrap/>
        <w:overflowPunct/>
        <w:topLinePunct w:val="0"/>
        <w:autoSpaceDE/>
        <w:autoSpaceDN/>
        <w:bidi w:val="0"/>
        <w:adjustRightInd/>
        <w:snapToGrid/>
        <w:spacing w:after="126" w:afterLines="40" w:line="560" w:lineRule="exact"/>
        <w:ind w:firstLine="210"/>
        <w:jc w:val="center"/>
        <w:textAlignment w:val="auto"/>
        <w:rPr>
          <w:color w:val="FF0000"/>
        </w:rPr>
      </w:pPr>
      <w:bookmarkStart w:id="401" w:name="_Toc2801"/>
      <w:bookmarkStart w:id="402" w:name="_Toc91576155"/>
      <w:bookmarkStart w:id="403" w:name="_Toc21400"/>
      <w:bookmarkStart w:id="404" w:name="_Toc13501"/>
      <w:bookmarkStart w:id="405" w:name="_Toc3791"/>
      <w:bookmarkStart w:id="406" w:name="_Toc25381"/>
      <w:r>
        <w:rPr>
          <w:rFonts w:hint="eastAsia" w:ascii="Times New Roman" w:hAnsi="Times New Roman" w:eastAsia="宋体" w:cs="宋体"/>
          <w:b/>
          <w:bCs/>
          <w:color w:val="auto"/>
          <w:sz w:val="21"/>
          <w:szCs w:val="21"/>
        </w:rPr>
        <w:t>表</w:t>
      </w:r>
      <w:r>
        <w:rPr>
          <w:rFonts w:hint="eastAsia" w:ascii="Times New Roman" w:hAnsi="Times New Roman" w:eastAsia="宋体" w:cs="宋体"/>
          <w:b/>
          <w:bCs/>
          <w:color w:val="auto"/>
          <w:sz w:val="21"/>
          <w:szCs w:val="21"/>
        </w:rPr>
        <w:fldChar w:fldCharType="begin"/>
      </w:r>
      <w:r>
        <w:rPr>
          <w:rFonts w:hint="eastAsia" w:ascii="Times New Roman" w:hAnsi="Times New Roman" w:eastAsia="宋体" w:cs="宋体"/>
          <w:b/>
          <w:bCs/>
          <w:color w:val="auto"/>
          <w:sz w:val="21"/>
          <w:szCs w:val="21"/>
        </w:rPr>
        <w:instrText xml:space="preserve"> SEQ 表 \* ARABIC </w:instrText>
      </w:r>
      <w:r>
        <w:rPr>
          <w:rFonts w:hint="eastAsia" w:ascii="Times New Roman" w:hAnsi="Times New Roman" w:eastAsia="宋体" w:cs="宋体"/>
          <w:b/>
          <w:bCs/>
          <w:color w:val="auto"/>
          <w:sz w:val="21"/>
          <w:szCs w:val="21"/>
        </w:rPr>
        <w:fldChar w:fldCharType="separate"/>
      </w:r>
      <w:r>
        <w:rPr>
          <w:rFonts w:hint="eastAsia" w:ascii="Times New Roman" w:hAnsi="Times New Roman" w:eastAsia="宋体" w:cs="宋体"/>
          <w:b/>
          <w:bCs/>
          <w:color w:val="auto"/>
          <w:sz w:val="21"/>
          <w:szCs w:val="21"/>
        </w:rPr>
        <w:t>21</w:t>
      </w:r>
      <w:r>
        <w:rPr>
          <w:rFonts w:hint="eastAsia" w:ascii="Times New Roman" w:hAnsi="Times New Roman" w:eastAsia="宋体" w:cs="宋体"/>
          <w:b/>
          <w:bCs/>
          <w:color w:val="auto"/>
          <w:sz w:val="21"/>
          <w:szCs w:val="21"/>
        </w:rPr>
        <w:fldChar w:fldCharType="end"/>
      </w:r>
      <w:bookmarkStart w:id="407" w:name="_Toc26703"/>
      <w:r>
        <w:rPr>
          <w:rFonts w:hint="eastAsia" w:ascii="Times New Roman" w:hAnsi="Times New Roman" w:eastAsia="宋体" w:cs="宋体"/>
          <w:b/>
          <w:bCs/>
          <w:color w:val="auto"/>
          <w:sz w:val="21"/>
          <w:szCs w:val="21"/>
          <w:lang w:val="en-US" w:eastAsia="zh-CN"/>
        </w:rPr>
        <w:t xml:space="preserve">  2024年</w:t>
      </w:r>
      <w:r>
        <w:rPr>
          <w:rFonts w:hint="eastAsia" w:ascii="Times New Roman" w:hAnsi="Times New Roman" w:eastAsia="宋体" w:cs="宋体"/>
          <w:b/>
          <w:bCs/>
          <w:color w:val="auto"/>
          <w:sz w:val="21"/>
          <w:szCs w:val="21"/>
        </w:rPr>
        <w:t>促进遂宁市中等职业教育发展的主要文件</w:t>
      </w:r>
      <w:bookmarkEnd w:id="401"/>
      <w:bookmarkEnd w:id="407"/>
    </w:p>
    <w:tbl>
      <w:tblPr>
        <w:tblStyle w:val="80"/>
        <w:tblW w:w="4892" w:type="pct"/>
        <w:jc w:val="center"/>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Layout w:type="fixed"/>
        <w:tblCellMar>
          <w:top w:w="0" w:type="dxa"/>
          <w:left w:w="108" w:type="dxa"/>
          <w:bottom w:w="0" w:type="dxa"/>
          <w:right w:w="108" w:type="dxa"/>
        </w:tblCellMar>
      </w:tblPr>
      <w:tblGrid>
        <w:gridCol w:w="624"/>
        <w:gridCol w:w="5598"/>
        <w:gridCol w:w="2116"/>
      </w:tblGrid>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624" w:type="dxa"/>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bCs/>
                <w:color w:val="000000"/>
                <w:kern w:val="0"/>
                <w:sz w:val="18"/>
                <w:szCs w:val="18"/>
              </w:rPr>
            </w:pPr>
            <w:r>
              <w:rPr>
                <w:rFonts w:hint="eastAsia" w:ascii="Times New Roman" w:hAnsi="Times New Roman" w:eastAsia="宋体" w:cs="宋体"/>
                <w:b/>
                <w:bCs/>
                <w:color w:val="000000"/>
                <w:kern w:val="0"/>
                <w:sz w:val="18"/>
                <w:szCs w:val="18"/>
              </w:rPr>
              <w:t>序号</w:t>
            </w:r>
          </w:p>
        </w:tc>
        <w:tc>
          <w:tcPr>
            <w:tcW w:w="5598" w:type="dxa"/>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bCs w:val="0"/>
                <w:color w:val="000000"/>
                <w:sz w:val="18"/>
                <w:szCs w:val="18"/>
                <w:lang w:bidi="ar"/>
              </w:rPr>
            </w:pPr>
            <w:r>
              <w:rPr>
                <w:rFonts w:hint="eastAsia" w:ascii="Times New Roman" w:hAnsi="Times New Roman" w:eastAsia="宋体" w:cs="宋体"/>
                <w:b/>
                <w:bCs/>
                <w:color w:val="000000"/>
                <w:kern w:val="0"/>
                <w:sz w:val="18"/>
                <w:szCs w:val="18"/>
              </w:rPr>
              <w:t>名称</w:t>
            </w:r>
          </w:p>
        </w:tc>
        <w:tc>
          <w:tcPr>
            <w:tcW w:w="2116" w:type="dxa"/>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bCs/>
                <w:color w:val="000000"/>
                <w:kern w:val="0"/>
                <w:sz w:val="18"/>
                <w:szCs w:val="18"/>
              </w:rPr>
            </w:pPr>
            <w:r>
              <w:rPr>
                <w:rFonts w:hint="eastAsia" w:ascii="Times New Roman" w:hAnsi="Times New Roman" w:eastAsia="宋体" w:cs="宋体"/>
                <w:b/>
                <w:bCs/>
                <w:color w:val="000000"/>
                <w:kern w:val="0"/>
                <w:sz w:val="18"/>
                <w:szCs w:val="18"/>
              </w:rPr>
              <w:t>文件号</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624"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val="0"/>
                <w:bCs/>
                <w:color w:val="000000"/>
                <w:kern w:val="2"/>
                <w:sz w:val="18"/>
                <w:szCs w:val="18"/>
                <w:lang w:val="en-US" w:eastAsia="zh-CN" w:bidi="ar-SA"/>
              </w:rPr>
            </w:pPr>
            <w:r>
              <w:rPr>
                <w:rFonts w:hint="eastAsia" w:ascii="Times New Roman" w:hAnsi="Times New Roman" w:eastAsia="宋体" w:cs="宋体"/>
                <w:b w:val="0"/>
                <w:bCs/>
                <w:color w:val="000000"/>
                <w:sz w:val="18"/>
                <w:szCs w:val="18"/>
                <w:lang w:val="en-US" w:eastAsia="zh-CN"/>
              </w:rPr>
              <w:t>1</w:t>
            </w:r>
          </w:p>
        </w:tc>
        <w:tc>
          <w:tcPr>
            <w:tcW w:w="5598"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val="0"/>
                <w:bCs w:val="0"/>
                <w:color w:val="000000"/>
                <w:sz w:val="18"/>
                <w:szCs w:val="18"/>
                <w:lang w:eastAsia="zh-CN" w:bidi="ar"/>
              </w:rPr>
            </w:pPr>
            <w:r>
              <w:rPr>
                <w:rFonts w:hint="eastAsia" w:ascii="Times New Roman" w:hAnsi="Times New Roman" w:eastAsia="宋体" w:cs="宋体"/>
                <w:b w:val="0"/>
                <w:bCs w:val="0"/>
                <w:color w:val="000000"/>
                <w:sz w:val="18"/>
                <w:szCs w:val="18"/>
                <w:lang w:val="en-US" w:eastAsia="zh-CN" w:bidi="ar"/>
              </w:rPr>
              <w:t>遂宁市委办公室、市政府办公室名义印发《遂宁市推进现代职业教育体系建设改革任务清单的通知》</w:t>
            </w:r>
          </w:p>
        </w:tc>
        <w:tc>
          <w:tcPr>
            <w:tcW w:w="2116"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val="0"/>
                <w:bCs w:val="0"/>
                <w:color w:val="000000"/>
                <w:sz w:val="18"/>
                <w:szCs w:val="18"/>
                <w:lang w:eastAsia="zh-CN" w:bidi="ar"/>
              </w:rPr>
            </w:pPr>
            <w:r>
              <w:rPr>
                <w:rFonts w:hint="eastAsia" w:ascii="Times New Roman" w:hAnsi="Times New Roman" w:eastAsia="宋体" w:cs="宋体"/>
                <w:b w:val="0"/>
                <w:bCs w:val="0"/>
                <w:color w:val="000000"/>
                <w:sz w:val="18"/>
                <w:szCs w:val="18"/>
                <w:lang w:eastAsia="zh-CN" w:bidi="ar"/>
              </w:rPr>
              <w:t>遂委办函</w:t>
            </w:r>
            <w:r>
              <w:rPr>
                <w:rFonts w:hint="eastAsia" w:ascii="Times New Roman" w:hAnsi="Times New Roman" w:eastAsia="宋体" w:cs="宋体"/>
                <w:b w:val="0"/>
                <w:bCs w:val="0"/>
                <w:color w:val="000000"/>
                <w:sz w:val="18"/>
                <w:szCs w:val="18"/>
                <w:lang w:bidi="ar"/>
              </w:rPr>
              <w:t>〔202</w:t>
            </w:r>
            <w:r>
              <w:rPr>
                <w:rFonts w:hint="eastAsia" w:ascii="Times New Roman" w:hAnsi="Times New Roman" w:eastAsia="宋体" w:cs="宋体"/>
                <w:b w:val="0"/>
                <w:bCs w:val="0"/>
                <w:color w:val="000000"/>
                <w:sz w:val="18"/>
                <w:szCs w:val="18"/>
                <w:lang w:val="en-US" w:eastAsia="zh-CN" w:bidi="ar"/>
              </w:rPr>
              <w:t>4</w:t>
            </w:r>
            <w:r>
              <w:rPr>
                <w:rFonts w:hint="eastAsia" w:ascii="Times New Roman" w:hAnsi="Times New Roman" w:eastAsia="宋体" w:cs="宋体"/>
                <w:b w:val="0"/>
                <w:bCs w:val="0"/>
                <w:color w:val="000000"/>
                <w:sz w:val="18"/>
                <w:szCs w:val="18"/>
                <w:lang w:bidi="ar"/>
              </w:rPr>
              <w:t>〕1</w:t>
            </w:r>
            <w:r>
              <w:rPr>
                <w:rFonts w:hint="eastAsia" w:ascii="Times New Roman" w:hAnsi="Times New Roman" w:eastAsia="宋体" w:cs="宋体"/>
                <w:b w:val="0"/>
                <w:bCs w:val="0"/>
                <w:color w:val="000000"/>
                <w:sz w:val="18"/>
                <w:szCs w:val="18"/>
                <w:lang w:val="en-US" w:eastAsia="zh-CN" w:bidi="ar"/>
              </w:rPr>
              <w:t>5</w:t>
            </w:r>
            <w:r>
              <w:rPr>
                <w:rFonts w:hint="eastAsia" w:ascii="Times New Roman" w:hAnsi="Times New Roman" w:eastAsia="宋体" w:cs="宋体"/>
                <w:b w:val="0"/>
                <w:bCs w:val="0"/>
                <w:color w:val="000000"/>
                <w:sz w:val="18"/>
                <w:szCs w:val="18"/>
                <w:lang w:bidi="ar"/>
              </w:rPr>
              <w:t>号</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624"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val="0"/>
                <w:bCs/>
                <w:color w:val="000000"/>
                <w:kern w:val="2"/>
                <w:sz w:val="18"/>
                <w:szCs w:val="18"/>
                <w:lang w:val="en-US" w:eastAsia="zh-CN" w:bidi="ar-SA"/>
              </w:rPr>
            </w:pPr>
            <w:r>
              <w:rPr>
                <w:rFonts w:hint="eastAsia" w:ascii="Times New Roman" w:hAnsi="Times New Roman" w:eastAsia="宋体" w:cs="宋体"/>
                <w:b w:val="0"/>
                <w:bCs/>
                <w:color w:val="000000"/>
                <w:sz w:val="18"/>
                <w:szCs w:val="18"/>
                <w:lang w:val="en-US" w:eastAsia="zh-CN"/>
              </w:rPr>
              <w:t>2</w:t>
            </w:r>
          </w:p>
        </w:tc>
        <w:tc>
          <w:tcPr>
            <w:tcW w:w="5598"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320" w:lineRule="exact"/>
              <w:jc w:val="center"/>
              <w:textAlignment w:val="auto"/>
              <w:rPr>
                <w:rFonts w:hint="eastAsia" w:ascii="Times New Roman" w:hAnsi="Times New Roman" w:eastAsia="宋体" w:cs="宋体"/>
                <w:b w:val="0"/>
                <w:bCs/>
                <w:color w:val="000000"/>
                <w:kern w:val="2"/>
                <w:sz w:val="18"/>
                <w:szCs w:val="18"/>
                <w:lang w:val="en-US" w:eastAsia="zh-CN" w:bidi="ar-SA"/>
              </w:rPr>
            </w:pPr>
            <w:r>
              <w:rPr>
                <w:rFonts w:hint="eastAsia" w:ascii="Times New Roman" w:hAnsi="Times New Roman" w:eastAsia="宋体" w:cs="宋体"/>
                <w:b w:val="0"/>
                <w:bCs w:val="0"/>
                <w:color w:val="000000"/>
                <w:kern w:val="2"/>
                <w:sz w:val="18"/>
                <w:szCs w:val="18"/>
                <w:lang w:bidi="ar"/>
              </w:rPr>
              <w:t>遂宁市教育和体育局办公室</w:t>
            </w:r>
            <w:r>
              <w:rPr>
                <w:rFonts w:hint="eastAsia" w:ascii="Times New Roman" w:hAnsi="Times New Roman" w:eastAsia="宋体" w:cs="宋体"/>
                <w:b w:val="0"/>
                <w:bCs w:val="0"/>
                <w:color w:val="000000"/>
                <w:kern w:val="2"/>
                <w:sz w:val="18"/>
                <w:szCs w:val="18"/>
                <w:lang w:eastAsia="zh-CN" w:bidi="ar"/>
              </w:rPr>
              <w:t>　遂宁市社区教育服务指导中心</w:t>
            </w:r>
            <w:r>
              <w:rPr>
                <w:rFonts w:hint="eastAsia" w:ascii="Times New Roman" w:hAnsi="Times New Roman" w:eastAsia="宋体" w:cs="宋体"/>
                <w:b w:val="0"/>
                <w:bCs w:val="0"/>
                <w:color w:val="000000"/>
                <w:kern w:val="2"/>
                <w:sz w:val="18"/>
                <w:szCs w:val="18"/>
                <w:lang w:bidi="ar"/>
              </w:rPr>
              <w:t>关于</w:t>
            </w:r>
            <w:r>
              <w:rPr>
                <w:rFonts w:hint="eastAsia" w:ascii="Times New Roman" w:hAnsi="Times New Roman" w:eastAsia="宋体" w:cs="宋体"/>
                <w:b w:val="0"/>
                <w:bCs w:val="0"/>
                <w:color w:val="000000"/>
                <w:kern w:val="2"/>
                <w:sz w:val="18"/>
                <w:szCs w:val="18"/>
                <w:lang w:eastAsia="zh-CN" w:bidi="ar"/>
              </w:rPr>
              <w:t>印发《遂宁市社区教育</w:t>
            </w:r>
            <w:r>
              <w:rPr>
                <w:rFonts w:hint="eastAsia" w:ascii="Times New Roman" w:hAnsi="Times New Roman" w:eastAsia="宋体" w:cs="宋体"/>
                <w:b w:val="0"/>
                <w:bCs w:val="0"/>
                <w:color w:val="000000"/>
                <w:kern w:val="2"/>
                <w:sz w:val="18"/>
                <w:szCs w:val="18"/>
                <w:lang w:val="en-US" w:eastAsia="zh-CN" w:bidi="ar"/>
              </w:rPr>
              <w:t>2024年工作要点</w:t>
            </w:r>
            <w:r>
              <w:rPr>
                <w:rFonts w:hint="eastAsia" w:ascii="Times New Roman" w:hAnsi="Times New Roman" w:eastAsia="宋体" w:cs="宋体"/>
                <w:b w:val="0"/>
                <w:bCs w:val="0"/>
                <w:color w:val="000000"/>
                <w:kern w:val="2"/>
                <w:sz w:val="18"/>
                <w:szCs w:val="18"/>
                <w:lang w:eastAsia="zh-CN" w:bidi="ar"/>
              </w:rPr>
              <w:t>》</w:t>
            </w:r>
            <w:r>
              <w:rPr>
                <w:rFonts w:hint="eastAsia" w:ascii="Times New Roman" w:hAnsi="Times New Roman" w:eastAsia="宋体" w:cs="宋体"/>
                <w:b w:val="0"/>
                <w:bCs w:val="0"/>
                <w:color w:val="000000"/>
                <w:kern w:val="2"/>
                <w:sz w:val="18"/>
                <w:szCs w:val="18"/>
                <w:lang w:bidi="ar"/>
              </w:rPr>
              <w:t>的通知</w:t>
            </w:r>
          </w:p>
        </w:tc>
        <w:tc>
          <w:tcPr>
            <w:tcW w:w="2116"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val="0"/>
                <w:bCs/>
                <w:color w:val="000000"/>
                <w:kern w:val="2"/>
                <w:sz w:val="18"/>
                <w:szCs w:val="18"/>
                <w:highlight w:val="none"/>
                <w:lang w:val="en-US" w:eastAsia="zh-CN" w:bidi="ar-SA"/>
              </w:rPr>
            </w:pPr>
            <w:r>
              <w:rPr>
                <w:rFonts w:hint="eastAsia" w:ascii="Times New Roman" w:hAnsi="Times New Roman" w:eastAsia="宋体" w:cs="宋体"/>
                <w:b w:val="0"/>
                <w:bCs w:val="0"/>
                <w:color w:val="000000"/>
                <w:sz w:val="18"/>
                <w:szCs w:val="18"/>
                <w:highlight w:val="none"/>
                <w:lang w:bidi="ar"/>
              </w:rPr>
              <w:t>遂教体办〔2024〕7号</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624"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宋体"/>
                <w:b w:val="0"/>
                <w:bCs/>
                <w:color w:val="000000"/>
                <w:sz w:val="18"/>
                <w:szCs w:val="18"/>
                <w:lang w:val="en-US" w:eastAsia="zh-CN"/>
              </w:rPr>
            </w:pPr>
            <w:r>
              <w:rPr>
                <w:rFonts w:hint="eastAsia" w:ascii="Times New Roman" w:hAnsi="Times New Roman" w:eastAsia="宋体" w:cs="宋体"/>
                <w:b w:val="0"/>
                <w:bCs/>
                <w:color w:val="000000"/>
                <w:sz w:val="18"/>
                <w:szCs w:val="18"/>
                <w:lang w:val="en-US" w:eastAsia="zh-CN"/>
              </w:rPr>
              <w:t>3</w:t>
            </w:r>
          </w:p>
        </w:tc>
        <w:tc>
          <w:tcPr>
            <w:tcW w:w="5598"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val="0"/>
                <w:bCs/>
                <w:color w:val="000000"/>
                <w:kern w:val="2"/>
                <w:sz w:val="18"/>
                <w:szCs w:val="18"/>
                <w:lang w:val="en-US" w:eastAsia="zh-CN" w:bidi="ar-SA"/>
              </w:rPr>
            </w:pPr>
            <w:r>
              <w:rPr>
                <w:rFonts w:hint="eastAsia" w:ascii="Times New Roman" w:hAnsi="Times New Roman" w:eastAsia="宋体" w:cs="宋体"/>
                <w:b w:val="0"/>
                <w:bCs w:val="0"/>
                <w:color w:val="000000"/>
                <w:sz w:val="18"/>
                <w:szCs w:val="18"/>
                <w:lang w:bidi="ar"/>
              </w:rPr>
              <w:t>遂宁市教育和体育局办公室关于印发《遂宁市职业教育与继续教育202</w:t>
            </w:r>
            <w:r>
              <w:rPr>
                <w:rFonts w:hint="eastAsia" w:ascii="Times New Roman" w:hAnsi="Times New Roman" w:eastAsia="宋体" w:cs="宋体"/>
                <w:b w:val="0"/>
                <w:bCs w:val="0"/>
                <w:color w:val="000000"/>
                <w:sz w:val="18"/>
                <w:szCs w:val="18"/>
                <w:lang w:val="en-US" w:eastAsia="zh-CN" w:bidi="ar"/>
              </w:rPr>
              <w:t>4</w:t>
            </w:r>
            <w:r>
              <w:rPr>
                <w:rFonts w:hint="eastAsia" w:ascii="Times New Roman" w:hAnsi="Times New Roman" w:eastAsia="宋体" w:cs="宋体"/>
                <w:b w:val="0"/>
                <w:bCs w:val="0"/>
                <w:color w:val="000000"/>
                <w:sz w:val="18"/>
                <w:szCs w:val="18"/>
                <w:lang w:bidi="ar"/>
              </w:rPr>
              <w:t>年工作要点》的通知</w:t>
            </w:r>
          </w:p>
        </w:tc>
        <w:tc>
          <w:tcPr>
            <w:tcW w:w="2116"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val="0"/>
                <w:bCs/>
                <w:color w:val="000000"/>
                <w:kern w:val="2"/>
                <w:sz w:val="18"/>
                <w:szCs w:val="18"/>
                <w:highlight w:val="none"/>
                <w:lang w:val="en-US" w:eastAsia="zh-CN" w:bidi="ar-SA"/>
              </w:rPr>
            </w:pPr>
            <w:r>
              <w:rPr>
                <w:rFonts w:hint="eastAsia" w:ascii="Times New Roman" w:hAnsi="Times New Roman" w:eastAsia="宋体" w:cs="宋体"/>
                <w:b w:val="0"/>
                <w:bCs w:val="0"/>
                <w:color w:val="000000"/>
                <w:sz w:val="18"/>
                <w:szCs w:val="18"/>
                <w:highlight w:val="none"/>
                <w:lang w:bidi="ar"/>
              </w:rPr>
              <w:t>遂教体</w:t>
            </w:r>
            <w:r>
              <w:rPr>
                <w:rFonts w:hint="eastAsia" w:ascii="Times New Roman" w:hAnsi="Times New Roman" w:eastAsia="宋体" w:cs="宋体"/>
                <w:b w:val="0"/>
                <w:bCs w:val="0"/>
                <w:color w:val="000000"/>
                <w:sz w:val="18"/>
                <w:szCs w:val="18"/>
                <w:highlight w:val="none"/>
                <w:lang w:eastAsia="zh-CN" w:bidi="ar"/>
              </w:rPr>
              <w:t>办</w:t>
            </w:r>
            <w:r>
              <w:rPr>
                <w:rFonts w:hint="eastAsia" w:ascii="Times New Roman" w:hAnsi="Times New Roman" w:eastAsia="宋体" w:cs="宋体"/>
                <w:b w:val="0"/>
                <w:bCs w:val="0"/>
                <w:color w:val="000000"/>
                <w:sz w:val="18"/>
                <w:szCs w:val="18"/>
                <w:highlight w:val="none"/>
                <w:lang w:bidi="ar"/>
              </w:rPr>
              <w:t>〔202</w:t>
            </w:r>
            <w:r>
              <w:rPr>
                <w:rFonts w:hint="eastAsia" w:ascii="Times New Roman" w:hAnsi="Times New Roman" w:eastAsia="宋体" w:cs="宋体"/>
                <w:b w:val="0"/>
                <w:bCs w:val="0"/>
                <w:color w:val="000000"/>
                <w:sz w:val="18"/>
                <w:szCs w:val="18"/>
                <w:highlight w:val="none"/>
                <w:lang w:val="en-US" w:eastAsia="zh-CN" w:bidi="ar"/>
              </w:rPr>
              <w:t>4</w:t>
            </w:r>
            <w:r>
              <w:rPr>
                <w:rFonts w:hint="eastAsia" w:ascii="Times New Roman" w:hAnsi="Times New Roman" w:eastAsia="宋体" w:cs="宋体"/>
                <w:b w:val="0"/>
                <w:bCs w:val="0"/>
                <w:color w:val="000000"/>
                <w:sz w:val="18"/>
                <w:szCs w:val="18"/>
                <w:highlight w:val="none"/>
                <w:lang w:bidi="ar"/>
              </w:rPr>
              <w:t>〕1</w:t>
            </w:r>
            <w:r>
              <w:rPr>
                <w:rFonts w:hint="eastAsia" w:ascii="Times New Roman" w:hAnsi="Times New Roman" w:eastAsia="宋体" w:cs="宋体"/>
                <w:b w:val="0"/>
                <w:bCs w:val="0"/>
                <w:color w:val="000000"/>
                <w:sz w:val="18"/>
                <w:szCs w:val="18"/>
                <w:highlight w:val="none"/>
                <w:lang w:val="en-US" w:eastAsia="zh-CN" w:bidi="ar"/>
              </w:rPr>
              <w:t>1</w:t>
            </w:r>
            <w:r>
              <w:rPr>
                <w:rFonts w:hint="eastAsia" w:ascii="Times New Roman" w:hAnsi="Times New Roman" w:eastAsia="宋体" w:cs="宋体"/>
                <w:b w:val="0"/>
                <w:bCs w:val="0"/>
                <w:color w:val="000000"/>
                <w:sz w:val="18"/>
                <w:szCs w:val="18"/>
                <w:highlight w:val="none"/>
                <w:lang w:bidi="ar"/>
              </w:rPr>
              <w:t>号</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624"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宋体"/>
                <w:b w:val="0"/>
                <w:bCs/>
                <w:color w:val="000000"/>
                <w:sz w:val="18"/>
                <w:szCs w:val="18"/>
                <w:lang w:val="en-US" w:eastAsia="zh-CN"/>
              </w:rPr>
            </w:pPr>
            <w:r>
              <w:rPr>
                <w:rFonts w:hint="eastAsia" w:ascii="Times New Roman" w:hAnsi="Times New Roman" w:eastAsia="宋体" w:cs="宋体"/>
                <w:b w:val="0"/>
                <w:bCs/>
                <w:color w:val="000000"/>
                <w:sz w:val="18"/>
                <w:szCs w:val="18"/>
                <w:lang w:val="en-US" w:eastAsia="zh-CN"/>
              </w:rPr>
              <w:t>4</w:t>
            </w:r>
          </w:p>
        </w:tc>
        <w:tc>
          <w:tcPr>
            <w:tcW w:w="5598"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宋体"/>
                <w:b w:val="0"/>
                <w:bCs w:val="0"/>
                <w:color w:val="000000"/>
                <w:kern w:val="2"/>
                <w:sz w:val="18"/>
                <w:szCs w:val="18"/>
                <w:lang w:val="en-US" w:eastAsia="zh-CN" w:bidi="ar"/>
              </w:rPr>
            </w:pPr>
            <w:r>
              <w:rPr>
                <w:rFonts w:hint="eastAsia" w:ascii="Times New Roman" w:hAnsi="Times New Roman" w:eastAsia="宋体" w:cs="宋体"/>
                <w:b w:val="0"/>
                <w:bCs w:val="0"/>
                <w:color w:val="000000"/>
                <w:kern w:val="2"/>
                <w:sz w:val="18"/>
                <w:szCs w:val="18"/>
                <w:lang w:val="en-US" w:eastAsia="zh-CN" w:bidi="ar"/>
              </w:rPr>
              <w:t>遂宁市教育和体育局关于公布全市中等职业学校2024年拟新增专业的通知</w:t>
            </w:r>
          </w:p>
        </w:tc>
        <w:tc>
          <w:tcPr>
            <w:tcW w:w="2116"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val="0"/>
                <w:bCs w:val="0"/>
                <w:color w:val="000000"/>
                <w:kern w:val="2"/>
                <w:sz w:val="18"/>
                <w:szCs w:val="18"/>
                <w:lang w:val="en-US" w:eastAsia="zh-CN" w:bidi="ar"/>
              </w:rPr>
            </w:pPr>
            <w:r>
              <w:rPr>
                <w:rFonts w:hint="eastAsia" w:ascii="Times New Roman" w:hAnsi="Times New Roman" w:eastAsia="宋体" w:cs="宋体"/>
                <w:b w:val="0"/>
                <w:bCs w:val="0"/>
                <w:color w:val="000000"/>
                <w:kern w:val="2"/>
                <w:sz w:val="18"/>
                <w:szCs w:val="18"/>
                <w:lang w:val="en-US" w:eastAsia="zh-CN" w:bidi="ar"/>
              </w:rPr>
              <w:t>遂教体函〔</w:t>
            </w:r>
            <w:r>
              <w:rPr>
                <w:rFonts w:hint="eastAsia" w:ascii="Times New Roman" w:hAnsi="Times New Roman" w:eastAsia="宋体" w:cs="宋体"/>
                <w:b w:val="0"/>
                <w:bCs w:val="0"/>
                <w:color w:val="000000"/>
                <w:sz w:val="18"/>
                <w:szCs w:val="18"/>
                <w:lang w:val="en-US" w:eastAsia="zh-CN" w:bidi="ar"/>
              </w:rPr>
              <w:t>2024</w:t>
            </w:r>
            <w:r>
              <w:rPr>
                <w:rFonts w:hint="eastAsia" w:ascii="Times New Roman" w:hAnsi="Times New Roman" w:eastAsia="宋体" w:cs="宋体"/>
                <w:b w:val="0"/>
                <w:bCs w:val="0"/>
                <w:color w:val="000000"/>
                <w:kern w:val="2"/>
                <w:sz w:val="18"/>
                <w:szCs w:val="18"/>
                <w:lang w:val="en-US" w:eastAsia="zh-CN" w:bidi="ar"/>
              </w:rPr>
              <w:t>〕14号</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624"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val="0"/>
                <w:bCs/>
                <w:color w:val="000000"/>
                <w:kern w:val="2"/>
                <w:sz w:val="18"/>
                <w:szCs w:val="18"/>
                <w:lang w:val="en-US" w:eastAsia="zh-CN" w:bidi="ar-SA"/>
              </w:rPr>
            </w:pPr>
            <w:r>
              <w:rPr>
                <w:rFonts w:hint="eastAsia" w:ascii="Times New Roman" w:hAnsi="Times New Roman" w:eastAsia="宋体" w:cs="宋体"/>
                <w:b w:val="0"/>
                <w:bCs/>
                <w:color w:val="000000"/>
                <w:sz w:val="18"/>
                <w:szCs w:val="18"/>
                <w:lang w:val="en-US" w:eastAsia="zh-CN"/>
              </w:rPr>
              <w:t>5</w:t>
            </w:r>
          </w:p>
        </w:tc>
        <w:tc>
          <w:tcPr>
            <w:tcW w:w="5598"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320" w:lineRule="exact"/>
              <w:jc w:val="center"/>
              <w:textAlignment w:val="auto"/>
              <w:rPr>
                <w:rFonts w:hint="eastAsia" w:ascii="Times New Roman" w:hAnsi="Times New Roman" w:eastAsia="宋体" w:cs="宋体"/>
                <w:b w:val="0"/>
                <w:bCs/>
                <w:color w:val="000000"/>
                <w:kern w:val="2"/>
                <w:sz w:val="18"/>
                <w:szCs w:val="18"/>
              </w:rPr>
            </w:pPr>
            <w:r>
              <w:rPr>
                <w:rFonts w:hint="eastAsia" w:ascii="Times New Roman" w:hAnsi="Times New Roman" w:eastAsia="宋体" w:cs="宋体"/>
                <w:b w:val="0"/>
                <w:bCs w:val="0"/>
                <w:color w:val="000000"/>
                <w:kern w:val="2"/>
                <w:sz w:val="18"/>
                <w:szCs w:val="18"/>
                <w:lang w:bidi="ar"/>
              </w:rPr>
              <w:t>遂宁市教育和体育局关于下达202</w:t>
            </w:r>
            <w:r>
              <w:rPr>
                <w:rFonts w:hint="eastAsia" w:ascii="Times New Roman" w:hAnsi="Times New Roman" w:eastAsia="宋体" w:cs="宋体"/>
                <w:b w:val="0"/>
                <w:bCs w:val="0"/>
                <w:color w:val="000000"/>
                <w:kern w:val="2"/>
                <w:sz w:val="18"/>
                <w:szCs w:val="18"/>
                <w:lang w:val="en-US" w:eastAsia="zh-CN" w:bidi="ar"/>
              </w:rPr>
              <w:t>4</w:t>
            </w:r>
            <w:r>
              <w:rPr>
                <w:rFonts w:hint="eastAsia" w:ascii="Times New Roman" w:hAnsi="Times New Roman" w:eastAsia="宋体" w:cs="宋体"/>
                <w:b w:val="0"/>
                <w:bCs w:val="0"/>
                <w:color w:val="000000"/>
                <w:kern w:val="2"/>
                <w:sz w:val="18"/>
                <w:szCs w:val="18"/>
                <w:lang w:bidi="ar"/>
              </w:rPr>
              <w:t>年高中阶段学校招生计划的通知</w:t>
            </w:r>
          </w:p>
        </w:tc>
        <w:tc>
          <w:tcPr>
            <w:tcW w:w="2116"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val="0"/>
                <w:bCs/>
                <w:color w:val="000000"/>
                <w:sz w:val="18"/>
                <w:szCs w:val="18"/>
              </w:rPr>
            </w:pPr>
            <w:r>
              <w:rPr>
                <w:rFonts w:hint="eastAsia" w:ascii="Times New Roman" w:hAnsi="Times New Roman" w:eastAsia="宋体" w:cs="宋体"/>
                <w:b w:val="0"/>
                <w:bCs w:val="0"/>
                <w:color w:val="000000"/>
                <w:sz w:val="18"/>
                <w:szCs w:val="18"/>
                <w:lang w:bidi="ar"/>
              </w:rPr>
              <w:t>遂教体函〔202</w:t>
            </w:r>
            <w:r>
              <w:rPr>
                <w:rFonts w:hint="eastAsia" w:ascii="Times New Roman" w:hAnsi="Times New Roman" w:eastAsia="宋体" w:cs="宋体"/>
                <w:b w:val="0"/>
                <w:bCs w:val="0"/>
                <w:color w:val="000000"/>
                <w:sz w:val="18"/>
                <w:szCs w:val="18"/>
                <w:lang w:val="en-US" w:eastAsia="zh-CN" w:bidi="ar"/>
              </w:rPr>
              <w:t>4</w:t>
            </w:r>
            <w:r>
              <w:rPr>
                <w:rFonts w:hint="eastAsia" w:ascii="Times New Roman" w:hAnsi="Times New Roman" w:eastAsia="宋体" w:cs="宋体"/>
                <w:b w:val="0"/>
                <w:bCs w:val="0"/>
                <w:color w:val="000000"/>
                <w:sz w:val="18"/>
                <w:szCs w:val="18"/>
                <w:lang w:bidi="ar"/>
              </w:rPr>
              <w:t>〕</w:t>
            </w:r>
            <w:r>
              <w:rPr>
                <w:rFonts w:hint="eastAsia" w:ascii="Times New Roman" w:hAnsi="Times New Roman" w:eastAsia="宋体" w:cs="宋体"/>
                <w:b w:val="0"/>
                <w:bCs w:val="0"/>
                <w:color w:val="000000"/>
                <w:sz w:val="18"/>
                <w:szCs w:val="18"/>
                <w:lang w:val="en-US" w:eastAsia="zh-CN" w:bidi="ar"/>
              </w:rPr>
              <w:t>58</w:t>
            </w:r>
            <w:r>
              <w:rPr>
                <w:rFonts w:hint="eastAsia" w:ascii="Times New Roman" w:hAnsi="Times New Roman" w:eastAsia="宋体" w:cs="宋体"/>
                <w:b w:val="0"/>
                <w:bCs w:val="0"/>
                <w:color w:val="000000"/>
                <w:sz w:val="18"/>
                <w:szCs w:val="18"/>
                <w:lang w:bidi="ar"/>
              </w:rPr>
              <w:t>号</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624"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val="0"/>
                <w:bCs/>
                <w:color w:val="000000"/>
                <w:kern w:val="2"/>
                <w:sz w:val="18"/>
                <w:szCs w:val="18"/>
                <w:lang w:val="en-US" w:eastAsia="zh-CN" w:bidi="ar-SA"/>
              </w:rPr>
            </w:pPr>
            <w:r>
              <w:rPr>
                <w:rFonts w:hint="eastAsia" w:ascii="Times New Roman" w:hAnsi="Times New Roman" w:eastAsia="宋体" w:cs="宋体"/>
                <w:b w:val="0"/>
                <w:bCs/>
                <w:color w:val="000000"/>
                <w:sz w:val="18"/>
                <w:szCs w:val="18"/>
                <w:lang w:val="en-US" w:eastAsia="zh-CN"/>
              </w:rPr>
              <w:t>6</w:t>
            </w:r>
          </w:p>
        </w:tc>
        <w:tc>
          <w:tcPr>
            <w:tcW w:w="5598"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eastAsia" w:ascii="Times New Roman" w:hAnsi="Times New Roman" w:eastAsia="宋体" w:cs="宋体"/>
                <w:b w:val="0"/>
                <w:bCs w:val="0"/>
                <w:color w:val="000000"/>
                <w:kern w:val="2"/>
                <w:sz w:val="18"/>
                <w:szCs w:val="18"/>
                <w:lang w:val="en-US" w:eastAsia="zh-CN" w:bidi="ar"/>
              </w:rPr>
            </w:pPr>
            <w:r>
              <w:rPr>
                <w:rFonts w:hint="eastAsia" w:ascii="Times New Roman" w:hAnsi="Times New Roman" w:eastAsia="宋体" w:cs="宋体"/>
                <w:b w:val="0"/>
                <w:bCs w:val="0"/>
                <w:color w:val="000000"/>
                <w:kern w:val="2"/>
                <w:sz w:val="18"/>
                <w:szCs w:val="18"/>
                <w:lang w:val="en-US" w:eastAsia="zh-CN" w:bidi="ar"/>
              </w:rPr>
              <w:t>遂宁市教育和体育局遂宁市经济和信息化局关于印发《产教融合“订单班”培养人才实施方案》的通知</w:t>
            </w:r>
          </w:p>
        </w:tc>
        <w:tc>
          <w:tcPr>
            <w:tcW w:w="2116"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val="0"/>
                <w:bCs w:val="0"/>
                <w:color w:val="000000"/>
                <w:kern w:val="2"/>
                <w:sz w:val="18"/>
                <w:szCs w:val="18"/>
                <w:lang w:val="en-US" w:eastAsia="zh-CN" w:bidi="ar"/>
              </w:rPr>
            </w:pPr>
            <w:r>
              <w:rPr>
                <w:rFonts w:hint="eastAsia" w:ascii="Times New Roman" w:hAnsi="Times New Roman" w:eastAsia="宋体" w:cs="宋体"/>
                <w:b w:val="0"/>
                <w:bCs w:val="0"/>
                <w:color w:val="000000"/>
                <w:sz w:val="18"/>
                <w:szCs w:val="18"/>
                <w:lang w:bidi="ar"/>
              </w:rPr>
              <w:t>遂教体函〔202</w:t>
            </w:r>
            <w:r>
              <w:rPr>
                <w:rFonts w:hint="eastAsia" w:ascii="Times New Roman" w:hAnsi="Times New Roman" w:eastAsia="宋体" w:cs="宋体"/>
                <w:b w:val="0"/>
                <w:bCs w:val="0"/>
                <w:color w:val="000000"/>
                <w:sz w:val="18"/>
                <w:szCs w:val="18"/>
                <w:lang w:val="en-US" w:eastAsia="zh-CN" w:bidi="ar"/>
              </w:rPr>
              <w:t>4</w:t>
            </w:r>
            <w:r>
              <w:rPr>
                <w:rFonts w:hint="eastAsia" w:ascii="Times New Roman" w:hAnsi="Times New Roman" w:eastAsia="宋体" w:cs="宋体"/>
                <w:b w:val="0"/>
                <w:bCs w:val="0"/>
                <w:color w:val="000000"/>
                <w:sz w:val="18"/>
                <w:szCs w:val="18"/>
                <w:lang w:bidi="ar"/>
              </w:rPr>
              <w:t>〕</w:t>
            </w:r>
            <w:r>
              <w:rPr>
                <w:rFonts w:hint="eastAsia" w:ascii="Times New Roman" w:hAnsi="Times New Roman" w:eastAsia="宋体" w:cs="宋体"/>
                <w:b w:val="0"/>
                <w:bCs w:val="0"/>
                <w:color w:val="000000"/>
                <w:sz w:val="18"/>
                <w:szCs w:val="18"/>
                <w:lang w:val="en-US" w:eastAsia="zh-CN" w:bidi="ar"/>
              </w:rPr>
              <w:t>144</w:t>
            </w:r>
            <w:r>
              <w:rPr>
                <w:rFonts w:hint="eastAsia" w:ascii="Times New Roman" w:hAnsi="Times New Roman" w:eastAsia="宋体" w:cs="宋体"/>
                <w:b w:val="0"/>
                <w:bCs w:val="0"/>
                <w:color w:val="000000"/>
                <w:sz w:val="18"/>
                <w:szCs w:val="18"/>
                <w:lang w:bidi="ar"/>
              </w:rPr>
              <w:t>号</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624"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val="0"/>
                <w:bCs/>
                <w:color w:val="000000"/>
                <w:sz w:val="18"/>
                <w:szCs w:val="18"/>
                <w:lang w:val="en-US" w:eastAsia="zh-CN"/>
              </w:rPr>
            </w:pPr>
            <w:r>
              <w:rPr>
                <w:rFonts w:hint="eastAsia" w:ascii="Times New Roman" w:hAnsi="Times New Roman" w:eastAsia="宋体" w:cs="宋体"/>
                <w:b w:val="0"/>
                <w:bCs/>
                <w:color w:val="000000"/>
                <w:sz w:val="18"/>
                <w:szCs w:val="18"/>
                <w:lang w:val="en-US" w:eastAsia="zh-CN"/>
              </w:rPr>
              <w:t>7</w:t>
            </w:r>
          </w:p>
        </w:tc>
        <w:tc>
          <w:tcPr>
            <w:tcW w:w="5598"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val="0"/>
                <w:bCs w:val="0"/>
                <w:color w:val="000000"/>
                <w:kern w:val="2"/>
                <w:sz w:val="18"/>
                <w:szCs w:val="18"/>
                <w:lang w:val="en-US" w:eastAsia="zh-CN" w:bidi="ar"/>
              </w:rPr>
            </w:pPr>
            <w:r>
              <w:rPr>
                <w:rFonts w:hint="eastAsia" w:ascii="Times New Roman" w:hAnsi="Times New Roman" w:eastAsia="宋体" w:cs="宋体"/>
                <w:b w:val="0"/>
                <w:bCs w:val="0"/>
                <w:color w:val="000000"/>
                <w:kern w:val="2"/>
                <w:sz w:val="18"/>
                <w:szCs w:val="18"/>
                <w:lang w:val="en-US" w:eastAsia="zh-CN" w:bidi="ar"/>
              </w:rPr>
              <w:t>遂宁市教育和体育局关于开展 2024 年中等职业学校“双师型” 教师市级认定工作的通知</w:t>
            </w:r>
          </w:p>
        </w:tc>
        <w:tc>
          <w:tcPr>
            <w:tcW w:w="2116"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val="0"/>
                <w:bCs w:val="0"/>
                <w:color w:val="000000"/>
                <w:kern w:val="2"/>
                <w:sz w:val="18"/>
                <w:szCs w:val="18"/>
                <w:lang w:val="en-US" w:eastAsia="zh-CN" w:bidi="ar"/>
              </w:rPr>
            </w:pPr>
            <w:r>
              <w:rPr>
                <w:rFonts w:hint="eastAsia" w:ascii="Times New Roman" w:hAnsi="Times New Roman" w:eastAsia="宋体" w:cs="宋体"/>
                <w:b w:val="0"/>
                <w:bCs w:val="0"/>
                <w:color w:val="000000"/>
                <w:kern w:val="2"/>
                <w:sz w:val="18"/>
                <w:szCs w:val="18"/>
                <w:lang w:val="en-US" w:eastAsia="zh-CN" w:bidi="ar"/>
              </w:rPr>
              <w:t>遂教体函〔2024〕148号</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624"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宋体"/>
                <w:b w:val="0"/>
                <w:bCs/>
                <w:color w:val="000000"/>
                <w:sz w:val="18"/>
                <w:szCs w:val="18"/>
                <w:lang w:val="en-US" w:eastAsia="zh-CN"/>
              </w:rPr>
            </w:pPr>
            <w:r>
              <w:rPr>
                <w:rFonts w:hint="eastAsia" w:ascii="Times New Roman" w:hAnsi="Times New Roman" w:eastAsia="宋体" w:cs="宋体"/>
                <w:b w:val="0"/>
                <w:bCs/>
                <w:color w:val="000000"/>
                <w:sz w:val="18"/>
                <w:szCs w:val="18"/>
                <w:lang w:val="en-US" w:eastAsia="zh-CN"/>
              </w:rPr>
              <w:t>8</w:t>
            </w:r>
          </w:p>
        </w:tc>
        <w:tc>
          <w:tcPr>
            <w:tcW w:w="5598"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320" w:lineRule="exact"/>
              <w:jc w:val="center"/>
              <w:textAlignment w:val="auto"/>
              <w:rPr>
                <w:rFonts w:hint="eastAsia" w:ascii="Times New Roman" w:hAnsi="Times New Roman" w:eastAsia="宋体" w:cs="宋体"/>
                <w:b w:val="0"/>
                <w:bCs w:val="0"/>
                <w:color w:val="000000"/>
                <w:kern w:val="0"/>
                <w:sz w:val="18"/>
                <w:szCs w:val="18"/>
                <w:lang w:val="en-US" w:eastAsia="zh-CN" w:bidi="ar"/>
              </w:rPr>
            </w:pPr>
            <w:r>
              <w:rPr>
                <w:rFonts w:hint="eastAsia" w:ascii="Times New Roman" w:hAnsi="Times New Roman" w:eastAsia="宋体" w:cs="宋体"/>
                <w:b w:val="0"/>
                <w:bCs w:val="0"/>
                <w:color w:val="000000"/>
                <w:sz w:val="18"/>
                <w:szCs w:val="18"/>
                <w:lang w:bidi="ar"/>
              </w:rPr>
              <w:t>遂宁市教育和体育局关于公布第二届遂宁市社区教育老年教育系统中华经典诵写讲大赛获奖名单的通知</w:t>
            </w:r>
          </w:p>
        </w:tc>
        <w:tc>
          <w:tcPr>
            <w:tcW w:w="2116"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val="0"/>
                <w:bCs/>
                <w:color w:val="000000"/>
                <w:kern w:val="2"/>
                <w:sz w:val="18"/>
                <w:szCs w:val="18"/>
                <w:lang w:val="en-US" w:eastAsia="zh-CN" w:bidi="ar-SA"/>
              </w:rPr>
            </w:pPr>
            <w:r>
              <w:rPr>
                <w:rFonts w:hint="eastAsia" w:ascii="Times New Roman" w:hAnsi="Times New Roman" w:eastAsia="宋体" w:cs="宋体"/>
                <w:b w:val="0"/>
                <w:bCs/>
                <w:color w:val="000000"/>
                <w:kern w:val="2"/>
                <w:sz w:val="18"/>
                <w:szCs w:val="18"/>
                <w:lang w:val="en-US" w:eastAsia="zh-CN" w:bidi="ar-SA"/>
              </w:rPr>
              <w:t>遂教体发〔2024〕9号</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624"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宋体"/>
                <w:b w:val="0"/>
                <w:bCs/>
                <w:color w:val="000000"/>
                <w:sz w:val="18"/>
                <w:szCs w:val="18"/>
                <w:lang w:val="en-US" w:eastAsia="zh-CN"/>
              </w:rPr>
            </w:pPr>
            <w:r>
              <w:rPr>
                <w:rFonts w:hint="eastAsia" w:ascii="Times New Roman" w:hAnsi="Times New Roman" w:eastAsia="宋体" w:cs="宋体"/>
                <w:b w:val="0"/>
                <w:bCs/>
                <w:color w:val="000000"/>
                <w:sz w:val="18"/>
                <w:szCs w:val="18"/>
                <w:lang w:val="en-US" w:eastAsia="zh-CN"/>
              </w:rPr>
              <w:t>9</w:t>
            </w:r>
          </w:p>
        </w:tc>
        <w:tc>
          <w:tcPr>
            <w:tcW w:w="5598"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320" w:lineRule="exact"/>
              <w:jc w:val="center"/>
              <w:textAlignment w:val="auto"/>
              <w:rPr>
                <w:rFonts w:hint="eastAsia" w:ascii="Times New Roman" w:hAnsi="Times New Roman" w:eastAsia="宋体" w:cs="宋体"/>
                <w:b w:val="0"/>
                <w:bCs w:val="0"/>
                <w:color w:val="000000"/>
                <w:kern w:val="2"/>
                <w:sz w:val="18"/>
                <w:szCs w:val="18"/>
                <w:lang w:val="en-US" w:eastAsia="zh-CN" w:bidi="ar"/>
              </w:rPr>
            </w:pPr>
            <w:r>
              <w:rPr>
                <w:rFonts w:hint="eastAsia" w:ascii="Times New Roman" w:hAnsi="Times New Roman" w:eastAsia="宋体" w:cs="宋体"/>
                <w:b w:val="0"/>
                <w:bCs w:val="0"/>
                <w:color w:val="000000"/>
                <w:kern w:val="2"/>
                <w:sz w:val="18"/>
                <w:szCs w:val="18"/>
                <w:lang w:bidi="ar"/>
              </w:rPr>
              <w:t>遂宁市教育和体育局</w:t>
            </w:r>
            <w:r>
              <w:rPr>
                <w:rFonts w:hint="eastAsia" w:ascii="Times New Roman" w:hAnsi="Times New Roman" w:eastAsia="宋体" w:cs="宋体"/>
                <w:b w:val="0"/>
                <w:bCs w:val="0"/>
                <w:color w:val="000000"/>
                <w:kern w:val="2"/>
                <w:sz w:val="18"/>
                <w:szCs w:val="18"/>
                <w:lang w:val="en-US" w:eastAsia="zh-CN" w:bidi="ar"/>
              </w:rPr>
              <w:t xml:space="preserve"> </w:t>
            </w:r>
            <w:r>
              <w:rPr>
                <w:rFonts w:hint="eastAsia" w:ascii="Times New Roman" w:hAnsi="Times New Roman" w:eastAsia="宋体" w:cs="宋体"/>
                <w:b w:val="0"/>
                <w:bCs w:val="0"/>
                <w:color w:val="000000"/>
                <w:kern w:val="2"/>
                <w:sz w:val="18"/>
                <w:szCs w:val="18"/>
                <w:lang w:bidi="ar"/>
              </w:rPr>
              <w:t>重庆市潼南区教育委员会关于公布“2024年遂宁市·潼南区中等职业学校师生技能比赛”获奖名单的通知</w:t>
            </w:r>
          </w:p>
        </w:tc>
        <w:tc>
          <w:tcPr>
            <w:tcW w:w="2116"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val="0"/>
                <w:bCs w:val="0"/>
                <w:color w:val="000000"/>
                <w:kern w:val="2"/>
                <w:sz w:val="18"/>
                <w:szCs w:val="18"/>
                <w:lang w:val="en-US" w:eastAsia="zh-CN" w:bidi="ar"/>
              </w:rPr>
            </w:pPr>
            <w:r>
              <w:rPr>
                <w:rFonts w:hint="eastAsia" w:ascii="Times New Roman" w:hAnsi="Times New Roman" w:eastAsia="宋体" w:cs="宋体"/>
                <w:b w:val="0"/>
                <w:bCs/>
                <w:color w:val="000000"/>
                <w:kern w:val="2"/>
                <w:sz w:val="18"/>
                <w:szCs w:val="18"/>
                <w:lang w:val="en-US" w:eastAsia="zh-CN" w:bidi="ar-SA"/>
              </w:rPr>
              <w:t>遂教体发〔2024〕25号</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624"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宋体"/>
                <w:b w:val="0"/>
                <w:bCs/>
                <w:color w:val="000000"/>
                <w:sz w:val="18"/>
                <w:szCs w:val="18"/>
                <w:lang w:val="en-US" w:eastAsia="zh-CN"/>
              </w:rPr>
            </w:pPr>
            <w:r>
              <w:rPr>
                <w:rFonts w:hint="eastAsia" w:ascii="Times New Roman" w:hAnsi="Times New Roman" w:eastAsia="宋体" w:cs="宋体"/>
                <w:b w:val="0"/>
                <w:bCs/>
                <w:color w:val="000000"/>
                <w:sz w:val="18"/>
                <w:szCs w:val="18"/>
                <w:lang w:val="en-US" w:eastAsia="zh-CN"/>
              </w:rPr>
              <w:t>10</w:t>
            </w:r>
          </w:p>
        </w:tc>
        <w:tc>
          <w:tcPr>
            <w:tcW w:w="5598"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宋体"/>
                <w:b w:val="0"/>
                <w:bCs w:val="0"/>
                <w:color w:val="000000"/>
                <w:kern w:val="2"/>
                <w:sz w:val="18"/>
                <w:szCs w:val="18"/>
                <w:lang w:val="en-US" w:eastAsia="zh-CN" w:bidi="ar"/>
              </w:rPr>
            </w:pPr>
            <w:r>
              <w:rPr>
                <w:rFonts w:hint="eastAsia" w:ascii="Times New Roman" w:hAnsi="Times New Roman" w:eastAsia="宋体" w:cs="宋体"/>
                <w:b w:val="0"/>
                <w:bCs w:val="0"/>
                <w:color w:val="000000"/>
                <w:kern w:val="2"/>
                <w:sz w:val="18"/>
                <w:szCs w:val="18"/>
                <w:lang w:val="en-US" w:eastAsia="zh-CN" w:bidi="ar"/>
              </w:rPr>
              <w:t>遂宁市财政局 遂宁市教育和体育局关于下达2024年市级教育发展资金（第一批）预算的通知</w:t>
            </w:r>
          </w:p>
        </w:tc>
        <w:tc>
          <w:tcPr>
            <w:tcW w:w="2116"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宋体"/>
                <w:b w:val="0"/>
                <w:bCs w:val="0"/>
                <w:color w:val="000000"/>
                <w:kern w:val="2"/>
                <w:sz w:val="18"/>
                <w:szCs w:val="18"/>
                <w:lang w:val="en-US" w:eastAsia="zh-CN" w:bidi="ar"/>
              </w:rPr>
            </w:pPr>
            <w:r>
              <w:rPr>
                <w:rFonts w:hint="eastAsia" w:ascii="Times New Roman" w:hAnsi="Times New Roman" w:eastAsia="宋体" w:cs="宋体"/>
                <w:b w:val="0"/>
                <w:bCs w:val="0"/>
                <w:color w:val="000000"/>
                <w:kern w:val="2"/>
                <w:sz w:val="18"/>
                <w:szCs w:val="18"/>
                <w:lang w:val="en-US" w:eastAsia="zh-CN" w:bidi="ar"/>
              </w:rPr>
              <w:t>遂财教〔2024〕92号</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624"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宋体"/>
                <w:b w:val="0"/>
                <w:bCs/>
                <w:color w:val="000000"/>
                <w:kern w:val="2"/>
                <w:sz w:val="18"/>
                <w:szCs w:val="18"/>
                <w:lang w:val="en-US" w:eastAsia="zh-CN" w:bidi="ar-SA"/>
              </w:rPr>
            </w:pPr>
            <w:r>
              <w:rPr>
                <w:rFonts w:hint="eastAsia" w:ascii="Times New Roman" w:hAnsi="Times New Roman" w:eastAsia="宋体" w:cs="宋体"/>
                <w:b w:val="0"/>
                <w:bCs/>
                <w:color w:val="000000"/>
                <w:kern w:val="2"/>
                <w:sz w:val="18"/>
                <w:szCs w:val="18"/>
                <w:lang w:val="en-US" w:eastAsia="zh-CN" w:bidi="ar-SA"/>
              </w:rPr>
              <w:t>11</w:t>
            </w:r>
          </w:p>
        </w:tc>
        <w:tc>
          <w:tcPr>
            <w:tcW w:w="5598"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宋体"/>
                <w:b w:val="0"/>
                <w:bCs w:val="0"/>
                <w:color w:val="000000"/>
                <w:kern w:val="2"/>
                <w:sz w:val="18"/>
                <w:szCs w:val="18"/>
                <w:lang w:val="en-US" w:eastAsia="zh-CN" w:bidi="ar"/>
              </w:rPr>
            </w:pPr>
            <w:r>
              <w:rPr>
                <w:rFonts w:hint="eastAsia" w:ascii="Times New Roman" w:hAnsi="Times New Roman" w:eastAsia="宋体" w:cs="宋体"/>
                <w:b w:val="0"/>
                <w:bCs w:val="0"/>
                <w:color w:val="000000"/>
                <w:kern w:val="2"/>
                <w:sz w:val="18"/>
                <w:szCs w:val="18"/>
                <w:lang w:val="en-US" w:eastAsia="zh-CN" w:bidi="ar"/>
              </w:rPr>
              <w:t>遂宁市财政局 遂宁市教育局关于下达2024年市本级教育发展资金（现代职业教育提升计划资金）第二批预算的通知</w:t>
            </w:r>
          </w:p>
        </w:tc>
        <w:tc>
          <w:tcPr>
            <w:tcW w:w="2116"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val="0"/>
                <w:bCs w:val="0"/>
                <w:color w:val="000000"/>
                <w:kern w:val="2"/>
                <w:sz w:val="18"/>
                <w:szCs w:val="18"/>
                <w:lang w:val="en-US" w:eastAsia="zh-CN" w:bidi="ar"/>
              </w:rPr>
            </w:pPr>
            <w:r>
              <w:rPr>
                <w:rFonts w:hint="eastAsia" w:ascii="Times New Roman" w:hAnsi="Times New Roman" w:eastAsia="宋体" w:cs="宋体"/>
                <w:b w:val="0"/>
                <w:bCs w:val="0"/>
                <w:color w:val="000000"/>
                <w:sz w:val="18"/>
                <w:szCs w:val="18"/>
                <w:lang w:bidi="ar"/>
              </w:rPr>
              <w:t>遂</w:t>
            </w:r>
            <w:r>
              <w:rPr>
                <w:rFonts w:hint="eastAsia" w:ascii="Times New Roman" w:hAnsi="Times New Roman" w:eastAsia="宋体" w:cs="宋体"/>
                <w:b w:val="0"/>
                <w:bCs w:val="0"/>
                <w:color w:val="000000"/>
                <w:sz w:val="18"/>
                <w:szCs w:val="18"/>
                <w:lang w:eastAsia="zh-CN" w:bidi="ar"/>
              </w:rPr>
              <w:t>财</w:t>
            </w:r>
            <w:r>
              <w:rPr>
                <w:rFonts w:hint="eastAsia" w:ascii="Times New Roman" w:hAnsi="Times New Roman" w:eastAsia="宋体" w:cs="宋体"/>
                <w:b w:val="0"/>
                <w:bCs w:val="0"/>
                <w:color w:val="000000"/>
                <w:sz w:val="18"/>
                <w:szCs w:val="18"/>
                <w:lang w:bidi="ar"/>
              </w:rPr>
              <w:t>教〔202</w:t>
            </w:r>
            <w:r>
              <w:rPr>
                <w:rFonts w:hint="eastAsia" w:ascii="Times New Roman" w:hAnsi="Times New Roman" w:eastAsia="宋体" w:cs="宋体"/>
                <w:b w:val="0"/>
                <w:bCs w:val="0"/>
                <w:color w:val="000000"/>
                <w:sz w:val="18"/>
                <w:szCs w:val="18"/>
                <w:lang w:val="en-US" w:eastAsia="zh-CN" w:bidi="ar"/>
              </w:rPr>
              <w:t>4</w:t>
            </w:r>
            <w:r>
              <w:rPr>
                <w:rFonts w:hint="eastAsia" w:ascii="Times New Roman" w:hAnsi="Times New Roman" w:eastAsia="宋体" w:cs="宋体"/>
                <w:b w:val="0"/>
                <w:bCs w:val="0"/>
                <w:color w:val="000000"/>
                <w:sz w:val="18"/>
                <w:szCs w:val="18"/>
                <w:lang w:bidi="ar"/>
              </w:rPr>
              <w:t>〕</w:t>
            </w:r>
            <w:r>
              <w:rPr>
                <w:rFonts w:hint="eastAsia" w:ascii="Times New Roman" w:hAnsi="Times New Roman" w:eastAsia="宋体" w:cs="宋体"/>
                <w:b w:val="0"/>
                <w:bCs w:val="0"/>
                <w:color w:val="000000"/>
                <w:sz w:val="18"/>
                <w:szCs w:val="18"/>
                <w:lang w:val="en-US" w:eastAsia="zh-CN" w:bidi="ar"/>
              </w:rPr>
              <w:t>106</w:t>
            </w:r>
            <w:r>
              <w:rPr>
                <w:rFonts w:hint="eastAsia" w:ascii="Times New Roman" w:hAnsi="Times New Roman" w:eastAsia="宋体" w:cs="宋体"/>
                <w:b w:val="0"/>
                <w:bCs w:val="0"/>
                <w:color w:val="000000"/>
                <w:sz w:val="18"/>
                <w:szCs w:val="18"/>
                <w:lang w:bidi="ar"/>
              </w:rPr>
              <w:t>号</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624"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val="0"/>
                <w:bCs/>
                <w:color w:val="000000"/>
                <w:sz w:val="18"/>
                <w:szCs w:val="18"/>
                <w:lang w:val="en-US" w:eastAsia="zh-CN"/>
              </w:rPr>
            </w:pPr>
            <w:r>
              <w:rPr>
                <w:rFonts w:hint="eastAsia" w:ascii="Times New Roman" w:hAnsi="Times New Roman" w:eastAsia="宋体" w:cs="宋体"/>
                <w:b w:val="0"/>
                <w:bCs/>
                <w:color w:val="000000"/>
                <w:sz w:val="18"/>
                <w:szCs w:val="18"/>
                <w:lang w:val="en-US" w:eastAsia="zh-CN"/>
              </w:rPr>
              <w:t>12</w:t>
            </w:r>
          </w:p>
        </w:tc>
        <w:tc>
          <w:tcPr>
            <w:tcW w:w="5598"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320" w:lineRule="exact"/>
              <w:jc w:val="center"/>
              <w:textAlignment w:val="auto"/>
              <w:rPr>
                <w:rFonts w:hint="eastAsia" w:ascii="Times New Roman" w:hAnsi="Times New Roman" w:eastAsia="宋体" w:cs="宋体"/>
                <w:b w:val="0"/>
                <w:bCs w:val="0"/>
                <w:color w:val="000000"/>
                <w:kern w:val="2"/>
                <w:sz w:val="18"/>
                <w:szCs w:val="18"/>
                <w:lang w:val="en-US" w:eastAsia="zh-CN" w:bidi="ar"/>
              </w:rPr>
            </w:pPr>
            <w:r>
              <w:rPr>
                <w:rFonts w:hint="eastAsia" w:ascii="Times New Roman" w:hAnsi="Times New Roman" w:eastAsia="宋体" w:cs="宋体"/>
                <w:b w:val="0"/>
                <w:bCs w:val="0"/>
                <w:color w:val="000000"/>
                <w:sz w:val="18"/>
                <w:szCs w:val="18"/>
                <w:lang w:bidi="ar"/>
              </w:rPr>
              <w:t>遂宁市教育和体育局 重庆市潼南区委员会 遂宁市人力资源和社会保障局 遂宁市总工会关于举办202</w:t>
            </w:r>
            <w:r>
              <w:rPr>
                <w:rFonts w:hint="eastAsia" w:ascii="Times New Roman" w:hAnsi="Times New Roman" w:eastAsia="宋体" w:cs="宋体"/>
                <w:b w:val="0"/>
                <w:bCs w:val="0"/>
                <w:color w:val="000000"/>
                <w:sz w:val="18"/>
                <w:szCs w:val="18"/>
                <w:lang w:val="en-US" w:eastAsia="zh-CN" w:bidi="ar"/>
              </w:rPr>
              <w:t>4</w:t>
            </w:r>
            <w:r>
              <w:rPr>
                <w:rFonts w:hint="eastAsia" w:ascii="Times New Roman" w:hAnsi="Times New Roman" w:eastAsia="宋体" w:cs="宋体"/>
                <w:b w:val="0"/>
                <w:bCs w:val="0"/>
                <w:color w:val="000000"/>
                <w:sz w:val="18"/>
                <w:szCs w:val="18"/>
                <w:lang w:bidi="ar"/>
              </w:rPr>
              <w:t>年遂宁市·潼南区中等职业学校</w:t>
            </w:r>
            <w:r>
              <w:rPr>
                <w:rFonts w:hint="eastAsia" w:ascii="Times New Roman" w:hAnsi="Times New Roman" w:eastAsia="宋体" w:cs="宋体"/>
                <w:b w:val="0"/>
                <w:bCs w:val="0"/>
                <w:color w:val="000000"/>
                <w:sz w:val="18"/>
                <w:szCs w:val="18"/>
                <w:lang w:eastAsia="zh-CN" w:bidi="ar"/>
              </w:rPr>
              <w:t>师</w:t>
            </w:r>
            <w:r>
              <w:rPr>
                <w:rFonts w:hint="eastAsia" w:ascii="Times New Roman" w:hAnsi="Times New Roman" w:eastAsia="宋体" w:cs="宋体"/>
                <w:b w:val="0"/>
                <w:bCs w:val="0"/>
                <w:color w:val="000000"/>
                <w:sz w:val="18"/>
                <w:szCs w:val="18"/>
                <w:lang w:bidi="ar"/>
              </w:rPr>
              <w:t>生技能大赛的通知</w:t>
            </w:r>
          </w:p>
        </w:tc>
        <w:tc>
          <w:tcPr>
            <w:tcW w:w="2116"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val="0"/>
                <w:bCs w:val="0"/>
                <w:color w:val="000000"/>
                <w:kern w:val="2"/>
                <w:sz w:val="18"/>
                <w:szCs w:val="18"/>
                <w:lang w:val="en-US" w:eastAsia="zh-CN" w:bidi="ar"/>
              </w:rPr>
            </w:pP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499" w:hRule="atLeast"/>
          <w:tblHeader/>
          <w:jc w:val="center"/>
        </w:trPr>
        <w:tc>
          <w:tcPr>
            <w:tcW w:w="624"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val="0"/>
                <w:bCs/>
                <w:color w:val="000000"/>
                <w:sz w:val="18"/>
                <w:szCs w:val="18"/>
                <w:lang w:val="en-US" w:eastAsia="zh-CN"/>
              </w:rPr>
            </w:pPr>
            <w:r>
              <w:rPr>
                <w:rFonts w:hint="eastAsia" w:ascii="Times New Roman" w:hAnsi="Times New Roman" w:eastAsia="宋体" w:cs="宋体"/>
                <w:b w:val="0"/>
                <w:bCs/>
                <w:color w:val="000000"/>
                <w:sz w:val="18"/>
                <w:szCs w:val="18"/>
                <w:lang w:val="en" w:eastAsia="zh-CN"/>
              </w:rPr>
              <w:t>1</w:t>
            </w:r>
            <w:r>
              <w:rPr>
                <w:rFonts w:hint="eastAsia" w:ascii="Times New Roman" w:hAnsi="Times New Roman" w:eastAsia="宋体" w:cs="宋体"/>
                <w:b w:val="0"/>
                <w:bCs/>
                <w:color w:val="000000"/>
                <w:sz w:val="18"/>
                <w:szCs w:val="18"/>
                <w:lang w:val="en-US" w:eastAsia="zh-CN"/>
              </w:rPr>
              <w:t>3</w:t>
            </w:r>
          </w:p>
        </w:tc>
        <w:tc>
          <w:tcPr>
            <w:tcW w:w="5598"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pStyle w:val="25"/>
              <w:keepNext w:val="0"/>
              <w:keepLines w:val="0"/>
              <w:pageBreakBefore w:val="0"/>
              <w:kinsoku/>
              <w:wordWrap/>
              <w:overflowPunct/>
              <w:topLinePunct w:val="0"/>
              <w:autoSpaceDE/>
              <w:autoSpaceDN/>
              <w:bidi w:val="0"/>
              <w:adjustRightInd/>
              <w:snapToGrid/>
              <w:spacing w:before="0" w:beforeAutospacing="0" w:after="0" w:afterAutospacing="0" w:line="320" w:lineRule="exact"/>
              <w:jc w:val="center"/>
              <w:textAlignment w:val="auto"/>
              <w:rPr>
                <w:rFonts w:hint="eastAsia" w:ascii="Times New Roman" w:hAnsi="Times New Roman" w:eastAsia="宋体" w:cs="宋体"/>
                <w:b w:val="0"/>
                <w:bCs w:val="0"/>
                <w:color w:val="000000"/>
                <w:kern w:val="2"/>
                <w:sz w:val="18"/>
                <w:szCs w:val="18"/>
                <w:lang w:val="en-US" w:eastAsia="zh-CN" w:bidi="ar"/>
              </w:rPr>
            </w:pPr>
            <w:r>
              <w:rPr>
                <w:rFonts w:hint="eastAsia" w:ascii="Times New Roman" w:hAnsi="Times New Roman" w:eastAsia="宋体" w:cs="宋体"/>
                <w:b w:val="0"/>
                <w:bCs w:val="0"/>
                <w:color w:val="000000"/>
                <w:sz w:val="18"/>
                <w:szCs w:val="18"/>
                <w:lang w:bidi="ar"/>
              </w:rPr>
              <w:t>2024年遂宁潼南区中等职业学校班主任能力比赛和思想政治教育课程教学能力比赛的通知</w:t>
            </w:r>
          </w:p>
        </w:tc>
        <w:tc>
          <w:tcPr>
            <w:tcW w:w="2116"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宋体"/>
                <w:b w:val="0"/>
                <w:bCs w:val="0"/>
                <w:color w:val="000000"/>
                <w:kern w:val="2"/>
                <w:sz w:val="18"/>
                <w:szCs w:val="18"/>
                <w:lang w:val="en-US" w:eastAsia="zh-CN" w:bidi="ar"/>
              </w:rPr>
            </w:pPr>
          </w:p>
        </w:tc>
      </w:tr>
    </w:tbl>
    <w:p>
      <w:pPr>
        <w:keepNext w:val="0"/>
        <w:keepLines w:val="0"/>
        <w:pageBreakBefore w:val="0"/>
        <w:widowControl w:val="0"/>
        <w:kinsoku/>
        <w:wordWrap/>
        <w:overflowPunct/>
        <w:topLinePunct w:val="0"/>
        <w:autoSpaceDE/>
        <w:autoSpaceDN/>
        <w:bidi w:val="0"/>
        <w:adjustRightInd/>
        <w:snapToGrid/>
        <w:spacing w:line="240" w:lineRule="exact"/>
        <w:textAlignment w:val="auto"/>
        <w:rPr>
          <w:color w:val="FF0000"/>
        </w:rPr>
      </w:pPr>
    </w:p>
    <w:p>
      <w:pPr>
        <w:spacing w:line="560" w:lineRule="exact"/>
        <w:ind w:firstLine="602" w:firstLineChars="200"/>
        <w:outlineLvl w:val="1"/>
        <w:rPr>
          <w:rFonts w:hint="eastAsia" w:ascii="Times New Roman" w:hAnsi="Times New Roman" w:eastAsia="楷体" w:cs="Times New Roman"/>
          <w:b/>
          <w:bCs/>
          <w:color w:val="auto"/>
          <w:sz w:val="30"/>
          <w:szCs w:val="30"/>
          <w:highlight w:val="none"/>
          <w:lang w:val="en-US" w:eastAsia="zh-CN"/>
        </w:rPr>
      </w:pPr>
      <w:bookmarkStart w:id="408" w:name="_Toc28099"/>
      <w:r>
        <w:rPr>
          <w:rFonts w:hint="eastAsia" w:ascii="Times New Roman" w:hAnsi="Times New Roman" w:eastAsia="楷体" w:cs="Times New Roman"/>
          <w:b/>
          <w:bCs/>
          <w:color w:val="auto"/>
          <w:sz w:val="30"/>
          <w:szCs w:val="30"/>
          <w:highlight w:val="none"/>
          <w:lang w:val="en-US" w:eastAsia="zh-CN"/>
        </w:rPr>
        <w:t>7</w:t>
      </w:r>
      <w:r>
        <w:rPr>
          <w:rFonts w:hint="eastAsia" w:ascii="Times New Roman" w:hAnsi="Times New Roman" w:eastAsia="楷体" w:cs="Times New Roman"/>
          <w:b/>
          <w:bCs/>
          <w:color w:val="auto"/>
          <w:sz w:val="30"/>
          <w:szCs w:val="30"/>
          <w:highlight w:val="none"/>
        </w:rPr>
        <w:t>.</w:t>
      </w:r>
      <w:r>
        <w:rPr>
          <w:rFonts w:hint="eastAsia" w:ascii="Times New Roman" w:hAnsi="Times New Roman" w:eastAsia="楷体" w:cs="Times New Roman"/>
          <w:b/>
          <w:bCs/>
          <w:color w:val="auto"/>
          <w:sz w:val="30"/>
          <w:szCs w:val="30"/>
          <w:highlight w:val="none"/>
          <w:lang w:val="en-US" w:eastAsia="zh-CN"/>
        </w:rPr>
        <w:t>9</w:t>
      </w:r>
      <w:r>
        <w:rPr>
          <w:rFonts w:hint="eastAsia" w:ascii="Times New Roman" w:hAnsi="Times New Roman" w:eastAsia="楷体" w:cs="Times New Roman"/>
          <w:b/>
          <w:bCs/>
          <w:color w:val="auto"/>
          <w:sz w:val="30"/>
          <w:szCs w:val="30"/>
          <w:highlight w:val="none"/>
        </w:rPr>
        <w:t xml:space="preserve"> </w:t>
      </w:r>
      <w:bookmarkEnd w:id="402"/>
      <w:r>
        <w:rPr>
          <w:rFonts w:hint="eastAsia" w:ascii="Times New Roman" w:hAnsi="Times New Roman" w:eastAsia="楷体" w:cs="Times New Roman"/>
          <w:b/>
          <w:bCs/>
          <w:color w:val="auto"/>
          <w:sz w:val="30"/>
          <w:szCs w:val="30"/>
          <w:highlight w:val="none"/>
        </w:rPr>
        <w:t>质量保障</w:t>
      </w:r>
      <w:bookmarkEnd w:id="403"/>
      <w:bookmarkEnd w:id="404"/>
      <w:bookmarkEnd w:id="405"/>
      <w:bookmarkEnd w:id="406"/>
      <w:bookmarkEnd w:id="408"/>
      <w:r>
        <w:rPr>
          <w:rFonts w:hint="eastAsia" w:ascii="Times New Roman" w:hAnsi="Times New Roman" w:eastAsia="楷体" w:cs="Times New Roman"/>
          <w:b/>
          <w:bCs/>
          <w:color w:val="auto"/>
          <w:sz w:val="30"/>
          <w:szCs w:val="30"/>
          <w:highlight w:val="none"/>
        </w:rPr>
        <w:t xml:space="preserve">  </w:t>
      </w:r>
      <w:bookmarkStart w:id="409" w:name="_Toc91576156"/>
      <w:bookmarkStart w:id="410" w:name="_Toc8862"/>
      <w:bookmarkStart w:id="411" w:name="_Toc26996"/>
      <w:bookmarkStart w:id="412" w:name="_Toc905"/>
      <w:bookmarkStart w:id="413" w:name="_Toc6759"/>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bookmarkStart w:id="414" w:name="_Toc20768"/>
      <w:bookmarkStart w:id="415" w:name="_Toc14446"/>
      <w:bookmarkStart w:id="416" w:name="_Toc1466"/>
      <w:bookmarkStart w:id="417" w:name="_Toc27334"/>
      <w:r>
        <w:rPr>
          <w:rFonts w:hint="eastAsia" w:ascii="Times New Roman" w:hAnsi="Times New Roman" w:eastAsia="宋体" w:cs="仿宋"/>
          <w:color w:val="auto"/>
          <w:sz w:val="24"/>
          <w:szCs w:val="24"/>
          <w:highlight w:val="none"/>
          <w:lang w:val="en-US" w:eastAsia="zh-CN"/>
        </w:rPr>
        <w:t>遂宁市中等职业教育以构建现代职教体系为目标，系统构建了“七大质量评价机制”。</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一是技能大赛常态机制。中等职业教育连续23年举办全市中等职业教育技能大赛，形成了“普通教育有高考，职业教育有技能大赛”和“武有专业技能大赛、文有文明风采大赛”的常态机制。以技能竞赛为抓手，有力地促进学生专业技能水平提高。</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二是专业课抽考常态机制。中等职业教育连续22年对我市优势产业和战略性新兴产业深度融合的专业进行了专业抽考，提高了中职学生的专业素养和技术技能水平。</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三是公共基础课会考监管机制。中等职业教育连续22年对语文、数学、英语、计算机应用基础等公共基础课进行会考。促使学生掌握必要的文化基础知识，提高人文素养和终身学习能力。</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四是就业率纳入目标考核的保障机制。把初始就业率、就业巩固率、专业对口就业率三个基础指标，纳入对区、县教育局和各中职学校的年终目标考核，以此分析学校在人才培养质量方面的各要素，体现以就业为导向的教育方针。</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五是巩固率纳入督查的通报机制。录取学生报到率以及学生不同学年流失率从一个侧面反映了社会、家长、学生对学校认可度。将各中职学校的报到率和巩固率作为对学校教育质量监测的过程管理指标，适时进行通报。</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六是提升企业满意度的合作机制。对到企业顶岗实习或就业的中职学生及家长进行满意度测评，构建以企业满意为目标的校企合作新机制，来争取企业支持，以探索集团化办学、校企深度合作的新途径，利用来自企业、社会的反馈信息促进学校教育质量提高。</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七是建立重点项目动态管理机制。开展示范校、市级重点专业创建活动。对国示、国重、省重、省、市重专业、实训基地依托教指委、行指委、校企合作委等中介机构每三年进行一次复评，实行动态管理，调整提升职教办学资源、条件和社会效益。</w:t>
      </w:r>
    </w:p>
    <w:p>
      <w:pPr>
        <w:pStyle w:val="40"/>
        <w:keepNext w:val="0"/>
        <w:keepLines w:val="0"/>
        <w:pageBreakBefore w:val="0"/>
        <w:widowControl w:val="0"/>
        <w:kinsoku/>
        <w:wordWrap/>
        <w:overflowPunct/>
        <w:topLinePunct w:val="0"/>
        <w:autoSpaceDE/>
        <w:autoSpaceDN/>
        <w:bidi w:val="0"/>
        <w:adjustRightInd/>
        <w:snapToGrid w:val="0"/>
        <w:spacing w:line="560" w:lineRule="exact"/>
        <w:ind w:firstLine="602" w:firstLineChars="200"/>
        <w:jc w:val="both"/>
        <w:textAlignment w:val="auto"/>
        <w:outlineLvl w:val="1"/>
        <w:rPr>
          <w:rFonts w:hint="default" w:ascii="Times New Roman" w:hAnsi="Times New Roman" w:eastAsia="楷体" w:cs="Times New Roman"/>
          <w:b/>
          <w:bCs/>
          <w:color w:val="auto"/>
          <w:kern w:val="2"/>
          <w:sz w:val="30"/>
          <w:szCs w:val="30"/>
          <w:highlight w:val="none"/>
          <w:lang w:val="en-US" w:eastAsia="zh-CN" w:bidi="ar-SA"/>
        </w:rPr>
      </w:pPr>
      <w:bookmarkStart w:id="418" w:name="_Toc5645"/>
      <w:r>
        <w:rPr>
          <w:rFonts w:hint="eastAsia" w:ascii="Times New Roman" w:hAnsi="Times New Roman" w:eastAsia="楷体" w:cs="Times New Roman"/>
          <w:b/>
          <w:bCs/>
          <w:color w:val="auto"/>
          <w:kern w:val="2"/>
          <w:sz w:val="30"/>
          <w:szCs w:val="30"/>
          <w:highlight w:val="none"/>
          <w:lang w:val="en-US" w:eastAsia="zh-CN" w:bidi="ar-SA"/>
        </w:rPr>
        <w:t>7.10 合规性检查</w:t>
      </w:r>
      <w:bookmarkEnd w:id="414"/>
      <w:bookmarkEnd w:id="415"/>
      <w:bookmarkEnd w:id="416"/>
      <w:bookmarkEnd w:id="417"/>
      <w:bookmarkEnd w:id="418"/>
      <w:r>
        <w:rPr>
          <w:rFonts w:hint="eastAsia" w:ascii="Times New Roman" w:hAnsi="Times New Roman" w:eastAsia="楷体" w:cs="Times New Roman"/>
          <w:b/>
          <w:bCs/>
          <w:color w:val="auto"/>
          <w:kern w:val="2"/>
          <w:sz w:val="30"/>
          <w:szCs w:val="30"/>
          <w:highlight w:val="none"/>
          <w:lang w:val="en-US" w:eastAsia="zh-CN" w:bidi="ar-SA"/>
        </w:rPr>
        <w:t xml:space="preserve"> </w:t>
      </w:r>
    </w:p>
    <w:p>
      <w:pPr>
        <w:spacing w:line="560" w:lineRule="exact"/>
        <w:ind w:firstLine="562" w:firstLineChars="200"/>
        <w:outlineLvl w:val="2"/>
        <w:rPr>
          <w:rFonts w:hint="default"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 xml:space="preserve">7.10.1 </w:t>
      </w:r>
      <w:r>
        <w:rPr>
          <w:rFonts w:hint="default" w:ascii="Times New Roman" w:hAnsi="Times New Roman" w:eastAsia="宋体" w:cs="Times New Roman"/>
          <w:b/>
          <w:bCs/>
          <w:color w:val="auto"/>
          <w:sz w:val="28"/>
          <w:szCs w:val="28"/>
          <w:highlight w:val="none"/>
          <w:lang w:val="en-US" w:eastAsia="zh-CN"/>
        </w:rPr>
        <w:t>严格规范招生行为</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default" w:ascii="Times New Roman" w:hAnsi="Times New Roman" w:eastAsia="宋体" w:cs="仿宋"/>
          <w:color w:val="auto"/>
          <w:sz w:val="24"/>
          <w:szCs w:val="24"/>
          <w:highlight w:val="none"/>
          <w:lang w:val="en-US" w:eastAsia="zh-CN"/>
        </w:rPr>
        <w:t>各中职学校都能严格执行中职招生</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五禁五不</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，高校招生</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十严禁</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30个不得</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八项基本要求</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等纪律要求。中职学校采取</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市、县（区）统一，县（市、区）联动，统分结合，审批录取，集中注册</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的招生机制。</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一是健全招生信息公开制度。</w:t>
      </w:r>
      <w:r>
        <w:rPr>
          <w:rFonts w:hint="default" w:ascii="Times New Roman" w:hAnsi="Times New Roman" w:eastAsia="宋体" w:cs="仿宋"/>
          <w:color w:val="auto"/>
          <w:sz w:val="24"/>
          <w:szCs w:val="24"/>
          <w:highlight w:val="none"/>
          <w:lang w:val="en-US" w:eastAsia="zh-CN"/>
        </w:rPr>
        <w:t>市教育局严把各招生学校对外公开招生简章的核审关，力求公开的信息要素全面、内容真实。</w:t>
      </w:r>
      <w:r>
        <w:rPr>
          <w:rFonts w:hint="eastAsia" w:ascii="Times New Roman" w:hAnsi="Times New Roman" w:eastAsia="宋体" w:cs="仿宋"/>
          <w:color w:val="auto"/>
          <w:sz w:val="24"/>
          <w:szCs w:val="24"/>
          <w:highlight w:val="none"/>
          <w:lang w:val="en-US" w:eastAsia="zh-CN"/>
        </w:rPr>
        <w:t>审核</w:t>
      </w:r>
      <w:r>
        <w:rPr>
          <w:rFonts w:hint="default" w:ascii="Times New Roman" w:hAnsi="Times New Roman" w:eastAsia="宋体" w:cs="仿宋"/>
          <w:color w:val="auto"/>
          <w:sz w:val="24"/>
          <w:szCs w:val="24"/>
          <w:highlight w:val="none"/>
          <w:lang w:val="en-US" w:eastAsia="zh-CN"/>
        </w:rPr>
        <w:t>通过后的招生信息（招生简章）及时在市教育局网站上向社会发布。由初中毕业学生及其家长自主选择学校和专业，并填报志愿。由市教育局统一组织高中阶段学校，进行分批录取，并由招生学校发放录取通知书。</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二是实行诚信招生。</w:t>
      </w:r>
      <w:r>
        <w:rPr>
          <w:rFonts w:hint="default" w:ascii="Times New Roman" w:hAnsi="Times New Roman" w:eastAsia="宋体" w:cs="仿宋"/>
          <w:color w:val="auto"/>
          <w:sz w:val="24"/>
          <w:szCs w:val="24"/>
          <w:highlight w:val="none"/>
          <w:lang w:val="en-US" w:eastAsia="zh-CN"/>
        </w:rPr>
        <w:t>各中职学校开展了诚信招生承诺活动，严格执行招生宣传不造假、不浮夸、不文过饰非</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将宣传重点集中在学校的性质、特征、政策和学校办学的优势、特色、亮点等内容上。招生程序依规合法、公正透明，投档、录取、退档的每个环节流程清晰、依据充分。杜绝了虚假招生宣传及招生中散布不实信息诋毁</w:t>
      </w:r>
      <w:r>
        <w:rPr>
          <w:rFonts w:hint="eastAsia" w:ascii="Times New Roman" w:hAnsi="Times New Roman" w:eastAsia="宋体" w:cs="仿宋"/>
          <w:color w:val="auto"/>
          <w:sz w:val="24"/>
          <w:szCs w:val="24"/>
          <w:highlight w:val="none"/>
          <w:lang w:val="en-US" w:eastAsia="zh-CN"/>
        </w:rPr>
        <w:t>其他</w:t>
      </w:r>
      <w:r>
        <w:rPr>
          <w:rFonts w:hint="default" w:ascii="Times New Roman" w:hAnsi="Times New Roman" w:eastAsia="宋体" w:cs="仿宋"/>
          <w:color w:val="auto"/>
          <w:sz w:val="24"/>
          <w:szCs w:val="24"/>
          <w:highlight w:val="none"/>
          <w:lang w:val="en-US" w:eastAsia="zh-CN"/>
        </w:rPr>
        <w:t xml:space="preserve">学校的行为，严禁有偿招生和买卖学生的行为，严查生源学校违规送生行为，杜绝了有偿招送生，从源头上斩断灰色利益链条。没有未经省级公示和不具备中等职业学历教育招生的学校或机构。 </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三是从严规范中职教育收费。</w:t>
      </w:r>
      <w:r>
        <w:rPr>
          <w:rFonts w:hint="default" w:ascii="Times New Roman" w:hAnsi="Times New Roman" w:eastAsia="宋体" w:cs="仿宋"/>
          <w:color w:val="auto"/>
          <w:sz w:val="24"/>
          <w:szCs w:val="24"/>
          <w:highlight w:val="none"/>
          <w:lang w:val="en-US" w:eastAsia="zh-CN"/>
        </w:rPr>
        <w:t>中职教育收费坚持按学校类别和隶属关系报教育行政部门或者</w:t>
      </w:r>
      <w:r>
        <w:rPr>
          <w:rFonts w:hint="eastAsia" w:ascii="Times New Roman" w:hAnsi="Times New Roman" w:eastAsia="宋体" w:cs="仿宋"/>
          <w:color w:val="auto"/>
          <w:sz w:val="24"/>
          <w:szCs w:val="24"/>
          <w:highlight w:val="none"/>
          <w:lang w:val="en-US" w:eastAsia="zh-CN"/>
        </w:rPr>
        <w:t>劳动</w:t>
      </w:r>
      <w:r>
        <w:rPr>
          <w:rFonts w:hint="default" w:ascii="Times New Roman" w:hAnsi="Times New Roman" w:eastAsia="宋体" w:cs="仿宋"/>
          <w:color w:val="auto"/>
          <w:sz w:val="24"/>
          <w:szCs w:val="24"/>
          <w:highlight w:val="none"/>
          <w:lang w:val="en-US" w:eastAsia="zh-CN"/>
        </w:rPr>
        <w:t>保障部门审核，报价格主管部门批准、公示，教育收费实行审核制。</w:t>
      </w:r>
    </w:p>
    <w:p>
      <w:pPr>
        <w:spacing w:line="560" w:lineRule="exact"/>
        <w:ind w:firstLine="562" w:firstLineChars="200"/>
        <w:outlineLvl w:val="2"/>
        <w:rPr>
          <w:rFonts w:hint="default"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 xml:space="preserve">7.10.2 </w:t>
      </w:r>
      <w:r>
        <w:rPr>
          <w:rFonts w:hint="default" w:ascii="Times New Roman" w:hAnsi="Times New Roman" w:eastAsia="宋体" w:cs="Times New Roman"/>
          <w:b/>
          <w:bCs/>
          <w:color w:val="auto"/>
          <w:sz w:val="28"/>
          <w:szCs w:val="28"/>
          <w:highlight w:val="none"/>
          <w:lang w:val="en-US" w:eastAsia="zh-CN"/>
        </w:rPr>
        <w:t>规范实习组织管理</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default" w:ascii="Times New Roman" w:hAnsi="Times New Roman" w:eastAsia="宋体" w:cs="仿宋"/>
          <w:color w:val="auto"/>
          <w:sz w:val="24"/>
          <w:szCs w:val="24"/>
          <w:highlight w:val="none"/>
          <w:lang w:val="en-US" w:eastAsia="zh-CN"/>
        </w:rPr>
        <w:t>高度重视岗位实习工作，层层严格把关，明确工作流程，严格按照：考察实习企业→优选实习企业→培训实习学生→签订实习协议→购买实习保险→制定实习计划→制定实习方案→主管部门意见→市教育局备案→省厅备案（跨省实习）。各中职学校都能严格落实职业学校学生实习管理规定情况，特别是对严格落实</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1</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严禁，</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27</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个不得，通过排查没有发现中职学校通过中介机构安排学生去企业实习并收取企业费用，没有一年级在校学生和未满16周岁的学生进行岗位实习等违规行为。</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default" w:ascii="Times New Roman" w:hAnsi="Times New Roman" w:eastAsia="宋体" w:cs="仿宋"/>
          <w:color w:val="auto"/>
          <w:sz w:val="24"/>
          <w:szCs w:val="24"/>
          <w:highlight w:val="none"/>
          <w:lang w:val="en-US" w:eastAsia="zh-CN"/>
        </w:rPr>
        <w:t>一是建章立制。各校都能结合学校实际制定相关规章制度。顶岗实习管理细则、顶岗实习信息管理工作规程、实习实训安全制度、学生顶岗实习手册、学生实习报批备案制度等制度性文件，制定学生实习工作具体管理办法和安全管理规定、实习学生安全及突发事件应急预案等制度，确保了实习有序开展。</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default" w:ascii="Times New Roman" w:hAnsi="Times New Roman" w:eastAsia="宋体" w:cs="仿宋"/>
          <w:color w:val="auto"/>
          <w:sz w:val="24"/>
          <w:szCs w:val="24"/>
          <w:highlight w:val="none"/>
          <w:lang w:val="en-US" w:eastAsia="zh-CN"/>
        </w:rPr>
        <w:t>二是签订协议。各中职学校签订相关协议。职业学校、实习单位、学生三方签订实习协议、学校与实习指导老师签订目标责任书、指导教师与学生签订安全教育协议和安全协议、学生和家长与实习单位签订实习协议等，切实加强了对实习工作的指导和监管。</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default" w:ascii="Times New Roman" w:hAnsi="Times New Roman" w:eastAsia="宋体" w:cs="仿宋"/>
          <w:color w:val="auto"/>
          <w:sz w:val="24"/>
          <w:szCs w:val="24"/>
          <w:highlight w:val="none"/>
          <w:lang w:val="en-US" w:eastAsia="zh-CN"/>
        </w:rPr>
        <w:t>三是优选企业。学校领导带队考察企业，重点对单位资质、诚信状况、管理水平、实习岗位性质和内容、工作时间、工作环境、生活环境以及健康保障、安全防护等进行考察并形成考察报告，学校都能在大中型国有企业和中外合资企业中安排学生实习，确保实习学生身心健康。</w:t>
      </w:r>
    </w:p>
    <w:p>
      <w:pPr>
        <w:spacing w:line="560" w:lineRule="exact"/>
        <w:ind w:firstLine="480" w:firstLineChars="200"/>
        <w:rPr>
          <w:rFonts w:hint="default" w:ascii="Times New Roman" w:hAnsi="Times New Roman" w:eastAsia="宋体" w:cs="仿宋"/>
          <w:color w:val="auto"/>
          <w:kern w:val="2"/>
          <w:sz w:val="24"/>
          <w:szCs w:val="24"/>
          <w:lang w:val="en-US" w:eastAsia="zh-CN" w:bidi="ar-SA"/>
        </w:rPr>
      </w:pPr>
      <w:r>
        <w:rPr>
          <w:rFonts w:hint="default" w:ascii="Times New Roman" w:hAnsi="Times New Roman" w:eastAsia="宋体" w:cs="仿宋"/>
          <w:color w:val="auto"/>
          <w:sz w:val="24"/>
          <w:szCs w:val="24"/>
          <w:highlight w:val="none"/>
          <w:lang w:val="en-US" w:eastAsia="zh-CN"/>
        </w:rPr>
        <w:t>四是强化管理。学校均派出品德好、责任心强、经验丰</w:t>
      </w:r>
      <w:r>
        <w:rPr>
          <w:rFonts w:hint="eastAsia" w:ascii="Times New Roman" w:hAnsi="Times New Roman" w:eastAsia="宋体" w:cs="仿宋"/>
          <w:color w:val="auto"/>
          <w:sz w:val="24"/>
          <w:szCs w:val="24"/>
          <w:highlight w:val="none"/>
          <w:lang w:val="en-US" w:eastAsia="zh-CN"/>
        </w:rPr>
        <w:t>富的</w:t>
      </w:r>
      <w:r>
        <w:rPr>
          <w:rFonts w:hint="default" w:ascii="Times New Roman" w:hAnsi="Times New Roman" w:eastAsia="宋体" w:cs="仿宋"/>
          <w:color w:val="auto"/>
          <w:sz w:val="24"/>
          <w:szCs w:val="24"/>
          <w:highlight w:val="none"/>
          <w:lang w:val="en-US" w:eastAsia="zh-CN"/>
        </w:rPr>
        <w:t xml:space="preserve">带队管理教师驻厂，跟踪学生的实习工作，学生时时都能感受到学校和老师的关怀与教育，带队教师每月将学生的实习情况进行总结并反馈学校，学校根据学生的实习情况，对带队老师的工作进行量化考核，学校领导也经常到学生实习企业关心学生工作、生活情况，督察带队教师工作，并要求带队教师深入企业生产第一线与学生一起同工同酬，没有发现克扣或拖欠学生报酬的现象。     </w:t>
      </w:r>
      <w:r>
        <w:rPr>
          <w:rFonts w:hint="default" w:ascii="Times New Roman" w:hAnsi="Times New Roman" w:eastAsia="宋体" w:cs="仿宋"/>
          <w:color w:val="auto"/>
          <w:kern w:val="2"/>
          <w:sz w:val="24"/>
          <w:szCs w:val="24"/>
          <w:lang w:val="en-US" w:eastAsia="zh-CN" w:bidi="ar-SA"/>
        </w:rPr>
        <w:t xml:space="preserve">  </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default" w:ascii="Times New Roman" w:hAnsi="Times New Roman" w:eastAsia="宋体" w:cs="仿宋"/>
          <w:color w:val="auto"/>
          <w:sz w:val="24"/>
          <w:szCs w:val="24"/>
          <w:highlight w:val="none"/>
          <w:lang w:val="en-US" w:eastAsia="zh-CN"/>
        </w:rPr>
        <w:t>五是规范渠道。学校均未找中介公司联系实习，没有发现借学生实习名义与实习企业进行利益输送，收取劳务费、中介费的现象，对收取的车费、办证费等均进行了公示，没有发生拖欠学生工资的现象，确保了学生的利益。</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default" w:ascii="Times New Roman" w:hAnsi="Times New Roman" w:eastAsia="宋体" w:cs="仿宋"/>
          <w:color w:val="auto"/>
          <w:sz w:val="24"/>
          <w:szCs w:val="24"/>
          <w:highlight w:val="none"/>
          <w:lang w:val="en-US" w:eastAsia="zh-CN"/>
        </w:rPr>
        <w:t>六是购买保险。按照《职业学校学生实习管理规定》，实习企业都对学生购买了所有实习学生意外伤害险，学校也为学生购买了校方责任险，保险覆盖学生实习全过程。</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default" w:ascii="Times New Roman" w:hAnsi="Times New Roman" w:eastAsia="宋体" w:cs="仿宋"/>
          <w:color w:val="auto"/>
          <w:sz w:val="24"/>
          <w:szCs w:val="24"/>
          <w:highlight w:val="none"/>
          <w:lang w:val="en-US" w:eastAsia="zh-CN"/>
        </w:rPr>
        <w:t>七是完善考核。职业学校将学生实习考核纳入学业评价，考核成绩作为毕业的重要依据，会同实习单位完善过程性考核与结果性考核有机结合的实习考核制度，根据实习目标、学生实习岗位职责要求制订具体考核方式和标准，共同实施考核。</w:t>
      </w:r>
    </w:p>
    <w:p>
      <w:pPr>
        <w:spacing w:line="560" w:lineRule="exact"/>
        <w:ind w:firstLine="562" w:firstLineChars="200"/>
        <w:outlineLvl w:val="2"/>
        <w:rPr>
          <w:rFonts w:hint="default"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 xml:space="preserve">7.10.3 </w:t>
      </w:r>
      <w:r>
        <w:rPr>
          <w:rFonts w:hint="default" w:ascii="Times New Roman" w:hAnsi="Times New Roman" w:eastAsia="宋体" w:cs="Times New Roman"/>
          <w:b/>
          <w:bCs/>
          <w:color w:val="auto"/>
          <w:sz w:val="28"/>
          <w:szCs w:val="28"/>
          <w:highlight w:val="none"/>
          <w:lang w:val="en-US" w:eastAsia="zh-CN"/>
        </w:rPr>
        <w:t>规范中职学籍管理</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default" w:ascii="Times New Roman" w:hAnsi="Times New Roman" w:eastAsia="宋体" w:cs="仿宋"/>
          <w:color w:val="auto"/>
          <w:sz w:val="24"/>
          <w:szCs w:val="24"/>
          <w:highlight w:val="none"/>
          <w:lang w:val="en-US" w:eastAsia="zh-CN"/>
        </w:rPr>
        <w:t>中职学校都能严格落实《中等职业学校学生学籍管理办法》《关于进一步加强中等职业学校学生学籍管理工作的通知》《中等职业学历教育学生学籍电子注册办法（试行）</w:t>
      </w:r>
      <w:r>
        <w:rPr>
          <w:rFonts w:hint="eastAsia" w:ascii="Times New Roman" w:hAnsi="Times New Roman" w:eastAsia="宋体" w:cs="仿宋"/>
          <w:color w:val="auto"/>
          <w:sz w:val="24"/>
          <w:szCs w:val="24"/>
          <w:highlight w:val="none"/>
          <w:lang w:val="en-US" w:eastAsia="zh-CN"/>
        </w:rPr>
        <w:t>》等</w:t>
      </w:r>
      <w:r>
        <w:rPr>
          <w:rFonts w:hint="default" w:ascii="Times New Roman" w:hAnsi="Times New Roman" w:eastAsia="宋体" w:cs="仿宋"/>
          <w:color w:val="auto"/>
          <w:sz w:val="24"/>
          <w:szCs w:val="24"/>
          <w:highlight w:val="none"/>
          <w:lang w:val="en-US" w:eastAsia="zh-CN"/>
        </w:rPr>
        <w:t>文件精神，各中职学校都成立了学籍管理办公室，落实了专人管理学籍，明确职责，严格按照相关规定切实规范中职学生学籍管理。充分利用全国中等职业学校学生信息管理系统，加强学籍电子注册，严格落实</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一人一籍</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制度；加强学籍异动、学生信息变更等环节的审核管理，及时处理休复转退学生学籍信息，把网上审核与实地核实相结合，确保网实相符，特别是做好了对问题学籍、双重学籍、大龄人群、</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在籍不在校</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、以虚假信息注册中职学生学籍的核查工作，坚决杜绝违规非法注册学生学籍、注册双重学籍、虚报学籍、空挂学籍、滞留流失学生学籍、违规颁发职业资格证书和学历证书等行为；严格执行</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人籍一致</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和</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籍随人走</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原则，学生毕业后都能及时为其办理毕业证、毕业档案等相关资料，学籍系统及时更新毕业信息、就业信息。</w:t>
      </w:r>
    </w:p>
    <w:p>
      <w:pPr>
        <w:spacing w:line="560" w:lineRule="exact"/>
        <w:ind w:firstLine="562" w:firstLineChars="200"/>
        <w:outlineLvl w:val="2"/>
        <w:rPr>
          <w:rFonts w:hint="default"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 xml:space="preserve">7.10.4 </w:t>
      </w:r>
      <w:r>
        <w:rPr>
          <w:rFonts w:hint="default" w:ascii="Times New Roman" w:hAnsi="Times New Roman" w:eastAsia="宋体" w:cs="Times New Roman"/>
          <w:b/>
          <w:bCs/>
          <w:color w:val="auto"/>
          <w:sz w:val="28"/>
          <w:szCs w:val="28"/>
          <w:highlight w:val="none"/>
          <w:lang w:val="en-US" w:eastAsia="zh-CN"/>
        </w:rPr>
        <w:t>规范校外办学</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default" w:ascii="Times New Roman" w:hAnsi="Times New Roman" w:eastAsia="宋体" w:cs="仿宋"/>
          <w:color w:val="auto"/>
          <w:sz w:val="24"/>
          <w:szCs w:val="24"/>
          <w:highlight w:val="none"/>
          <w:lang w:val="en-US" w:eastAsia="zh-CN"/>
        </w:rPr>
        <w:t>通过清理排查，</w:t>
      </w:r>
      <w:r>
        <w:rPr>
          <w:rFonts w:hint="eastAsia" w:ascii="Times New Roman" w:hAnsi="Times New Roman" w:eastAsia="宋体" w:cs="仿宋"/>
          <w:color w:val="auto"/>
          <w:sz w:val="24"/>
          <w:szCs w:val="24"/>
          <w:highlight w:val="none"/>
          <w:lang w:val="en-US" w:eastAsia="zh-CN"/>
        </w:rPr>
        <w:t>遂宁市</w:t>
      </w:r>
      <w:r>
        <w:rPr>
          <w:rFonts w:hint="default" w:ascii="Times New Roman" w:hAnsi="Times New Roman" w:eastAsia="宋体" w:cs="仿宋"/>
          <w:color w:val="auto"/>
          <w:sz w:val="24"/>
          <w:szCs w:val="24"/>
          <w:highlight w:val="none"/>
          <w:lang w:val="en-US" w:eastAsia="zh-CN"/>
        </w:rPr>
        <w:t>中职学校没有办校外教学点的情况。</w:t>
      </w:r>
    </w:p>
    <w:p>
      <w:pPr>
        <w:spacing w:line="560" w:lineRule="exact"/>
        <w:ind w:firstLine="562" w:firstLineChars="200"/>
        <w:outlineLvl w:val="2"/>
        <w:rPr>
          <w:rFonts w:hint="default"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 xml:space="preserve">7.10.5 </w:t>
      </w:r>
      <w:r>
        <w:rPr>
          <w:rFonts w:hint="default" w:ascii="Times New Roman" w:hAnsi="Times New Roman" w:eastAsia="宋体" w:cs="Times New Roman"/>
          <w:b/>
          <w:bCs/>
          <w:color w:val="auto"/>
          <w:sz w:val="28"/>
          <w:szCs w:val="28"/>
          <w:highlight w:val="none"/>
          <w:lang w:val="en-US" w:eastAsia="zh-CN"/>
        </w:rPr>
        <w:t>强化校园安全管理</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default" w:ascii="Times New Roman" w:hAnsi="Times New Roman" w:eastAsia="宋体" w:cs="仿宋"/>
          <w:color w:val="auto"/>
          <w:sz w:val="24"/>
          <w:szCs w:val="24"/>
          <w:highlight w:val="none"/>
          <w:lang w:val="en-US" w:eastAsia="zh-CN"/>
        </w:rPr>
        <w:t>各校强化责任意识，把确保学校的安全稳定作为重中之重，坚决守住安全底线。全面加强了学校安全管理，标本兼治，重在防范，进一步加强了对全体学生的安全教育，严格执行</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三禁两不</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和</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十不准</w:t>
      </w:r>
      <w:r>
        <w:rPr>
          <w:rFonts w:hint="eastAsia" w:ascii="Times New Roman" w:hAnsi="Times New Roman" w:eastAsia="宋体" w:cs="仿宋"/>
          <w:color w:val="auto"/>
          <w:sz w:val="24"/>
          <w:szCs w:val="24"/>
          <w:highlight w:val="none"/>
          <w:lang w:val="en-US" w:eastAsia="zh-CN"/>
        </w:rPr>
        <w:t>”</w:t>
      </w:r>
      <w:r>
        <w:rPr>
          <w:rFonts w:hint="default" w:ascii="Times New Roman" w:hAnsi="Times New Roman" w:eastAsia="宋体" w:cs="仿宋"/>
          <w:color w:val="auto"/>
          <w:sz w:val="24"/>
          <w:szCs w:val="24"/>
          <w:highlight w:val="none"/>
          <w:lang w:val="en-US" w:eastAsia="zh-CN"/>
        </w:rPr>
        <w:t>纪律规定，健全并落实管理制度和措施。近年来，我市中职学校未发生安全责任事故。</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一是确保食品安全。</w:t>
      </w:r>
      <w:r>
        <w:rPr>
          <w:rFonts w:hint="default" w:ascii="Times New Roman" w:hAnsi="Times New Roman" w:eastAsia="宋体" w:cs="仿宋"/>
          <w:color w:val="auto"/>
          <w:sz w:val="24"/>
          <w:szCs w:val="24"/>
          <w:highlight w:val="none"/>
          <w:lang w:val="en-US" w:eastAsia="zh-CN"/>
        </w:rPr>
        <w:t>全面落实《校园食品安全排查整治专项行动实施方案》，进一步做好食品安全和传染病的防治工作。</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二是做好实验（实训）室安全。</w:t>
      </w:r>
      <w:r>
        <w:rPr>
          <w:rFonts w:hint="default" w:ascii="Times New Roman" w:hAnsi="Times New Roman" w:eastAsia="宋体" w:cs="仿宋"/>
          <w:color w:val="auto"/>
          <w:sz w:val="24"/>
          <w:szCs w:val="24"/>
          <w:highlight w:val="none"/>
          <w:lang w:val="en-US" w:eastAsia="zh-CN"/>
        </w:rPr>
        <w:t>各中职学校都建立了实验（实训）室安全管理制度，重点做好了对易燃、易爆、易制毒、剧毒化学品及生物安全等危险源的管控工作，完善了实验（实训）室分级分类和危险源管控分级管理体系，防范遏制实验实训重大安全事故发生。</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三是加强心理健康教育。</w:t>
      </w:r>
      <w:r>
        <w:rPr>
          <w:rFonts w:hint="default" w:ascii="Times New Roman" w:hAnsi="Times New Roman" w:eastAsia="宋体" w:cs="仿宋"/>
          <w:color w:val="auto"/>
          <w:sz w:val="24"/>
          <w:szCs w:val="24"/>
          <w:highlight w:val="none"/>
          <w:lang w:val="en-US" w:eastAsia="zh-CN"/>
        </w:rPr>
        <w:t>中职学校在每年开学前通过心理健康筛查系统，对每个学生进行心理健康测评，筛选出红色预警、黄色预警的学生。针对红色预警、黄色预警的学生，班主任建立一生一策帮扶档案，及时予以心理干预和心理疏导，给予更多的人文关心、关怀，严防因心理原因引发安全稳定事故。四是</w:t>
      </w:r>
      <w:r>
        <w:rPr>
          <w:rFonts w:hint="eastAsia" w:ascii="Times New Roman" w:hAnsi="Times New Roman" w:eastAsia="宋体" w:cs="仿宋"/>
          <w:color w:val="auto"/>
          <w:sz w:val="24"/>
          <w:szCs w:val="24"/>
          <w:highlight w:val="none"/>
          <w:lang w:val="en-US" w:eastAsia="zh-CN"/>
        </w:rPr>
        <w:t>加大</w:t>
      </w:r>
      <w:r>
        <w:rPr>
          <w:rFonts w:hint="default" w:ascii="Times New Roman" w:hAnsi="Times New Roman" w:eastAsia="宋体" w:cs="仿宋"/>
          <w:color w:val="auto"/>
          <w:sz w:val="24"/>
          <w:szCs w:val="24"/>
          <w:highlight w:val="none"/>
          <w:lang w:val="en-US" w:eastAsia="zh-CN"/>
        </w:rPr>
        <w:t>安全排查力度。各中职学校都建立安全系列台账，安排专人每月进行一次安全专项排查，发现问题，及时整改。启动安全预警机制，落实安全保障措施，特别要加强门卫管理、学生宿舍管理和校园巡逻，对管制刀具等危险物品进行清缴，确保中职学生在校学习的人身安全。</w:t>
      </w:r>
    </w:p>
    <w:bookmarkEnd w:id="164"/>
    <w:bookmarkEnd w:id="165"/>
    <w:bookmarkEnd w:id="166"/>
    <w:bookmarkEnd w:id="307"/>
    <w:bookmarkEnd w:id="308"/>
    <w:bookmarkEnd w:id="309"/>
    <w:bookmarkEnd w:id="310"/>
    <w:bookmarkEnd w:id="409"/>
    <w:bookmarkEnd w:id="410"/>
    <w:bookmarkEnd w:id="411"/>
    <w:bookmarkEnd w:id="412"/>
    <w:bookmarkEnd w:id="413"/>
    <w:p>
      <w:pPr>
        <w:spacing w:line="560" w:lineRule="exact"/>
        <w:ind w:firstLine="602" w:firstLineChars="200"/>
        <w:outlineLvl w:val="1"/>
        <w:rPr>
          <w:rFonts w:hint="eastAsia" w:ascii="Times New Roman" w:hAnsi="Times New Roman" w:eastAsia="楷体" w:cs="Times New Roman"/>
          <w:b/>
          <w:bCs/>
          <w:color w:val="auto"/>
          <w:sz w:val="30"/>
          <w:szCs w:val="30"/>
          <w:highlight w:val="none"/>
          <w:lang w:eastAsia="zh-CN"/>
        </w:rPr>
      </w:pPr>
      <w:bookmarkStart w:id="419" w:name="_Toc21805"/>
      <w:bookmarkStart w:id="420" w:name="_Toc22684"/>
      <w:bookmarkStart w:id="421" w:name="_Toc30725"/>
      <w:bookmarkStart w:id="422" w:name="_Toc31657"/>
      <w:bookmarkStart w:id="423" w:name="_Toc11389"/>
      <w:bookmarkStart w:id="424" w:name="_Toc5441"/>
      <w:r>
        <w:rPr>
          <w:rFonts w:hint="eastAsia" w:ascii="Times New Roman" w:hAnsi="Times New Roman" w:eastAsia="楷体" w:cs="Times New Roman"/>
          <w:b/>
          <w:bCs/>
          <w:color w:val="auto"/>
          <w:sz w:val="30"/>
          <w:szCs w:val="30"/>
          <w:highlight w:val="none"/>
          <w:lang w:val="en-US" w:eastAsia="zh-CN"/>
        </w:rPr>
        <w:t>7</w:t>
      </w:r>
      <w:r>
        <w:rPr>
          <w:rFonts w:hint="eastAsia" w:ascii="Times New Roman" w:hAnsi="Times New Roman" w:eastAsia="楷体" w:cs="Times New Roman"/>
          <w:b/>
          <w:bCs/>
          <w:color w:val="auto"/>
          <w:sz w:val="30"/>
          <w:szCs w:val="30"/>
          <w:highlight w:val="none"/>
        </w:rPr>
        <w:t>.</w:t>
      </w:r>
      <w:r>
        <w:rPr>
          <w:rFonts w:hint="eastAsia" w:ascii="Times New Roman" w:hAnsi="Times New Roman" w:eastAsia="楷体" w:cs="Times New Roman"/>
          <w:b/>
          <w:bCs/>
          <w:color w:val="auto"/>
          <w:sz w:val="30"/>
          <w:szCs w:val="30"/>
          <w:highlight w:val="none"/>
          <w:lang w:val="en-US" w:eastAsia="zh-CN"/>
        </w:rPr>
        <w:t>11</w:t>
      </w:r>
      <w:r>
        <w:rPr>
          <w:rFonts w:hint="eastAsia" w:ascii="Times New Roman" w:hAnsi="Times New Roman" w:eastAsia="楷体" w:cs="Times New Roman"/>
          <w:b/>
          <w:bCs/>
          <w:color w:val="auto"/>
          <w:sz w:val="30"/>
          <w:szCs w:val="30"/>
          <w:highlight w:val="none"/>
        </w:rPr>
        <w:t xml:space="preserve"> 经费投入</w:t>
      </w:r>
      <w:bookmarkEnd w:id="419"/>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2024年，全市各职业学校累计投入23792万元，其中争取中省资金6074万元，用于开展产教融合校企合作、提升信息化建设水平、建设实训基地等方面，职业学校办学条件得到明显改善。各项目投入中省市资金情况见表22。</w:t>
      </w:r>
    </w:p>
    <w:p>
      <w:pPr>
        <w:pStyle w:val="8"/>
        <w:spacing w:line="560" w:lineRule="exact"/>
        <w:jc w:val="center"/>
        <w:rPr>
          <w:rFonts w:hint="eastAsia" w:ascii="Times New Roman" w:hAnsi="Times New Roman" w:eastAsia="宋体" w:cs="宋体"/>
          <w:b/>
          <w:bCs/>
          <w:color w:val="auto"/>
          <w:sz w:val="21"/>
          <w:szCs w:val="21"/>
        </w:rPr>
      </w:pPr>
      <w:bookmarkStart w:id="425" w:name="_Toc20486"/>
      <w:r>
        <w:rPr>
          <w:rFonts w:hint="eastAsia" w:ascii="Times New Roman" w:hAnsi="Times New Roman" w:eastAsia="宋体" w:cs="宋体"/>
          <w:b/>
          <w:bCs/>
          <w:color w:val="auto"/>
          <w:sz w:val="21"/>
          <w:szCs w:val="21"/>
        </w:rPr>
        <w:t>表</w:t>
      </w:r>
      <w:r>
        <w:rPr>
          <w:rFonts w:hint="eastAsia" w:ascii="Times New Roman" w:hAnsi="Times New Roman" w:eastAsia="宋体" w:cs="宋体"/>
          <w:b/>
          <w:bCs/>
          <w:color w:val="auto"/>
          <w:sz w:val="21"/>
          <w:szCs w:val="21"/>
        </w:rPr>
        <w:fldChar w:fldCharType="begin"/>
      </w:r>
      <w:r>
        <w:rPr>
          <w:rFonts w:hint="eastAsia" w:ascii="Times New Roman" w:hAnsi="Times New Roman" w:eastAsia="宋体" w:cs="宋体"/>
          <w:b/>
          <w:bCs/>
          <w:color w:val="auto"/>
          <w:sz w:val="21"/>
          <w:szCs w:val="21"/>
        </w:rPr>
        <w:instrText xml:space="preserve"> SEQ 表 \* ARABIC </w:instrText>
      </w:r>
      <w:r>
        <w:rPr>
          <w:rFonts w:hint="eastAsia" w:ascii="Times New Roman" w:hAnsi="Times New Roman" w:eastAsia="宋体" w:cs="宋体"/>
          <w:b/>
          <w:bCs/>
          <w:color w:val="auto"/>
          <w:sz w:val="21"/>
          <w:szCs w:val="21"/>
        </w:rPr>
        <w:fldChar w:fldCharType="separate"/>
      </w:r>
      <w:r>
        <w:rPr>
          <w:rFonts w:hint="eastAsia" w:ascii="Times New Roman" w:hAnsi="Times New Roman" w:eastAsia="宋体" w:cs="宋体"/>
          <w:b/>
          <w:bCs/>
          <w:color w:val="auto"/>
          <w:sz w:val="21"/>
          <w:szCs w:val="21"/>
        </w:rPr>
        <w:t>22</w:t>
      </w:r>
      <w:r>
        <w:rPr>
          <w:rFonts w:hint="eastAsia" w:ascii="Times New Roman" w:hAnsi="Times New Roman" w:eastAsia="宋体" w:cs="宋体"/>
          <w:b/>
          <w:bCs/>
          <w:color w:val="auto"/>
          <w:sz w:val="21"/>
          <w:szCs w:val="21"/>
        </w:rPr>
        <w:fldChar w:fldCharType="end"/>
      </w:r>
      <w:bookmarkStart w:id="426" w:name="_Toc1794"/>
      <w:r>
        <w:rPr>
          <w:rFonts w:hint="eastAsia" w:ascii="Times New Roman" w:hAnsi="Times New Roman" w:eastAsia="宋体" w:cs="宋体"/>
          <w:b/>
          <w:bCs/>
          <w:color w:val="auto"/>
          <w:sz w:val="21"/>
          <w:szCs w:val="21"/>
          <w:lang w:val="en-US" w:eastAsia="zh-CN"/>
        </w:rPr>
        <w:t xml:space="preserve">  2024年</w:t>
      </w:r>
      <w:r>
        <w:rPr>
          <w:rFonts w:hint="eastAsia" w:ascii="Times New Roman" w:hAnsi="Times New Roman" w:eastAsia="宋体" w:cs="宋体"/>
          <w:b/>
          <w:bCs/>
          <w:color w:val="auto"/>
          <w:sz w:val="21"/>
          <w:szCs w:val="21"/>
        </w:rPr>
        <w:t>各项目投入中省市资金情况</w:t>
      </w:r>
      <w:bookmarkEnd w:id="425"/>
      <w:bookmarkEnd w:id="426"/>
    </w:p>
    <w:p>
      <w:pPr>
        <w:pStyle w:val="40"/>
        <w:rPr>
          <w:color w:val="FF0000"/>
        </w:rPr>
      </w:pPr>
    </w:p>
    <w:tbl>
      <w:tblPr>
        <w:tblStyle w:val="87"/>
        <w:tblW w:w="4750" w:type="pct"/>
        <w:jc w:val="center"/>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Layout w:type="fixed"/>
        <w:tblCellMar>
          <w:top w:w="0" w:type="dxa"/>
          <w:left w:w="108" w:type="dxa"/>
          <w:bottom w:w="0" w:type="dxa"/>
          <w:right w:w="108" w:type="dxa"/>
        </w:tblCellMar>
      </w:tblPr>
      <w:tblGrid>
        <w:gridCol w:w="4771"/>
        <w:gridCol w:w="1846"/>
        <w:gridCol w:w="1479"/>
      </w:tblGrid>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510" w:hRule="exact"/>
          <w:jc w:val="center"/>
        </w:trPr>
        <w:tc>
          <w:tcPr>
            <w:tcW w:w="4771" w:type="dxa"/>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spacing w:line="360" w:lineRule="auto"/>
              <w:jc w:val="center"/>
              <w:rPr>
                <w:rFonts w:ascii="宋体" w:hAnsi="宋体" w:eastAsia="宋体" w:cs="宋体"/>
                <w:b/>
                <w:bCs w:val="0"/>
                <w:color w:val="000000"/>
                <w:sz w:val="18"/>
                <w:szCs w:val="18"/>
              </w:rPr>
            </w:pPr>
            <w:r>
              <w:rPr>
                <w:rFonts w:hint="eastAsia" w:ascii="宋体" w:hAnsi="宋体" w:eastAsia="宋体" w:cs="宋体"/>
                <w:b/>
                <w:bCs w:val="0"/>
                <w:color w:val="000000"/>
                <w:sz w:val="18"/>
                <w:szCs w:val="18"/>
              </w:rPr>
              <w:t>项  目</w:t>
            </w:r>
          </w:p>
        </w:tc>
        <w:tc>
          <w:tcPr>
            <w:tcW w:w="1846" w:type="dxa"/>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spacing w:line="360" w:lineRule="auto"/>
              <w:jc w:val="center"/>
              <w:rPr>
                <w:rFonts w:hint="eastAsia" w:ascii="宋体" w:hAnsi="宋体" w:eastAsia="宋体" w:cs="宋体"/>
                <w:b/>
                <w:bCs w:val="0"/>
                <w:color w:val="000000"/>
                <w:sz w:val="18"/>
                <w:szCs w:val="18"/>
                <w:lang w:eastAsia="zh-CN"/>
              </w:rPr>
            </w:pPr>
            <w:r>
              <w:rPr>
                <w:rFonts w:hint="eastAsia" w:ascii="宋体" w:hAnsi="宋体" w:eastAsia="宋体" w:cs="宋体"/>
                <w:b/>
                <w:bCs w:val="0"/>
                <w:color w:val="000000"/>
                <w:sz w:val="18"/>
                <w:szCs w:val="18"/>
              </w:rPr>
              <w:t>投入资金</w:t>
            </w:r>
            <w:r>
              <w:rPr>
                <w:rFonts w:hint="eastAsia" w:ascii="宋体" w:hAnsi="宋体" w:eastAsia="宋体" w:cs="宋体"/>
                <w:b/>
                <w:bCs w:val="0"/>
                <w:color w:val="000000"/>
                <w:sz w:val="18"/>
                <w:szCs w:val="18"/>
                <w:lang w:eastAsia="zh-CN"/>
              </w:rPr>
              <w:t>（</w:t>
            </w:r>
            <w:r>
              <w:rPr>
                <w:rFonts w:hint="eastAsia" w:ascii="宋体" w:hAnsi="宋体" w:eastAsia="宋体" w:cs="宋体"/>
                <w:b/>
                <w:bCs w:val="0"/>
                <w:color w:val="000000"/>
                <w:sz w:val="18"/>
                <w:szCs w:val="18"/>
                <w:lang w:val="en-US" w:eastAsia="zh-CN"/>
              </w:rPr>
              <w:t>万元</w:t>
            </w:r>
            <w:r>
              <w:rPr>
                <w:rFonts w:hint="eastAsia" w:ascii="宋体" w:hAnsi="宋体" w:eastAsia="宋体" w:cs="宋体"/>
                <w:b/>
                <w:bCs w:val="0"/>
                <w:color w:val="000000"/>
                <w:sz w:val="18"/>
                <w:szCs w:val="18"/>
                <w:lang w:eastAsia="zh-CN"/>
              </w:rPr>
              <w:t>）</w:t>
            </w:r>
          </w:p>
        </w:tc>
        <w:tc>
          <w:tcPr>
            <w:tcW w:w="1479" w:type="dxa"/>
            <w:tcBorders>
              <w:top w:val="single" w:color="ED7D31" w:sz="4" w:space="0"/>
              <w:left w:val="single" w:color="ED7D31" w:sz="4" w:space="0"/>
              <w:bottom w:val="single" w:color="ED7D31" w:sz="4" w:space="0"/>
              <w:right w:val="single" w:color="ED7D31" w:sz="4" w:space="0"/>
              <w:tl2br w:val="nil"/>
              <w:tr2bl w:val="nil"/>
            </w:tcBorders>
            <w:shd w:val="clear" w:color="auto" w:fill="F5B082"/>
            <w:noWrap w:val="0"/>
            <w:vAlign w:val="center"/>
          </w:tcPr>
          <w:p>
            <w:pPr>
              <w:spacing w:line="360" w:lineRule="auto"/>
              <w:jc w:val="center"/>
              <w:rPr>
                <w:rFonts w:ascii="宋体" w:hAnsi="宋体" w:eastAsia="宋体" w:cs="宋体"/>
                <w:b/>
                <w:bCs w:val="0"/>
                <w:color w:val="000000"/>
                <w:sz w:val="18"/>
                <w:szCs w:val="18"/>
              </w:rPr>
            </w:pPr>
            <w:r>
              <w:rPr>
                <w:rFonts w:hint="eastAsia" w:ascii="宋体" w:hAnsi="宋体" w:eastAsia="宋体" w:cs="宋体"/>
                <w:b/>
                <w:bCs w:val="0"/>
                <w:color w:val="000000"/>
                <w:sz w:val="18"/>
                <w:szCs w:val="18"/>
              </w:rPr>
              <w:t>资金来源</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510" w:hRule="exact"/>
          <w:jc w:val="center"/>
        </w:trPr>
        <w:tc>
          <w:tcPr>
            <w:tcW w:w="4771"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spacing w:line="360" w:lineRule="auto"/>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rPr>
              <w:t>中职学校改善办学条件奖补资金</w:t>
            </w:r>
          </w:p>
        </w:tc>
        <w:tc>
          <w:tcPr>
            <w:tcW w:w="1846"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spacing w:line="360" w:lineRule="auto"/>
              <w:jc w:val="center"/>
              <w:rPr>
                <w:rFonts w:hint="default" w:ascii="宋体" w:hAnsi="宋体" w:eastAsia="宋体" w:cs="宋体"/>
                <w:b w:val="0"/>
                <w:bCs w:val="0"/>
                <w:color w:val="000000"/>
                <w:sz w:val="18"/>
                <w:szCs w:val="18"/>
                <w:lang w:val="en-US" w:eastAsia="zh-CN"/>
              </w:rPr>
            </w:pPr>
            <w:r>
              <w:rPr>
                <w:rFonts w:hint="eastAsia" w:ascii="Times New Roman" w:hAnsi="Times New Roman" w:eastAsia="宋体" w:cs="Times New Roman"/>
                <w:b w:val="0"/>
                <w:bCs w:val="0"/>
                <w:color w:val="000000"/>
                <w:sz w:val="18"/>
                <w:szCs w:val="18"/>
                <w:lang w:val="en-US" w:eastAsia="zh-CN"/>
              </w:rPr>
              <w:t>6074</w:t>
            </w:r>
          </w:p>
        </w:tc>
        <w:tc>
          <w:tcPr>
            <w:tcW w:w="1479"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spacing w:line="360" w:lineRule="auto"/>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rPr>
              <w:t>中省资金</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510" w:hRule="exact"/>
          <w:jc w:val="center"/>
        </w:trPr>
        <w:tc>
          <w:tcPr>
            <w:tcW w:w="4771"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spacing w:line="360" w:lineRule="auto"/>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rPr>
              <w:t>市级教育发展资金（“</w:t>
            </w:r>
            <w:r>
              <w:rPr>
                <w:rFonts w:ascii="Times New Roman" w:hAnsi="Times New Roman" w:eastAsia="宋体" w:cs="Times New Roman"/>
                <w:b w:val="0"/>
                <w:bCs w:val="0"/>
                <w:color w:val="000000"/>
                <w:sz w:val="18"/>
                <w:szCs w:val="18"/>
              </w:rPr>
              <w:t>9</w:t>
            </w:r>
            <w:r>
              <w:rPr>
                <w:rFonts w:hint="eastAsia" w:ascii="宋体" w:hAnsi="宋体" w:eastAsia="宋体" w:cs="宋体"/>
                <w:b w:val="0"/>
                <w:bCs w:val="0"/>
                <w:color w:val="000000"/>
                <w:sz w:val="18"/>
                <w:szCs w:val="18"/>
              </w:rPr>
              <w:t>+</w:t>
            </w:r>
            <w:r>
              <w:rPr>
                <w:rFonts w:ascii="Times New Roman" w:hAnsi="Times New Roman" w:eastAsia="宋体" w:cs="Times New Roman"/>
                <w:b w:val="0"/>
                <w:bCs w:val="0"/>
                <w:color w:val="000000"/>
                <w:sz w:val="18"/>
                <w:szCs w:val="18"/>
              </w:rPr>
              <w:t>3</w:t>
            </w:r>
            <w:r>
              <w:rPr>
                <w:rFonts w:hint="eastAsia" w:ascii="宋体" w:hAnsi="宋体" w:eastAsia="宋体" w:cs="宋体"/>
                <w:b w:val="0"/>
                <w:bCs w:val="0"/>
                <w:color w:val="000000"/>
                <w:sz w:val="18"/>
                <w:szCs w:val="18"/>
              </w:rPr>
              <w:t>”藏彝区学生补助）</w:t>
            </w:r>
          </w:p>
        </w:tc>
        <w:tc>
          <w:tcPr>
            <w:tcW w:w="1846"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spacing w:line="360" w:lineRule="auto"/>
              <w:jc w:val="center"/>
              <w:rPr>
                <w:rFonts w:ascii="宋体" w:hAnsi="宋体" w:eastAsia="宋体" w:cs="宋体"/>
                <w:b w:val="0"/>
                <w:bCs w:val="0"/>
                <w:color w:val="000000"/>
                <w:sz w:val="18"/>
                <w:szCs w:val="18"/>
              </w:rPr>
            </w:pPr>
            <w:r>
              <w:rPr>
                <w:rFonts w:ascii="Times New Roman" w:hAnsi="Times New Roman" w:eastAsia="宋体" w:cs="Times New Roman"/>
                <w:b w:val="0"/>
                <w:bCs w:val="0"/>
                <w:color w:val="000000"/>
                <w:sz w:val="18"/>
                <w:szCs w:val="18"/>
              </w:rPr>
              <w:t>120</w:t>
            </w:r>
          </w:p>
        </w:tc>
        <w:tc>
          <w:tcPr>
            <w:tcW w:w="1479"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spacing w:line="360" w:lineRule="auto"/>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rPr>
              <w:t>地方资金</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510" w:hRule="exact"/>
          <w:jc w:val="center"/>
        </w:trPr>
        <w:tc>
          <w:tcPr>
            <w:tcW w:w="4771"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spacing w:line="360" w:lineRule="auto"/>
              <w:jc w:val="center"/>
              <w:rPr>
                <w:rFonts w:hint="eastAsia" w:ascii="宋体" w:hAnsi="宋体" w:eastAsia="宋体" w:cs="宋体"/>
                <w:b w:val="0"/>
                <w:bCs w:val="0"/>
                <w:color w:val="000000"/>
                <w:kern w:val="2"/>
                <w:sz w:val="18"/>
                <w:szCs w:val="18"/>
                <w:lang w:val="en-US" w:eastAsia="zh-CN" w:bidi="ar-SA"/>
              </w:rPr>
            </w:pPr>
            <w:r>
              <w:rPr>
                <w:rFonts w:hint="eastAsia" w:ascii="宋体" w:hAnsi="宋体" w:eastAsia="宋体" w:cs="宋体"/>
                <w:b w:val="0"/>
                <w:bCs w:val="0"/>
                <w:color w:val="000000"/>
                <w:sz w:val="18"/>
                <w:szCs w:val="18"/>
              </w:rPr>
              <w:t>市级教育发展专项资金</w:t>
            </w:r>
          </w:p>
        </w:tc>
        <w:tc>
          <w:tcPr>
            <w:tcW w:w="1846"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spacing w:line="360" w:lineRule="auto"/>
              <w:jc w:val="center"/>
              <w:rPr>
                <w:rFonts w:hint="default" w:ascii="宋体" w:hAnsi="宋体" w:eastAsia="宋体" w:cs="宋体"/>
                <w:b w:val="0"/>
                <w:bCs w:val="0"/>
                <w:color w:val="000000"/>
                <w:kern w:val="2"/>
                <w:sz w:val="18"/>
                <w:szCs w:val="18"/>
                <w:lang w:val="en-US" w:eastAsia="zh-CN" w:bidi="ar-SA"/>
              </w:rPr>
            </w:pPr>
            <w:r>
              <w:rPr>
                <w:rFonts w:hint="eastAsia" w:ascii="Times New Roman" w:hAnsi="Times New Roman" w:eastAsia="宋体" w:cs="Times New Roman"/>
                <w:b w:val="0"/>
                <w:bCs w:val="0"/>
                <w:color w:val="000000"/>
                <w:sz w:val="18"/>
                <w:szCs w:val="18"/>
                <w:lang w:val="en-US" w:eastAsia="zh-CN"/>
              </w:rPr>
              <w:t>1598</w:t>
            </w:r>
          </w:p>
        </w:tc>
        <w:tc>
          <w:tcPr>
            <w:tcW w:w="1479" w:type="dxa"/>
            <w:tcBorders>
              <w:top w:val="single" w:color="ED7D31" w:sz="4" w:space="0"/>
              <w:left w:val="single" w:color="ED7D31" w:sz="4" w:space="0"/>
              <w:bottom w:val="single" w:color="ED7D31" w:sz="4" w:space="0"/>
              <w:right w:val="single" w:color="ED7D31" w:sz="4" w:space="0"/>
              <w:tl2br w:val="nil"/>
              <w:tr2bl w:val="nil"/>
            </w:tcBorders>
            <w:shd w:val="clear" w:color="auto" w:fill="FEF3EB"/>
            <w:noWrap w:val="0"/>
            <w:vAlign w:val="center"/>
          </w:tcPr>
          <w:p>
            <w:pPr>
              <w:spacing w:line="360" w:lineRule="auto"/>
              <w:jc w:val="center"/>
              <w:rPr>
                <w:rFonts w:hint="eastAsia" w:ascii="宋体" w:hAnsi="宋体" w:eastAsia="宋体" w:cs="宋体"/>
                <w:b w:val="0"/>
                <w:bCs w:val="0"/>
                <w:color w:val="000000"/>
                <w:kern w:val="2"/>
                <w:sz w:val="18"/>
                <w:szCs w:val="18"/>
                <w:lang w:val="en-US" w:eastAsia="zh-CN" w:bidi="ar-SA"/>
              </w:rPr>
            </w:pPr>
            <w:r>
              <w:rPr>
                <w:rFonts w:hint="eastAsia" w:ascii="宋体" w:hAnsi="宋体" w:eastAsia="宋体" w:cs="宋体"/>
                <w:b w:val="0"/>
                <w:bCs w:val="0"/>
                <w:color w:val="000000"/>
                <w:sz w:val="18"/>
                <w:szCs w:val="18"/>
              </w:rPr>
              <w:t>地方资金</w:t>
            </w:r>
          </w:p>
        </w:tc>
      </w:tr>
      <w:tr>
        <w:tblPrEx>
          <w:tblBorders>
            <w:top w:val="single" w:color="4F81BD" w:sz="4" w:space="0"/>
            <w:left w:val="none" w:color="auto" w:sz="0" w:space="0"/>
            <w:bottom w:val="single" w:color="4F81BD" w:sz="4" w:space="0"/>
            <w:right w:val="none" w:color="auto" w:sz="0" w:space="0"/>
            <w:insideH w:val="single" w:color="4F81BD" w:sz="4" w:space="0"/>
            <w:insideV w:val="none" w:color="auto" w:sz="0" w:space="0"/>
          </w:tblBorders>
          <w:tblCellMar>
            <w:top w:w="0" w:type="dxa"/>
            <w:left w:w="108" w:type="dxa"/>
            <w:bottom w:w="0" w:type="dxa"/>
            <w:right w:w="108" w:type="dxa"/>
          </w:tblCellMar>
        </w:tblPrEx>
        <w:trPr>
          <w:trHeight w:val="510" w:hRule="exact"/>
          <w:jc w:val="center"/>
        </w:trPr>
        <w:tc>
          <w:tcPr>
            <w:tcW w:w="4771"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spacing w:line="360" w:lineRule="auto"/>
              <w:jc w:val="center"/>
              <w:rPr>
                <w:rFonts w:hint="eastAsia" w:ascii="宋体" w:hAnsi="宋体" w:eastAsia="宋体" w:cs="宋体"/>
                <w:b w:val="0"/>
                <w:bCs w:val="0"/>
                <w:color w:val="000000"/>
                <w:sz w:val="18"/>
                <w:szCs w:val="18"/>
                <w:lang w:eastAsia="zh-CN"/>
              </w:rPr>
            </w:pPr>
            <w:r>
              <w:rPr>
                <w:rFonts w:hint="eastAsia" w:ascii="宋体" w:hAnsi="宋体" w:eastAsia="宋体" w:cs="宋体"/>
                <w:b w:val="0"/>
                <w:bCs w:val="0"/>
                <w:color w:val="000000"/>
                <w:sz w:val="18"/>
                <w:szCs w:val="18"/>
                <w:lang w:eastAsia="zh-CN"/>
              </w:rPr>
              <w:t>教育及产教融合发展项目资金</w:t>
            </w:r>
          </w:p>
        </w:tc>
        <w:tc>
          <w:tcPr>
            <w:tcW w:w="1846"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spacing w:line="360" w:lineRule="auto"/>
              <w:jc w:val="center"/>
              <w:rPr>
                <w:rFonts w:hint="default" w:ascii="宋体" w:hAnsi="宋体" w:eastAsia="宋体" w:cs="宋体"/>
                <w:b w:val="0"/>
                <w:bCs w:val="0"/>
                <w:color w:val="000000"/>
                <w:sz w:val="18"/>
                <w:szCs w:val="18"/>
                <w:lang w:val="en-US" w:eastAsia="zh-CN"/>
              </w:rPr>
            </w:pPr>
            <w:r>
              <w:rPr>
                <w:rFonts w:hint="eastAsia" w:ascii="Times New Roman" w:hAnsi="Times New Roman" w:eastAsia="宋体" w:cs="Times New Roman"/>
                <w:b w:val="0"/>
                <w:bCs w:val="0"/>
                <w:color w:val="000000"/>
                <w:sz w:val="18"/>
                <w:szCs w:val="18"/>
                <w:lang w:val="en-US" w:eastAsia="zh-CN"/>
              </w:rPr>
              <w:t>1</w:t>
            </w:r>
            <w:r>
              <w:rPr>
                <w:rFonts w:hint="default" w:ascii="Times New Roman" w:hAnsi="Times New Roman" w:eastAsia="宋体" w:cs="Times New Roman"/>
                <w:b w:val="0"/>
                <w:bCs w:val="0"/>
                <w:color w:val="000000"/>
                <w:sz w:val="18"/>
                <w:szCs w:val="18"/>
                <w:lang w:val="en-US" w:eastAsia="zh-CN"/>
              </w:rPr>
              <w:t>6000</w:t>
            </w:r>
          </w:p>
        </w:tc>
        <w:tc>
          <w:tcPr>
            <w:tcW w:w="1479" w:type="dxa"/>
            <w:tcBorders>
              <w:top w:val="single" w:color="ED7D31" w:sz="4" w:space="0"/>
              <w:left w:val="single" w:color="ED7D31" w:sz="4" w:space="0"/>
              <w:bottom w:val="single" w:color="ED7D31" w:sz="4" w:space="0"/>
              <w:right w:val="single" w:color="ED7D31" w:sz="4" w:space="0"/>
              <w:tl2br w:val="nil"/>
              <w:tr2bl w:val="nil"/>
            </w:tcBorders>
            <w:shd w:val="clear" w:color="auto" w:fill="FFFFFF"/>
            <w:noWrap w:val="0"/>
            <w:vAlign w:val="center"/>
          </w:tcPr>
          <w:p>
            <w:pPr>
              <w:spacing w:line="360" w:lineRule="auto"/>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rPr>
              <w:t>地方资金</w:t>
            </w:r>
          </w:p>
        </w:tc>
      </w:tr>
    </w:tbl>
    <w:p>
      <w:pPr>
        <w:pStyle w:val="2"/>
        <w:rPr>
          <w:color w:val="FF0000"/>
        </w:rPr>
      </w:pPr>
    </w:p>
    <w:p>
      <w:pPr>
        <w:pStyle w:val="2"/>
        <w:rPr>
          <w:color w:val="FF0000"/>
        </w:rPr>
      </w:pPr>
    </w:p>
    <w:p>
      <w:pPr>
        <w:pStyle w:val="2"/>
        <w:rPr>
          <w:color w:val="FF0000"/>
        </w:rPr>
      </w:pPr>
    </w:p>
    <w:p>
      <w:pPr>
        <w:pStyle w:val="2"/>
        <w:rPr>
          <w:color w:val="FF0000"/>
        </w:rPr>
      </w:pPr>
    </w:p>
    <w:p>
      <w:pPr>
        <w:pStyle w:val="2"/>
        <w:rPr>
          <w:color w:val="FF0000"/>
        </w:rPr>
      </w:pPr>
    </w:p>
    <w:p>
      <w:pPr>
        <w:pStyle w:val="2"/>
        <w:rPr>
          <w:color w:val="FF0000"/>
        </w:rPr>
      </w:pPr>
    </w:p>
    <w:p>
      <w:pPr>
        <w:pStyle w:val="2"/>
        <w:rPr>
          <w:color w:val="FF0000"/>
        </w:rPr>
      </w:pPr>
    </w:p>
    <w:p>
      <w:pPr>
        <w:pStyle w:val="2"/>
        <w:rPr>
          <w:color w:val="FF0000"/>
        </w:rPr>
      </w:pPr>
    </w:p>
    <w:p>
      <w:pPr>
        <w:pStyle w:val="2"/>
        <w:rPr>
          <w:color w:val="FF0000"/>
        </w:rPr>
      </w:pPr>
    </w:p>
    <w:p>
      <w:pPr>
        <w:pStyle w:val="2"/>
        <w:rPr>
          <w:color w:val="FF0000"/>
        </w:rPr>
      </w:pPr>
    </w:p>
    <w:p>
      <w:pPr>
        <w:pStyle w:val="2"/>
        <w:rPr>
          <w:color w:val="FF0000"/>
        </w:rPr>
      </w:pPr>
    </w:p>
    <w:p>
      <w:pPr>
        <w:pStyle w:val="2"/>
        <w:rPr>
          <w:color w:val="FF0000"/>
        </w:rPr>
      </w:pPr>
    </w:p>
    <w:p>
      <w:pPr>
        <w:adjustRightInd w:val="0"/>
        <w:spacing w:line="560" w:lineRule="exact"/>
        <w:ind w:firstLine="642" w:firstLineChars="200"/>
        <w:outlineLvl w:val="0"/>
        <w:rPr>
          <w:rFonts w:hint="eastAsia" w:ascii="Times New Roman" w:hAnsi="Times New Roman" w:eastAsia="黑体" w:cs="Times New Roman"/>
          <w:b/>
          <w:bCs/>
          <w:color w:val="CE6B2A"/>
          <w:sz w:val="32"/>
          <w:szCs w:val="32"/>
          <w:highlight w:val="none"/>
          <w:lang w:val="en-US" w:eastAsia="zh-CN"/>
        </w:rPr>
      </w:pPr>
      <w:bookmarkStart w:id="427" w:name="_Toc16576"/>
      <w:r>
        <w:rPr>
          <w:rFonts w:hint="eastAsia" w:ascii="Times New Roman" w:hAnsi="Times New Roman" w:eastAsia="黑体" w:cs="Times New Roman"/>
          <w:b/>
          <w:bCs/>
          <w:color w:val="CE6B2A"/>
          <w:sz w:val="32"/>
          <w:szCs w:val="32"/>
          <w:highlight w:val="none"/>
          <w:lang w:val="en-US" w:eastAsia="zh-CN"/>
        </w:rPr>
        <w:t>8 面临挑战</w:t>
      </w:r>
      <w:bookmarkEnd w:id="420"/>
      <w:bookmarkEnd w:id="421"/>
      <w:bookmarkEnd w:id="422"/>
      <w:bookmarkEnd w:id="423"/>
      <w:bookmarkEnd w:id="424"/>
      <w:bookmarkEnd w:id="427"/>
    </w:p>
    <w:p>
      <w:pPr>
        <w:spacing w:line="560" w:lineRule="exact"/>
        <w:ind w:firstLine="602" w:firstLineChars="200"/>
        <w:outlineLvl w:val="1"/>
        <w:rPr>
          <w:rFonts w:ascii="Times New Roman" w:hAnsi="Times New Roman" w:eastAsia="楷体" w:cs="Times New Roman"/>
          <w:b/>
          <w:bCs/>
          <w:color w:val="auto"/>
          <w:sz w:val="30"/>
          <w:szCs w:val="30"/>
          <w:highlight w:val="none"/>
        </w:rPr>
      </w:pPr>
      <w:bookmarkStart w:id="428" w:name="_Toc20579"/>
      <w:r>
        <w:rPr>
          <w:rFonts w:hint="eastAsia" w:ascii="Times New Roman" w:hAnsi="Times New Roman" w:eastAsia="楷体" w:cs="Times New Roman"/>
          <w:b/>
          <w:bCs/>
          <w:color w:val="auto"/>
          <w:sz w:val="30"/>
          <w:szCs w:val="30"/>
          <w:highlight w:val="none"/>
          <w:lang w:val="en-US" w:eastAsia="zh-CN"/>
        </w:rPr>
        <w:t>8</w:t>
      </w:r>
      <w:r>
        <w:rPr>
          <w:rFonts w:hint="eastAsia" w:ascii="Times New Roman" w:hAnsi="Times New Roman" w:eastAsia="楷体" w:cs="Times New Roman"/>
          <w:b/>
          <w:bCs/>
          <w:color w:val="auto"/>
          <w:sz w:val="30"/>
          <w:szCs w:val="30"/>
          <w:highlight w:val="none"/>
        </w:rPr>
        <w:t>.</w:t>
      </w:r>
      <w:r>
        <w:rPr>
          <w:rFonts w:ascii="Times New Roman" w:hAnsi="Times New Roman" w:eastAsia="楷体" w:cs="Times New Roman"/>
          <w:b/>
          <w:bCs/>
          <w:color w:val="auto"/>
          <w:sz w:val="30"/>
          <w:szCs w:val="30"/>
          <w:highlight w:val="none"/>
        </w:rPr>
        <w:t>1</w:t>
      </w:r>
      <w:r>
        <w:rPr>
          <w:rFonts w:hint="eastAsia" w:ascii="Times New Roman" w:hAnsi="Times New Roman" w:eastAsia="楷体" w:cs="Times New Roman"/>
          <w:b/>
          <w:bCs/>
          <w:color w:val="auto"/>
          <w:sz w:val="30"/>
          <w:szCs w:val="30"/>
          <w:highlight w:val="none"/>
        </w:rPr>
        <w:t xml:space="preserve"> 主要问题</w:t>
      </w:r>
      <w:bookmarkEnd w:id="428"/>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bookmarkStart w:id="429" w:name="_Toc61254102"/>
      <w:bookmarkStart w:id="430" w:name="_Toc22941"/>
      <w:bookmarkStart w:id="431" w:name="_Toc12136"/>
      <w:bookmarkStart w:id="432" w:name="_Toc61254104"/>
      <w:r>
        <w:rPr>
          <w:rFonts w:hint="eastAsia" w:ascii="Times New Roman" w:hAnsi="Times New Roman" w:eastAsia="宋体" w:cs="Times New Roman"/>
          <w:b/>
          <w:bCs/>
          <w:color w:val="auto"/>
          <w:sz w:val="28"/>
          <w:szCs w:val="28"/>
          <w:highlight w:val="none"/>
          <w:lang w:val="en-US" w:eastAsia="zh-CN"/>
        </w:rPr>
        <w:t>8.1.1</w:t>
      </w:r>
      <w:bookmarkEnd w:id="429"/>
      <w:bookmarkEnd w:id="430"/>
      <w:r>
        <w:rPr>
          <w:rFonts w:hint="eastAsia" w:ascii="Times New Roman" w:hAnsi="Times New Roman" w:eastAsia="宋体" w:cs="Times New Roman"/>
          <w:b/>
          <w:bCs/>
          <w:color w:val="auto"/>
          <w:sz w:val="28"/>
          <w:szCs w:val="28"/>
          <w:highlight w:val="none"/>
          <w:lang w:val="en-US" w:eastAsia="zh-CN"/>
        </w:rPr>
        <w:t xml:space="preserve"> 教师队伍建设还需进一步加强</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目前遂宁市在教师队伍结构方面，专业课教师878人，占专任教师数的</w:t>
      </w:r>
      <w:r>
        <w:rPr>
          <w:rFonts w:hint="default" w:ascii="Times New Roman" w:hAnsi="Times New Roman" w:eastAsia="宋体" w:cs="仿宋"/>
          <w:color w:val="auto"/>
          <w:sz w:val="24"/>
          <w:szCs w:val="24"/>
          <w:highlight w:val="none"/>
          <w:lang w:val="en-US" w:eastAsia="zh-CN"/>
        </w:rPr>
        <w:t>5</w:t>
      </w:r>
      <w:r>
        <w:rPr>
          <w:rFonts w:hint="eastAsia" w:ascii="Times New Roman" w:hAnsi="Times New Roman" w:eastAsia="宋体" w:cs="仿宋"/>
          <w:color w:val="auto"/>
          <w:sz w:val="24"/>
          <w:szCs w:val="24"/>
          <w:highlight w:val="none"/>
          <w:lang w:val="en-US" w:eastAsia="zh-CN"/>
        </w:rPr>
        <w:t>9.97%，专业课教师比例较低；</w:t>
      </w:r>
      <w:r>
        <w:rPr>
          <w:rFonts w:hint="default" w:ascii="Times New Roman" w:hAnsi="Times New Roman" w:eastAsia="宋体" w:cs="仿宋"/>
          <w:color w:val="auto"/>
          <w:sz w:val="24"/>
          <w:szCs w:val="24"/>
          <w:highlight w:val="none"/>
          <w:lang w:val="en-US" w:eastAsia="zh-CN"/>
        </w:rPr>
        <w:t>兼职教师14</w:t>
      </w:r>
      <w:r>
        <w:rPr>
          <w:rFonts w:hint="eastAsia" w:ascii="Times New Roman" w:hAnsi="Times New Roman" w:eastAsia="宋体" w:cs="仿宋"/>
          <w:color w:val="auto"/>
          <w:sz w:val="24"/>
          <w:szCs w:val="24"/>
          <w:highlight w:val="none"/>
          <w:lang w:val="en-US" w:eastAsia="zh-CN"/>
        </w:rPr>
        <w:t>7</w:t>
      </w:r>
      <w:r>
        <w:rPr>
          <w:rFonts w:hint="default" w:ascii="Times New Roman" w:hAnsi="Times New Roman" w:eastAsia="宋体" w:cs="仿宋"/>
          <w:color w:val="auto"/>
          <w:sz w:val="24"/>
          <w:szCs w:val="24"/>
          <w:highlight w:val="none"/>
          <w:lang w:val="en-US" w:eastAsia="zh-CN"/>
        </w:rPr>
        <w:t>人，</w:t>
      </w:r>
      <w:r>
        <w:rPr>
          <w:rFonts w:hint="eastAsia" w:ascii="Times New Roman" w:hAnsi="Times New Roman" w:eastAsia="宋体" w:cs="仿宋"/>
          <w:color w:val="auto"/>
          <w:sz w:val="24"/>
          <w:szCs w:val="24"/>
          <w:highlight w:val="none"/>
          <w:lang w:val="en-US" w:eastAsia="zh-CN"/>
        </w:rPr>
        <w:t>占专任教师数的</w:t>
      </w:r>
      <w:r>
        <w:rPr>
          <w:rFonts w:hint="default" w:ascii="Times New Roman" w:hAnsi="Times New Roman" w:eastAsia="宋体" w:cs="仿宋"/>
          <w:color w:val="auto"/>
          <w:sz w:val="24"/>
          <w:szCs w:val="24"/>
          <w:highlight w:val="none"/>
          <w:lang w:val="en-US" w:eastAsia="zh-CN"/>
        </w:rPr>
        <w:t>10</w:t>
      </w:r>
      <w:r>
        <w:rPr>
          <w:rFonts w:hint="eastAsia" w:ascii="Times New Roman" w:hAnsi="Times New Roman" w:eastAsia="宋体" w:cs="仿宋"/>
          <w:color w:val="auto"/>
          <w:sz w:val="24"/>
          <w:szCs w:val="24"/>
          <w:highlight w:val="none"/>
          <w:lang w:val="en-US" w:eastAsia="zh-CN"/>
        </w:rPr>
        <w:t>.04%，从企业一线聘请的兼职教师不足；在教师职称结构方面，有高级职称的教师496人，占专任教师总数的33.88%，有中级职称的教师622人，占专任教师总数的42.49%；初级职称的教师296人，占专任教师总数的20.22%；未评职称的专任教师50人，占专任教师总数的3.42%，虽然获得中、高级职称的教师人数均有增加，但是中高级职称人数整体还需要提升。遂宁市需要积极争取政策支持，引进或聘请行业技术人才或能工巧匠、大国工匠等承担教学任务，充实专业教师队伍，真正落实教师企业实践制度，全面优化师资结构，改善和提升师资情况。</w:t>
      </w:r>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8.1.2 学生就业能力有待进一步提升</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2024年遂宁市中职学校毕业生平均就业起薪虽然有所增加，但相对偏低，在用人单位中的认可度还有待提升，主要原因集中于毕业生对自己的职业生涯规划比较模糊，好高骛远，具体表现在大部分毕业生没有清晰的职业定位、工作目标和工作规划等；社会适应能力较弱，源于对自身价值认可度不够；心理素质和抗压能力较弱，不能积极主动地去面对和分析工作中出现的问题；部分毕业生专业技能不高，没有养成良好的自学能力和创造创新能力，学习过程属于被动学习和接受的过程。</w:t>
      </w:r>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8.1.3 校企合作的深度和广度还不够</w:t>
      </w:r>
    </w:p>
    <w:p>
      <w:pPr>
        <w:spacing w:line="56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新的《中华人民共和国职业教育法》进一步明确了职业教育面向市场、服务发展、促进就业的办学方向，并明确表示，深化产教融合、校企合作是保障职业教育高质量发展的关键举措。目前遂宁市中职学校大部分专业建有校企合作实训基地，合作方式主要是为学生提供岗位实习或是就业岗位，接受学生顶岗实习企业不能覆盖所有专业。企业深度参与学校专业设置、教材开发和人才培养方案的制定等方面的积极性还不高，校企合作、产教融合的长效机制还需不断完善。需要在校企双方共同制定人才培养方案、探索现代学徒制人才培养等方面进行进一步探索。</w:t>
      </w:r>
    </w:p>
    <w:p>
      <w:pPr>
        <w:spacing w:line="560" w:lineRule="exact"/>
        <w:ind w:firstLine="602" w:firstLineChars="200"/>
        <w:outlineLvl w:val="1"/>
        <w:rPr>
          <w:rFonts w:hint="eastAsia" w:ascii="Times New Roman" w:hAnsi="Times New Roman" w:eastAsia="楷体" w:cs="Times New Roman"/>
          <w:b/>
          <w:bCs/>
          <w:color w:val="auto"/>
          <w:sz w:val="30"/>
          <w:szCs w:val="30"/>
          <w:highlight w:val="none"/>
          <w:lang w:val="en-US" w:eastAsia="zh-CN"/>
        </w:rPr>
      </w:pPr>
      <w:bookmarkStart w:id="433" w:name="_Toc728"/>
      <w:r>
        <w:rPr>
          <w:rFonts w:hint="eastAsia" w:ascii="Times New Roman" w:hAnsi="Times New Roman" w:eastAsia="楷体" w:cs="Times New Roman"/>
          <w:b/>
          <w:bCs/>
          <w:color w:val="auto"/>
          <w:sz w:val="30"/>
          <w:szCs w:val="30"/>
          <w:highlight w:val="none"/>
          <w:lang w:val="en-US" w:eastAsia="zh-CN"/>
        </w:rPr>
        <w:t>8.2 改进措施</w:t>
      </w:r>
      <w:bookmarkEnd w:id="433"/>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bookmarkStart w:id="434" w:name="_Toc17276"/>
      <w:r>
        <w:rPr>
          <w:rFonts w:hint="eastAsia" w:ascii="Times New Roman" w:hAnsi="Times New Roman" w:eastAsia="宋体" w:cs="Times New Roman"/>
          <w:b/>
          <w:bCs/>
          <w:color w:val="auto"/>
          <w:sz w:val="28"/>
          <w:szCs w:val="28"/>
          <w:highlight w:val="none"/>
          <w:lang w:val="en-US" w:eastAsia="zh-CN"/>
        </w:rPr>
        <w:t>8.2.1 加强教师队伍建设，注重内涵发展</w:t>
      </w:r>
    </w:p>
    <w:p>
      <w:pPr>
        <w:spacing w:line="560" w:lineRule="exact"/>
        <w:ind w:firstLine="480" w:firstLineChars="200"/>
        <w:rPr>
          <w:rStyle w:val="33"/>
          <w:rFonts w:hint="default" w:ascii="微软雅黑" w:hAnsi="微软雅黑" w:eastAsia="宋体" w:cs="宋体"/>
          <w:color w:val="FF0000"/>
          <w:sz w:val="24"/>
          <w:szCs w:val="24"/>
          <w:shd w:val="clear" w:color="auto" w:fill="FFFFFF"/>
          <w:lang w:val="en-US" w:eastAsia="zh-CN"/>
        </w:rPr>
      </w:pPr>
      <w:r>
        <w:rPr>
          <w:rFonts w:hint="eastAsia" w:ascii="Times New Roman" w:hAnsi="Times New Roman" w:eastAsia="宋体" w:cs="仿宋"/>
          <w:color w:val="auto"/>
          <w:sz w:val="24"/>
          <w:szCs w:val="24"/>
          <w:highlight w:val="none"/>
          <w:lang w:val="en-US" w:eastAsia="zh-CN"/>
        </w:rPr>
        <w:t>作为发展职业教育的第一资源，教师是支撑新时代国家职业教育改革的关键力量。改善师资水平，一是加强“双师型”师资队伍建设，学校积极鼓励并提供经费条件，让专业课教师深入实际，每年应规定一定的时间进行实践培训或到企业挂职锻炼。学校应建立有效的激励机制，在评优、评先、职称晋升等方面向“双师型”教师倾斜，最大限度地调动他们的积极性。二是加强兼职教师队伍建设，打造一支稳定的、层次多样化的高水平的兼职教师队伍。从行业企业聘请专家、技术骨干作为兼职专业带头人和兼职教师，鼓励兼职教师积极参与专业和教学改革，融入专业教学方案、课程标准的制定和工作过程体系化的开发中，逐步打造一支稳定的、层次多样的教师队伍。三是加强教师培训。鼓励教师参加国培、利用省专项经费开展信息技术B1/B2培训、利用寒假、暑假学校教师深入合作企业进行转岗培训、进一步提高教师教育教学水平和管理能力。</w:t>
      </w:r>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8.2.2 加强职业生涯指导，提高就业质量</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进一步完善中职学校毕业生职业生涯培养管理体系。一是聘请专家开展就业、创业指导讲座。帮助毕业生树立正确的价值观、职业发展观。二是上好就业指导课。帮助毕业生树立正确的职业理想，引导毕业生学会自我分析和职业分析，做出正确的职业判断，使其主动完善自身的知识结构，提升其动手能力、创造能力和学习能力，定期做好心理辅导工作；帮助毕业生实现多元就业。三是举行大型招聘会。每年中职学校联系省内外大中型国有企业举行招聘会，让更多学生有更多选出的机会。</w:t>
      </w:r>
    </w:p>
    <w:p>
      <w:pPr>
        <w:spacing w:line="560" w:lineRule="exact"/>
        <w:ind w:firstLine="562" w:firstLineChars="200"/>
        <w:outlineLvl w:val="2"/>
        <w:rPr>
          <w:rFonts w:hint="eastAsia"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8.2.3 加速推进产教融合，实现校企共赢</w:t>
      </w:r>
    </w:p>
    <w:bookmarkEnd w:id="434"/>
    <w:p>
      <w:pPr>
        <w:spacing w:line="560" w:lineRule="exact"/>
        <w:ind w:firstLine="480" w:firstLineChars="200"/>
        <w:rPr>
          <w:rFonts w:hint="eastAsia" w:ascii="Times New Roman" w:hAnsi="Times New Roman" w:eastAsia="宋体" w:cs="仿宋"/>
          <w:color w:val="auto"/>
          <w:sz w:val="24"/>
          <w:szCs w:val="24"/>
          <w:highlight w:val="none"/>
          <w:lang w:val="en-US" w:eastAsia="zh-CN"/>
        </w:rPr>
      </w:pPr>
      <w:r>
        <w:rPr>
          <w:rFonts w:hint="eastAsia" w:ascii="Times New Roman" w:hAnsi="Times New Roman" w:eastAsia="宋体" w:cs="仿宋"/>
          <w:color w:val="auto"/>
          <w:sz w:val="24"/>
          <w:szCs w:val="24"/>
          <w:highlight w:val="none"/>
          <w:lang w:val="en-US" w:eastAsia="zh-CN"/>
        </w:rPr>
        <w:t>贯彻落实《国家职业教育改革实施方案》和《遂宁市产教融合实施方案》文件精神。组建遂宁市域产教联合体，牵头单位－遂宁市经开区、四川职业技术学院积极发挥天齐锂业、四川裕能、蜂巢能源、英创力、托璞勒等行业龙头企业主体作用，联合政府部门14个，成渝地区中职学校10所、高职院校（含职教本科）7所、普通本科学校5所，以及锂电上下游企业98家，建成“遂宁锂电新能源产教联合体”。做好集团化办学，校企协同育人；开好产教融合对接对话会；建设好校企互聘共用的教师队伍机制；制定“订单班”人才培养方案；推行现代学徒制、新型学徒制人才培养模式；鼓励引企入校，办校入厂，大力开展生产性实习实训；推进“1+X”试点；共建共享生产型实训基地。</w:t>
      </w:r>
    </w:p>
    <w:p>
      <w:pPr>
        <w:spacing w:line="560" w:lineRule="exact"/>
        <w:ind w:firstLine="480" w:firstLineChars="200"/>
        <w:rPr>
          <w:rFonts w:hint="eastAsia" w:ascii="Times New Roman" w:hAnsi="Times New Roman" w:eastAsia="宋体" w:cs="仿宋"/>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Times New Roman" w:hAnsi="Times New Roman" w:eastAsia="宋体" w:cs="仿宋"/>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Times New Roman" w:hAnsi="Times New Roman" w:eastAsia="宋体" w:cs="仿宋"/>
          <w:color w:val="auto"/>
          <w:sz w:val="24"/>
          <w:szCs w:val="24"/>
          <w:lang w:val="en-US" w:eastAsia="zh-CN"/>
        </w:rPr>
      </w:pPr>
    </w:p>
    <w:p>
      <w:pPr>
        <w:pageBreakBefore w:val="0"/>
        <w:widowControl w:val="0"/>
        <w:kinsoku/>
        <w:wordWrap/>
        <w:overflowPunct/>
        <w:topLinePunct w:val="0"/>
        <w:autoSpaceDE/>
        <w:autoSpaceDN/>
        <w:bidi w:val="0"/>
        <w:adjustRightInd/>
        <w:snapToGrid/>
        <w:textAlignment w:val="auto"/>
        <w:outlineLvl w:val="9"/>
        <w:rPr>
          <w:rFonts w:hint="eastAsia" w:ascii="宋体" w:hAnsi="宋体" w:eastAsia="宋体"/>
          <w:color w:val="FF0000"/>
          <w:sz w:val="28"/>
          <w:szCs w:val="28"/>
        </w:rPr>
      </w:pPr>
    </w:p>
    <w:p>
      <w:pPr>
        <w:pageBreakBefore w:val="0"/>
        <w:widowControl w:val="0"/>
        <w:kinsoku/>
        <w:wordWrap/>
        <w:overflowPunct/>
        <w:topLinePunct w:val="0"/>
        <w:autoSpaceDE/>
        <w:autoSpaceDN/>
        <w:bidi w:val="0"/>
        <w:adjustRightInd/>
        <w:snapToGrid/>
        <w:textAlignment w:val="auto"/>
        <w:outlineLvl w:val="9"/>
        <w:rPr>
          <w:rFonts w:hint="eastAsia"/>
        </w:rPr>
      </w:pPr>
    </w:p>
    <w:p>
      <w:pPr>
        <w:pStyle w:val="39"/>
      </w:pPr>
    </w:p>
    <w:p/>
    <w:p>
      <w:pPr>
        <w:pStyle w:val="2"/>
      </w:pPr>
    </w:p>
    <w:p>
      <w:pPr>
        <w:pStyle w:val="2"/>
      </w:pPr>
    </w:p>
    <w:p>
      <w:pPr>
        <w:pStyle w:val="2"/>
      </w:pPr>
    </w:p>
    <w:p>
      <w:pPr>
        <w:pStyle w:val="2"/>
      </w:pPr>
    </w:p>
    <w:p>
      <w:pPr>
        <w:pStyle w:val="2"/>
      </w:pPr>
    </w:p>
    <w:p>
      <w:pPr>
        <w:pStyle w:val="2"/>
      </w:pPr>
    </w:p>
    <w:p>
      <w:pPr>
        <w:pStyle w:val="2"/>
      </w:pPr>
    </w:p>
    <w:p>
      <w:pPr>
        <w:pStyle w:val="2"/>
      </w:pPr>
    </w:p>
    <w:bookmarkEnd w:id="431"/>
    <w:bookmarkEnd w:id="432"/>
    <w:p>
      <w:pPr>
        <w:pStyle w:val="3"/>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黑体" w:hAnsi="黑体" w:cs="黑体"/>
          <w:b/>
          <w:bCs w:val="0"/>
          <w:sz w:val="30"/>
          <w:szCs w:val="30"/>
        </w:rPr>
      </w:pPr>
      <w:bookmarkStart w:id="435" w:name="_Toc7108"/>
      <w:bookmarkStart w:id="436" w:name="_Toc32271"/>
      <w:bookmarkStart w:id="437" w:name="_Toc10197"/>
      <w:r>
        <w:rPr>
          <w:rFonts w:hint="eastAsia" w:ascii="黑体" w:hAnsi="黑体" w:cs="黑体"/>
          <w:b/>
          <w:bCs w:val="0"/>
          <w:sz w:val="30"/>
          <w:szCs w:val="30"/>
        </w:rPr>
        <w:t xml:space="preserve">附表1  </w:t>
      </w:r>
      <w:bookmarkEnd w:id="435"/>
      <w:r>
        <w:rPr>
          <w:rFonts w:hint="eastAsia" w:ascii="黑体" w:hAnsi="黑体" w:cs="黑体"/>
          <w:b/>
          <w:bCs w:val="0"/>
          <w:sz w:val="30"/>
          <w:szCs w:val="30"/>
        </w:rPr>
        <w:t>人才培养质量计分卡</w:t>
      </w:r>
      <w:bookmarkEnd w:id="436"/>
    </w:p>
    <w:bookmarkEnd w:id="437"/>
    <w:p>
      <w:pPr>
        <w:keepNext w:val="0"/>
        <w:keepLines w:val="0"/>
        <w:pageBreakBefore w:val="0"/>
        <w:widowControl w:val="0"/>
        <w:kinsoku/>
        <w:wordWrap/>
        <w:overflowPunct/>
        <w:topLinePunct w:val="0"/>
        <w:autoSpaceDE/>
        <w:autoSpaceDN/>
        <w:bidi w:val="0"/>
        <w:adjustRightInd/>
        <w:snapToGrid/>
        <w:spacing w:before="0" w:after="0" w:line="240" w:lineRule="exact"/>
        <w:textAlignment w:val="auto"/>
        <w:outlineLvl w:val="9"/>
        <w:rPr>
          <w:rFonts w:ascii="黑体" w:hAnsi="黑体" w:cs="黑体"/>
          <w:b w:val="0"/>
          <w:bCs/>
        </w:rPr>
      </w:pPr>
      <w:bookmarkStart w:id="438" w:name="_Toc27639"/>
      <w:bookmarkStart w:id="439" w:name="_Toc27976"/>
    </w:p>
    <w:tbl>
      <w:tblPr>
        <w:tblStyle w:val="31"/>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4856"/>
        <w:gridCol w:w="766"/>
        <w:gridCol w:w="1036"/>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tcBorders>
              <w:top w:val="single" w:color="ED7D31" w:sz="4" w:space="0"/>
              <w:left w:val="single" w:color="ED7D31" w:sz="4" w:space="0"/>
              <w:bottom w:val="single" w:color="ED7D31" w:sz="4" w:space="0"/>
              <w:right w:val="single" w:color="ED7D31" w:sz="4" w:space="0"/>
              <w:tl2br w:val="nil"/>
            </w:tcBorders>
            <w:shd w:val="clear" w:color="auto" w:fill="F5B082"/>
            <w:vAlign w:val="center"/>
          </w:tcPr>
          <w:p>
            <w:pPr>
              <w:pageBreakBefore w:val="0"/>
              <w:kinsoku/>
              <w:wordWrap/>
              <w:overflowPunct/>
              <w:topLinePunct w:val="0"/>
              <w:autoSpaceDE/>
              <w:autoSpaceDN/>
              <w:bidi w:val="0"/>
              <w:adjustRightInd/>
              <w:jc w:val="center"/>
              <w:outlineLvl w:val="9"/>
              <w:rPr>
                <w:rFonts w:hint="eastAsia" w:ascii="宋体" w:hAnsi="宋体" w:eastAsia="宋体" w:cs="宋体"/>
                <w:b/>
                <w:bCs/>
                <w:color w:val="000000"/>
                <w:sz w:val="21"/>
                <w:szCs w:val="21"/>
              </w:rPr>
            </w:pPr>
            <w:bookmarkStart w:id="440" w:name="_Toc11942"/>
            <w:r>
              <w:rPr>
                <w:rFonts w:hint="eastAsia" w:ascii="宋体" w:hAnsi="宋体" w:eastAsia="宋体" w:cs="宋体"/>
                <w:b/>
                <w:bCs/>
                <w:color w:val="000000"/>
                <w:sz w:val="21"/>
                <w:szCs w:val="21"/>
              </w:rPr>
              <w:t>序号</w:t>
            </w:r>
            <w:bookmarkEnd w:id="440"/>
          </w:p>
        </w:tc>
        <w:tc>
          <w:tcPr>
            <w:tcW w:w="4856" w:type="dxa"/>
            <w:tcBorders>
              <w:top w:val="single" w:color="ED7D31" w:sz="4" w:space="0"/>
              <w:left w:val="single" w:color="ED7D31" w:sz="4" w:space="0"/>
              <w:bottom w:val="single" w:color="ED7D31" w:sz="4" w:space="0"/>
              <w:right w:val="single" w:color="ED7D31" w:sz="4" w:space="0"/>
            </w:tcBorders>
            <w:shd w:val="clear" w:color="auto" w:fill="F5B082"/>
            <w:vAlign w:val="center"/>
          </w:tcPr>
          <w:p>
            <w:pPr>
              <w:pageBreakBefore w:val="0"/>
              <w:kinsoku/>
              <w:wordWrap/>
              <w:overflowPunct/>
              <w:topLinePunct w:val="0"/>
              <w:autoSpaceDE/>
              <w:autoSpaceDN/>
              <w:bidi w:val="0"/>
              <w:adjustRightInd/>
              <w:jc w:val="center"/>
              <w:outlineLvl w:val="9"/>
              <w:rPr>
                <w:rFonts w:hint="eastAsia" w:ascii="宋体" w:hAnsi="宋体" w:eastAsia="宋体" w:cs="宋体"/>
                <w:b/>
                <w:bCs/>
                <w:color w:val="000000"/>
                <w:sz w:val="21"/>
                <w:szCs w:val="21"/>
              </w:rPr>
            </w:pPr>
            <w:bookmarkStart w:id="441" w:name="_Toc9736"/>
            <w:r>
              <w:rPr>
                <w:rFonts w:hint="eastAsia" w:ascii="宋体" w:hAnsi="宋体" w:eastAsia="宋体" w:cs="宋体"/>
                <w:b/>
                <w:bCs/>
                <w:color w:val="000000"/>
                <w:sz w:val="21"/>
                <w:szCs w:val="21"/>
              </w:rPr>
              <w:t>指标</w:t>
            </w:r>
            <w:bookmarkEnd w:id="441"/>
          </w:p>
        </w:tc>
        <w:tc>
          <w:tcPr>
            <w:tcW w:w="766" w:type="dxa"/>
            <w:tcBorders>
              <w:top w:val="single" w:color="ED7D31" w:sz="4" w:space="0"/>
              <w:left w:val="single" w:color="ED7D31" w:sz="4" w:space="0"/>
              <w:bottom w:val="single" w:color="ED7D31" w:sz="4" w:space="0"/>
              <w:right w:val="single" w:color="ED7D31" w:sz="4" w:space="0"/>
            </w:tcBorders>
            <w:shd w:val="clear" w:color="auto" w:fill="F5B082"/>
            <w:vAlign w:val="center"/>
          </w:tcPr>
          <w:p>
            <w:pPr>
              <w:pageBreakBefore w:val="0"/>
              <w:kinsoku/>
              <w:wordWrap/>
              <w:overflowPunct/>
              <w:topLinePunct w:val="0"/>
              <w:autoSpaceDE/>
              <w:autoSpaceDN/>
              <w:bidi w:val="0"/>
              <w:adjustRightInd/>
              <w:jc w:val="center"/>
              <w:outlineLvl w:val="9"/>
              <w:rPr>
                <w:rFonts w:hint="eastAsia" w:ascii="宋体" w:hAnsi="宋体" w:eastAsia="宋体" w:cs="宋体"/>
                <w:b/>
                <w:bCs/>
                <w:color w:val="000000"/>
                <w:sz w:val="21"/>
                <w:szCs w:val="21"/>
              </w:rPr>
            </w:pPr>
            <w:bookmarkStart w:id="442" w:name="_Toc30390"/>
            <w:r>
              <w:rPr>
                <w:rFonts w:hint="eastAsia" w:ascii="宋体" w:hAnsi="宋体" w:eastAsia="宋体" w:cs="宋体"/>
                <w:b/>
                <w:bCs/>
                <w:color w:val="000000"/>
                <w:sz w:val="21"/>
                <w:szCs w:val="21"/>
              </w:rPr>
              <w:t>单位</w:t>
            </w:r>
            <w:bookmarkEnd w:id="442"/>
          </w:p>
        </w:tc>
        <w:tc>
          <w:tcPr>
            <w:tcW w:w="1036" w:type="dxa"/>
            <w:tcBorders>
              <w:top w:val="single" w:color="ED7D31" w:sz="4" w:space="0"/>
              <w:left w:val="single" w:color="ED7D31" w:sz="4" w:space="0"/>
              <w:bottom w:val="single" w:color="ED7D31" w:sz="4" w:space="0"/>
              <w:right w:val="single" w:color="ED7D31" w:sz="4" w:space="0"/>
            </w:tcBorders>
            <w:shd w:val="clear" w:color="auto" w:fill="F5B082"/>
            <w:vAlign w:val="center"/>
          </w:tcPr>
          <w:p>
            <w:pPr>
              <w:pageBreakBefore w:val="0"/>
              <w:kinsoku/>
              <w:wordWrap/>
              <w:overflowPunct/>
              <w:topLinePunct w:val="0"/>
              <w:autoSpaceDE/>
              <w:autoSpaceDN/>
              <w:bidi w:val="0"/>
              <w:adjustRightInd/>
              <w:jc w:val="center"/>
              <w:outlineLvl w:val="9"/>
              <w:rPr>
                <w:rFonts w:hint="eastAsia" w:ascii="宋体" w:hAnsi="宋体" w:eastAsia="宋体" w:cs="宋体"/>
                <w:b/>
                <w:bCs/>
                <w:color w:val="000000"/>
                <w:sz w:val="21"/>
                <w:szCs w:val="21"/>
              </w:rPr>
            </w:pPr>
            <w:bookmarkStart w:id="443" w:name="_Toc2976"/>
            <w:r>
              <w:rPr>
                <w:rFonts w:hint="eastAsia" w:ascii="宋体" w:hAnsi="宋体" w:eastAsia="宋体" w:cs="宋体"/>
                <w:b/>
                <w:bCs/>
                <w:color w:val="000000"/>
                <w:sz w:val="21"/>
                <w:szCs w:val="21"/>
              </w:rPr>
              <w:t>2023年</w:t>
            </w:r>
            <w:bookmarkEnd w:id="443"/>
          </w:p>
        </w:tc>
        <w:tc>
          <w:tcPr>
            <w:tcW w:w="1041" w:type="dxa"/>
            <w:tcBorders>
              <w:top w:val="single" w:color="ED7D31" w:sz="4" w:space="0"/>
              <w:left w:val="single" w:color="ED7D31" w:sz="4" w:space="0"/>
              <w:bottom w:val="single" w:color="ED7D31" w:sz="4" w:space="0"/>
              <w:right w:val="single" w:color="ED7D31" w:sz="4" w:space="0"/>
            </w:tcBorders>
            <w:shd w:val="clear" w:color="auto" w:fill="F5B082"/>
            <w:vAlign w:val="center"/>
          </w:tcPr>
          <w:p>
            <w:pPr>
              <w:pageBreakBefore w:val="0"/>
              <w:kinsoku/>
              <w:wordWrap/>
              <w:overflowPunct/>
              <w:topLinePunct w:val="0"/>
              <w:autoSpaceDE/>
              <w:autoSpaceDN/>
              <w:bidi w:val="0"/>
              <w:adjustRightInd/>
              <w:jc w:val="center"/>
              <w:outlineLvl w:val="9"/>
              <w:rPr>
                <w:rFonts w:hint="eastAsia" w:ascii="宋体" w:hAnsi="宋体" w:eastAsia="宋体" w:cs="宋体"/>
                <w:b/>
                <w:bCs/>
                <w:color w:val="000000"/>
                <w:sz w:val="21"/>
                <w:szCs w:val="21"/>
              </w:rPr>
            </w:pPr>
            <w:bookmarkStart w:id="444" w:name="_Toc30135"/>
            <w:r>
              <w:rPr>
                <w:rFonts w:hint="eastAsia" w:ascii="宋体" w:hAnsi="宋体" w:eastAsia="宋体" w:cs="宋体"/>
                <w:b/>
                <w:bCs/>
                <w:color w:val="000000"/>
                <w:sz w:val="21"/>
                <w:szCs w:val="21"/>
              </w:rPr>
              <w:t>2024年</w:t>
            </w:r>
            <w:bookmarkEnd w:id="4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kinsoku/>
              <w:wordWrap/>
              <w:overflowPunct/>
              <w:topLinePunct w:val="0"/>
              <w:autoSpaceDE/>
              <w:autoSpaceDN/>
              <w:bidi w:val="0"/>
              <w:adjustRightInd/>
              <w:jc w:val="center"/>
              <w:outlineLvl w:val="9"/>
              <w:rPr>
                <w:rFonts w:hint="eastAsia" w:ascii="宋体" w:hAnsi="宋体" w:eastAsia="宋体" w:cs="宋体"/>
                <w:b w:val="0"/>
                <w:color w:val="000000"/>
                <w:sz w:val="21"/>
                <w:szCs w:val="21"/>
              </w:rPr>
            </w:pPr>
            <w:bookmarkStart w:id="445" w:name="_Toc17378"/>
            <w:r>
              <w:rPr>
                <w:rFonts w:hint="eastAsia" w:ascii="宋体" w:hAnsi="宋体" w:eastAsia="宋体" w:cs="宋体"/>
                <w:b w:val="0"/>
                <w:color w:val="000000"/>
                <w:sz w:val="21"/>
                <w:szCs w:val="21"/>
              </w:rPr>
              <w:t>1</w:t>
            </w:r>
            <w:bookmarkEnd w:id="445"/>
          </w:p>
        </w:tc>
        <w:tc>
          <w:tcPr>
            <w:tcW w:w="48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left"/>
              <w:textAlignment w:val="center"/>
              <w:outlineLvl w:val="9"/>
              <w:rPr>
                <w:rFonts w:hint="eastAsia" w:ascii="宋体" w:hAnsi="宋体" w:eastAsia="宋体" w:cs="宋体"/>
                <w:b w:val="0"/>
                <w:color w:val="000000"/>
                <w:sz w:val="21"/>
                <w:szCs w:val="21"/>
              </w:rPr>
            </w:pPr>
            <w:r>
              <w:rPr>
                <w:rFonts w:hint="eastAsia" w:ascii="宋体" w:hAnsi="宋体" w:eastAsia="宋体" w:cs="宋体"/>
                <w:b w:val="0"/>
                <w:color w:val="000000"/>
                <w:kern w:val="0"/>
                <w:sz w:val="21"/>
                <w:szCs w:val="21"/>
                <w:lang w:bidi="ar"/>
              </w:rPr>
              <w:t>毕业生人数*</w:t>
            </w:r>
          </w:p>
        </w:tc>
        <w:tc>
          <w:tcPr>
            <w:tcW w:w="76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eastAsia" w:ascii="宋体" w:hAnsi="宋体" w:eastAsia="宋体" w:cs="宋体"/>
                <w:b w:val="0"/>
                <w:color w:val="000000"/>
                <w:kern w:val="0"/>
                <w:sz w:val="21"/>
                <w:szCs w:val="21"/>
                <w:lang w:bidi="ar"/>
              </w:rPr>
            </w:pPr>
            <w:r>
              <w:rPr>
                <w:rFonts w:hint="eastAsia" w:ascii="Times New Roman" w:hAnsi="Times New Roman" w:eastAsia="宋体" w:cs="宋体"/>
                <w:b w:val="0"/>
                <w:color w:val="000000"/>
                <w:kern w:val="0"/>
                <w:sz w:val="21"/>
                <w:szCs w:val="21"/>
                <w:lang w:bidi="ar"/>
              </w:rPr>
              <w:t>人</w:t>
            </w:r>
          </w:p>
        </w:tc>
        <w:tc>
          <w:tcPr>
            <w:tcW w:w="103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6918</w:t>
            </w:r>
          </w:p>
        </w:tc>
        <w:tc>
          <w:tcPr>
            <w:tcW w:w="1041"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7004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restart"/>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kinsoku/>
              <w:wordWrap/>
              <w:overflowPunct/>
              <w:topLinePunct w:val="0"/>
              <w:autoSpaceDE/>
              <w:autoSpaceDN/>
              <w:bidi w:val="0"/>
              <w:adjustRightInd/>
              <w:jc w:val="center"/>
              <w:outlineLvl w:val="9"/>
              <w:rPr>
                <w:rFonts w:hint="eastAsia" w:ascii="宋体" w:hAnsi="宋体" w:eastAsia="宋体" w:cs="宋体"/>
                <w:b w:val="0"/>
                <w:color w:val="000000"/>
                <w:sz w:val="21"/>
                <w:szCs w:val="21"/>
              </w:rPr>
            </w:pPr>
            <w:bookmarkStart w:id="446" w:name="_Toc24382"/>
            <w:r>
              <w:rPr>
                <w:rFonts w:hint="eastAsia" w:ascii="宋体" w:hAnsi="宋体" w:eastAsia="宋体" w:cs="宋体"/>
                <w:b w:val="0"/>
                <w:color w:val="000000"/>
                <w:sz w:val="21"/>
                <w:szCs w:val="21"/>
              </w:rPr>
              <w:t>2</w:t>
            </w:r>
            <w:bookmarkEnd w:id="446"/>
          </w:p>
        </w:tc>
        <w:tc>
          <w:tcPr>
            <w:tcW w:w="48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毕业生去向落实人数</w:t>
            </w:r>
          </w:p>
        </w:tc>
        <w:tc>
          <w:tcPr>
            <w:tcW w:w="76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人</w:t>
            </w:r>
          </w:p>
        </w:tc>
        <w:tc>
          <w:tcPr>
            <w:tcW w:w="103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6559</w:t>
            </w:r>
          </w:p>
        </w:tc>
        <w:tc>
          <w:tcPr>
            <w:tcW w:w="1041"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6658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kinsoku/>
              <w:wordWrap/>
              <w:overflowPunct/>
              <w:topLinePunct w:val="0"/>
              <w:autoSpaceDE/>
              <w:autoSpaceDN/>
              <w:bidi w:val="0"/>
              <w:adjustRightInd/>
              <w:jc w:val="center"/>
              <w:outlineLvl w:val="9"/>
              <w:rPr>
                <w:rFonts w:hint="eastAsia" w:ascii="宋体" w:hAnsi="宋体" w:eastAsia="宋体" w:cs="宋体"/>
                <w:b w:val="0"/>
                <w:color w:val="000000"/>
                <w:sz w:val="21"/>
                <w:szCs w:val="21"/>
              </w:rPr>
            </w:pPr>
          </w:p>
        </w:tc>
        <w:tc>
          <w:tcPr>
            <w:tcW w:w="48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其中：升学人数</w:t>
            </w:r>
          </w:p>
        </w:tc>
        <w:tc>
          <w:tcPr>
            <w:tcW w:w="76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人</w:t>
            </w:r>
          </w:p>
        </w:tc>
        <w:tc>
          <w:tcPr>
            <w:tcW w:w="103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3447</w:t>
            </w:r>
          </w:p>
        </w:tc>
        <w:tc>
          <w:tcPr>
            <w:tcW w:w="1041"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4069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kinsoku/>
              <w:wordWrap/>
              <w:overflowPunct/>
              <w:topLinePunct w:val="0"/>
              <w:autoSpaceDE/>
              <w:autoSpaceDN/>
              <w:bidi w:val="0"/>
              <w:adjustRightInd/>
              <w:jc w:val="center"/>
              <w:outlineLvl w:val="9"/>
              <w:rPr>
                <w:rFonts w:hint="eastAsia" w:ascii="宋体" w:hAnsi="宋体" w:eastAsia="宋体" w:cs="宋体"/>
                <w:b w:val="0"/>
                <w:color w:val="000000"/>
                <w:sz w:val="21"/>
                <w:szCs w:val="21"/>
              </w:rPr>
            </w:pPr>
          </w:p>
        </w:tc>
        <w:tc>
          <w:tcPr>
            <w:tcW w:w="48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ind w:firstLine="630" w:firstLineChars="30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升入本科人数</w:t>
            </w:r>
          </w:p>
        </w:tc>
        <w:tc>
          <w:tcPr>
            <w:tcW w:w="76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人</w:t>
            </w:r>
          </w:p>
        </w:tc>
        <w:tc>
          <w:tcPr>
            <w:tcW w:w="103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246</w:t>
            </w:r>
          </w:p>
        </w:tc>
        <w:tc>
          <w:tcPr>
            <w:tcW w:w="1041"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kinsoku/>
              <w:wordWrap/>
              <w:overflowPunct/>
              <w:topLinePunct w:val="0"/>
              <w:autoSpaceDE/>
              <w:autoSpaceDN/>
              <w:bidi w:val="0"/>
              <w:adjustRightInd/>
              <w:jc w:val="center"/>
              <w:outlineLvl w:val="9"/>
              <w:rPr>
                <w:rFonts w:hint="eastAsia" w:ascii="宋体" w:hAnsi="宋体" w:eastAsia="宋体" w:cs="宋体"/>
                <w:b w:val="0"/>
                <w:color w:val="000000"/>
                <w:sz w:val="21"/>
                <w:szCs w:val="21"/>
              </w:rPr>
            </w:pPr>
            <w:bookmarkStart w:id="447" w:name="_Toc14850"/>
            <w:r>
              <w:rPr>
                <w:rFonts w:hint="eastAsia" w:ascii="宋体" w:hAnsi="宋体" w:eastAsia="宋体" w:cs="宋体"/>
                <w:b w:val="0"/>
                <w:color w:val="000000"/>
                <w:sz w:val="21"/>
                <w:szCs w:val="21"/>
              </w:rPr>
              <w:t>3</w:t>
            </w:r>
            <w:bookmarkEnd w:id="447"/>
          </w:p>
        </w:tc>
        <w:tc>
          <w:tcPr>
            <w:tcW w:w="48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毕业生本省去向落实率</w:t>
            </w:r>
          </w:p>
        </w:tc>
        <w:tc>
          <w:tcPr>
            <w:tcW w:w="76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w:t>
            </w:r>
          </w:p>
        </w:tc>
        <w:tc>
          <w:tcPr>
            <w:tcW w:w="103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84.03</w:t>
            </w:r>
          </w:p>
        </w:tc>
        <w:tc>
          <w:tcPr>
            <w:tcW w:w="1041"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87.02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kinsoku/>
              <w:wordWrap/>
              <w:overflowPunct/>
              <w:topLinePunct w:val="0"/>
              <w:autoSpaceDE/>
              <w:autoSpaceDN/>
              <w:bidi w:val="0"/>
              <w:adjustRightInd/>
              <w:jc w:val="center"/>
              <w:outlineLvl w:val="9"/>
              <w:rPr>
                <w:rFonts w:hint="eastAsia" w:ascii="宋体" w:hAnsi="宋体" w:eastAsia="宋体" w:cs="宋体"/>
                <w:b w:val="0"/>
                <w:color w:val="000000"/>
                <w:sz w:val="21"/>
                <w:szCs w:val="21"/>
              </w:rPr>
            </w:pPr>
            <w:bookmarkStart w:id="448" w:name="_Toc10203"/>
            <w:r>
              <w:rPr>
                <w:rFonts w:hint="eastAsia" w:ascii="宋体" w:hAnsi="宋体" w:eastAsia="宋体" w:cs="宋体"/>
                <w:b w:val="0"/>
                <w:color w:val="000000"/>
                <w:sz w:val="21"/>
                <w:szCs w:val="21"/>
              </w:rPr>
              <w:t>4</w:t>
            </w:r>
            <w:bookmarkEnd w:id="448"/>
          </w:p>
        </w:tc>
        <w:tc>
          <w:tcPr>
            <w:tcW w:w="48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月收入</w:t>
            </w:r>
          </w:p>
        </w:tc>
        <w:tc>
          <w:tcPr>
            <w:tcW w:w="76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元</w:t>
            </w:r>
          </w:p>
        </w:tc>
        <w:tc>
          <w:tcPr>
            <w:tcW w:w="103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3953</w:t>
            </w:r>
          </w:p>
        </w:tc>
        <w:tc>
          <w:tcPr>
            <w:tcW w:w="1041"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4038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restart"/>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kinsoku/>
              <w:wordWrap/>
              <w:overflowPunct/>
              <w:topLinePunct w:val="0"/>
              <w:autoSpaceDE/>
              <w:autoSpaceDN/>
              <w:bidi w:val="0"/>
              <w:adjustRightInd/>
              <w:jc w:val="center"/>
              <w:outlineLvl w:val="9"/>
              <w:rPr>
                <w:rFonts w:hint="eastAsia" w:ascii="宋体" w:hAnsi="宋体" w:eastAsia="宋体" w:cs="宋体"/>
                <w:b w:val="0"/>
                <w:color w:val="000000"/>
                <w:sz w:val="21"/>
                <w:szCs w:val="21"/>
              </w:rPr>
            </w:pPr>
            <w:bookmarkStart w:id="449" w:name="_Toc5587"/>
            <w:r>
              <w:rPr>
                <w:rFonts w:hint="eastAsia" w:ascii="宋体" w:hAnsi="宋体" w:eastAsia="宋体" w:cs="宋体"/>
                <w:b w:val="0"/>
                <w:color w:val="000000"/>
                <w:sz w:val="21"/>
                <w:szCs w:val="21"/>
              </w:rPr>
              <w:t>5</w:t>
            </w:r>
            <w:bookmarkEnd w:id="449"/>
          </w:p>
        </w:tc>
        <w:tc>
          <w:tcPr>
            <w:tcW w:w="48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left"/>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毕业生面向三次产业就业人数</w:t>
            </w:r>
          </w:p>
        </w:tc>
        <w:tc>
          <w:tcPr>
            <w:tcW w:w="76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snapToGrid w:val="0"/>
              <w:spacing w:line="288" w:lineRule="auto"/>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人</w:t>
            </w:r>
          </w:p>
        </w:tc>
        <w:tc>
          <w:tcPr>
            <w:tcW w:w="103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3112</w:t>
            </w:r>
          </w:p>
        </w:tc>
        <w:tc>
          <w:tcPr>
            <w:tcW w:w="1041"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2589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kinsoku/>
              <w:wordWrap/>
              <w:overflowPunct/>
              <w:topLinePunct w:val="0"/>
              <w:autoSpaceDE/>
              <w:autoSpaceDN/>
              <w:bidi w:val="0"/>
              <w:adjustRightInd/>
              <w:jc w:val="center"/>
              <w:outlineLvl w:val="9"/>
              <w:rPr>
                <w:rFonts w:hint="eastAsia" w:ascii="宋体" w:hAnsi="宋体" w:eastAsia="宋体" w:cs="宋体"/>
                <w:b w:val="0"/>
                <w:color w:val="000000"/>
                <w:sz w:val="21"/>
                <w:szCs w:val="21"/>
              </w:rPr>
            </w:pPr>
          </w:p>
        </w:tc>
        <w:tc>
          <w:tcPr>
            <w:tcW w:w="48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spacing w:line="288" w:lineRule="auto"/>
              <w:jc w:val="left"/>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其中：面向第一产业就业人数</w:t>
            </w:r>
          </w:p>
        </w:tc>
        <w:tc>
          <w:tcPr>
            <w:tcW w:w="76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snapToGrid w:val="0"/>
              <w:spacing w:line="288" w:lineRule="auto"/>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人</w:t>
            </w:r>
          </w:p>
        </w:tc>
        <w:tc>
          <w:tcPr>
            <w:tcW w:w="103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58</w:t>
            </w:r>
          </w:p>
        </w:tc>
        <w:tc>
          <w:tcPr>
            <w:tcW w:w="1041"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kinsoku/>
              <w:wordWrap/>
              <w:overflowPunct/>
              <w:topLinePunct w:val="0"/>
              <w:autoSpaceDE/>
              <w:autoSpaceDN/>
              <w:bidi w:val="0"/>
              <w:adjustRightInd/>
              <w:jc w:val="center"/>
              <w:outlineLvl w:val="9"/>
              <w:rPr>
                <w:rFonts w:hint="eastAsia" w:ascii="宋体" w:hAnsi="宋体" w:eastAsia="宋体" w:cs="宋体"/>
                <w:b w:val="0"/>
                <w:color w:val="000000"/>
                <w:sz w:val="21"/>
                <w:szCs w:val="21"/>
              </w:rPr>
            </w:pPr>
          </w:p>
        </w:tc>
        <w:tc>
          <w:tcPr>
            <w:tcW w:w="48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spacing w:line="288" w:lineRule="auto"/>
              <w:ind w:firstLine="630" w:firstLineChars="300"/>
              <w:jc w:val="left"/>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面向第二产业就业人数</w:t>
            </w:r>
          </w:p>
        </w:tc>
        <w:tc>
          <w:tcPr>
            <w:tcW w:w="76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snapToGrid w:val="0"/>
              <w:spacing w:line="288" w:lineRule="auto"/>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人</w:t>
            </w:r>
          </w:p>
        </w:tc>
        <w:tc>
          <w:tcPr>
            <w:tcW w:w="103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2394</w:t>
            </w:r>
          </w:p>
        </w:tc>
        <w:tc>
          <w:tcPr>
            <w:tcW w:w="1041"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kinsoku/>
              <w:wordWrap/>
              <w:overflowPunct/>
              <w:topLinePunct w:val="0"/>
              <w:autoSpaceDE/>
              <w:autoSpaceDN/>
              <w:bidi w:val="0"/>
              <w:adjustRightInd/>
              <w:jc w:val="center"/>
              <w:outlineLvl w:val="9"/>
              <w:rPr>
                <w:rFonts w:hint="eastAsia" w:ascii="宋体" w:hAnsi="宋体" w:eastAsia="宋体" w:cs="宋体"/>
                <w:b w:val="0"/>
                <w:color w:val="000000"/>
                <w:sz w:val="21"/>
                <w:szCs w:val="21"/>
              </w:rPr>
            </w:pPr>
          </w:p>
        </w:tc>
        <w:tc>
          <w:tcPr>
            <w:tcW w:w="48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spacing w:line="288" w:lineRule="auto"/>
              <w:ind w:firstLine="630" w:firstLineChars="300"/>
              <w:jc w:val="left"/>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面向第三产业就业人数</w:t>
            </w:r>
          </w:p>
        </w:tc>
        <w:tc>
          <w:tcPr>
            <w:tcW w:w="76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snapToGrid w:val="0"/>
              <w:spacing w:line="288" w:lineRule="auto"/>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人</w:t>
            </w:r>
          </w:p>
        </w:tc>
        <w:tc>
          <w:tcPr>
            <w:tcW w:w="103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660</w:t>
            </w:r>
          </w:p>
        </w:tc>
        <w:tc>
          <w:tcPr>
            <w:tcW w:w="1041"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kinsoku/>
              <w:wordWrap/>
              <w:overflowPunct/>
              <w:topLinePunct w:val="0"/>
              <w:autoSpaceDE/>
              <w:autoSpaceDN/>
              <w:bidi w:val="0"/>
              <w:adjustRightInd/>
              <w:jc w:val="center"/>
              <w:outlineLvl w:val="9"/>
              <w:rPr>
                <w:rFonts w:hint="eastAsia" w:ascii="宋体" w:hAnsi="宋体" w:eastAsia="宋体" w:cs="宋体"/>
                <w:b w:val="0"/>
                <w:color w:val="000000"/>
                <w:sz w:val="21"/>
                <w:szCs w:val="21"/>
              </w:rPr>
            </w:pPr>
            <w:bookmarkStart w:id="450" w:name="_Toc20365"/>
            <w:r>
              <w:rPr>
                <w:rFonts w:hint="eastAsia" w:ascii="宋体" w:hAnsi="宋体" w:eastAsia="宋体" w:cs="宋体"/>
                <w:b w:val="0"/>
                <w:color w:val="000000"/>
                <w:sz w:val="21"/>
                <w:szCs w:val="21"/>
              </w:rPr>
              <w:t>6</w:t>
            </w:r>
            <w:bookmarkEnd w:id="450"/>
          </w:p>
        </w:tc>
        <w:tc>
          <w:tcPr>
            <w:tcW w:w="48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snapToGrid w:val="0"/>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自主创业率</w:t>
            </w:r>
          </w:p>
        </w:tc>
        <w:tc>
          <w:tcPr>
            <w:tcW w:w="76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outlineLvl w:val="9"/>
              <w:rPr>
                <w:rFonts w:hint="eastAsia" w:ascii="宋体" w:hAnsi="宋体" w:eastAsia="宋体" w:cs="宋体"/>
                <w:b w:val="0"/>
                <w:color w:val="000000"/>
                <w:sz w:val="21"/>
                <w:szCs w:val="21"/>
              </w:rPr>
            </w:pPr>
            <w:r>
              <w:rPr>
                <w:rFonts w:hint="eastAsia" w:ascii="宋体" w:hAnsi="宋体" w:eastAsia="宋体" w:cs="宋体"/>
                <w:b w:val="0"/>
                <w:color w:val="000000"/>
                <w:kern w:val="0"/>
                <w:sz w:val="21"/>
                <w:szCs w:val="21"/>
              </w:rPr>
              <w:t>%</w:t>
            </w:r>
          </w:p>
        </w:tc>
        <w:tc>
          <w:tcPr>
            <w:tcW w:w="103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0.20</w:t>
            </w:r>
          </w:p>
        </w:tc>
        <w:tc>
          <w:tcPr>
            <w:tcW w:w="1041"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5"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kinsoku/>
              <w:wordWrap/>
              <w:overflowPunct/>
              <w:topLinePunct w:val="0"/>
              <w:autoSpaceDE/>
              <w:autoSpaceDN/>
              <w:bidi w:val="0"/>
              <w:adjustRightInd/>
              <w:jc w:val="center"/>
              <w:outlineLvl w:val="9"/>
              <w:rPr>
                <w:rFonts w:hint="eastAsia" w:ascii="宋体" w:hAnsi="宋体" w:eastAsia="宋体" w:cs="宋体"/>
                <w:b w:val="0"/>
                <w:color w:val="000000"/>
                <w:sz w:val="21"/>
                <w:szCs w:val="21"/>
              </w:rPr>
            </w:pPr>
            <w:bookmarkStart w:id="451" w:name="_Toc22763"/>
            <w:r>
              <w:rPr>
                <w:rFonts w:hint="eastAsia" w:ascii="宋体" w:hAnsi="宋体" w:eastAsia="宋体" w:cs="宋体"/>
                <w:b w:val="0"/>
                <w:color w:val="000000"/>
                <w:sz w:val="21"/>
                <w:szCs w:val="21"/>
              </w:rPr>
              <w:t>7</w:t>
            </w:r>
            <w:bookmarkEnd w:id="451"/>
          </w:p>
        </w:tc>
        <w:tc>
          <w:tcPr>
            <w:tcW w:w="48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snapToGrid w:val="0"/>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毕业三年晋升比例</w:t>
            </w:r>
          </w:p>
        </w:tc>
        <w:tc>
          <w:tcPr>
            <w:tcW w:w="76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outlineLvl w:val="9"/>
              <w:rPr>
                <w:rFonts w:hint="eastAsia" w:ascii="宋体" w:hAnsi="宋体" w:eastAsia="宋体" w:cs="宋体"/>
                <w:b w:val="0"/>
                <w:color w:val="000000"/>
                <w:sz w:val="21"/>
                <w:szCs w:val="21"/>
              </w:rPr>
            </w:pPr>
            <w:r>
              <w:rPr>
                <w:rFonts w:hint="eastAsia" w:ascii="宋体" w:hAnsi="宋体" w:eastAsia="宋体" w:cs="宋体"/>
                <w:b w:val="0"/>
                <w:color w:val="000000"/>
                <w:kern w:val="0"/>
                <w:sz w:val="21"/>
                <w:szCs w:val="21"/>
              </w:rPr>
              <w:t>%</w:t>
            </w:r>
          </w:p>
        </w:tc>
        <w:tc>
          <w:tcPr>
            <w:tcW w:w="1036"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5.84</w:t>
            </w:r>
          </w:p>
        </w:tc>
        <w:tc>
          <w:tcPr>
            <w:tcW w:w="1041" w:type="dxa"/>
            <w:tcBorders>
              <w:top w:val="single" w:color="ED7D31" w:sz="4" w:space="0"/>
              <w:left w:val="single" w:color="ED7D31" w:sz="4" w:space="0"/>
              <w:bottom w:val="single" w:color="ED7D31" w:sz="4" w:space="0"/>
              <w:right w:val="single" w:color="ED7D31" w:sz="4" w:space="0"/>
            </w:tcBorders>
            <w:shd w:val="clear" w:color="auto" w:fill="FFFFFF"/>
            <w:vAlign w:val="center"/>
          </w:tcPr>
          <w:p>
            <w:pPr>
              <w:pageBreakBefore w:val="0"/>
              <w:widowControl/>
              <w:kinsoku/>
              <w:wordWrap/>
              <w:overflowPunct/>
              <w:topLinePunct w:val="0"/>
              <w:autoSpaceDE/>
              <w:autoSpaceDN/>
              <w:bidi w:val="0"/>
              <w:adjustRightInd/>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6.09</w:t>
            </w:r>
          </w:p>
        </w:tc>
      </w:tr>
    </w:tbl>
    <w:p>
      <w:pPr>
        <w:pageBreakBefore w:val="0"/>
        <w:widowControl w:val="0"/>
        <w:kinsoku/>
        <w:wordWrap/>
        <w:overflowPunct/>
        <w:topLinePunct w:val="0"/>
        <w:autoSpaceDE/>
        <w:autoSpaceDN/>
        <w:bidi w:val="0"/>
        <w:adjustRightInd/>
        <w:snapToGrid/>
        <w:textAlignment w:val="auto"/>
        <w:outlineLvl w:val="9"/>
      </w:pPr>
    </w:p>
    <w:p>
      <w:pPr>
        <w:pageBreakBefore w:val="0"/>
        <w:widowControl w:val="0"/>
        <w:kinsoku/>
        <w:wordWrap/>
        <w:overflowPunct/>
        <w:topLinePunct w:val="0"/>
        <w:autoSpaceDE/>
        <w:autoSpaceDN/>
        <w:bidi w:val="0"/>
        <w:adjustRightInd/>
        <w:snapToGrid/>
        <w:textAlignment w:val="auto"/>
        <w:outlineLvl w:val="9"/>
      </w:pPr>
    </w:p>
    <w:p>
      <w:pPr>
        <w:pageBreakBefore w:val="0"/>
        <w:widowControl w:val="0"/>
        <w:kinsoku/>
        <w:wordWrap/>
        <w:overflowPunct/>
        <w:topLinePunct w:val="0"/>
        <w:autoSpaceDE/>
        <w:autoSpaceDN/>
        <w:bidi w:val="0"/>
        <w:adjustRightInd/>
        <w:snapToGrid/>
        <w:textAlignment w:val="auto"/>
        <w:outlineLvl w:val="9"/>
      </w:pPr>
    </w:p>
    <w:p>
      <w:pPr>
        <w:pStyle w:val="39"/>
      </w:pPr>
    </w:p>
    <w:p>
      <w:pPr>
        <w:pStyle w:val="39"/>
      </w:pPr>
    </w:p>
    <w:p>
      <w:pPr>
        <w:pStyle w:val="39"/>
      </w:pPr>
    </w:p>
    <w:p>
      <w:pPr>
        <w:pStyle w:val="39"/>
      </w:pPr>
    </w:p>
    <w:p>
      <w:pPr>
        <w:pStyle w:val="39"/>
      </w:pPr>
    </w:p>
    <w:p/>
    <w:p>
      <w:pPr>
        <w:pStyle w:val="39"/>
      </w:pPr>
    </w:p>
    <w:p/>
    <w:p>
      <w:pPr>
        <w:pStyle w:val="39"/>
      </w:pPr>
    </w:p>
    <w:p>
      <w:pPr>
        <w:pStyle w:val="39"/>
      </w:pPr>
    </w:p>
    <w:p/>
    <w:p>
      <w:pPr>
        <w:pStyle w:val="3"/>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default" w:ascii="黑体" w:hAnsi="黑体" w:cs="黑体"/>
          <w:b/>
          <w:bCs w:val="0"/>
          <w:sz w:val="30"/>
          <w:szCs w:val="30"/>
          <w:lang w:val="en" w:eastAsia="zh-CN"/>
        </w:rPr>
      </w:pPr>
      <w:bookmarkStart w:id="452" w:name="_Toc28822"/>
      <w:r>
        <w:rPr>
          <w:rFonts w:hint="eastAsia" w:ascii="黑体" w:hAnsi="黑体" w:cs="黑体"/>
          <w:b/>
          <w:bCs w:val="0"/>
          <w:sz w:val="30"/>
          <w:szCs w:val="30"/>
        </w:rPr>
        <w:t>附表2  满意度调查表</w:t>
      </w:r>
      <w:bookmarkEnd w:id="438"/>
      <w:bookmarkEnd w:id="452"/>
    </w:p>
    <w:bookmarkEnd w:id="439"/>
    <w:p>
      <w:pPr>
        <w:pStyle w:val="28"/>
        <w:keepNext w:val="0"/>
        <w:keepLines w:val="0"/>
        <w:pageBreakBefore w:val="0"/>
        <w:widowControl w:val="0"/>
        <w:kinsoku/>
        <w:wordWrap/>
        <w:overflowPunct/>
        <w:topLinePunct w:val="0"/>
        <w:autoSpaceDE/>
        <w:autoSpaceDN/>
        <w:bidi w:val="0"/>
        <w:adjustRightInd/>
        <w:snapToGrid/>
        <w:spacing w:after="0" w:line="240" w:lineRule="atLeast"/>
        <w:ind w:firstLine="0" w:firstLineChars="0"/>
        <w:textAlignment w:val="auto"/>
        <w:outlineLvl w:val="9"/>
        <w:rPr>
          <w:rFonts w:hint="default"/>
        </w:rPr>
      </w:pPr>
    </w:p>
    <w:tbl>
      <w:tblPr>
        <w:tblStyle w:val="31"/>
        <w:tblW w:w="8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3061"/>
        <w:gridCol w:w="744"/>
        <w:gridCol w:w="1190"/>
        <w:gridCol w:w="1144"/>
        <w:gridCol w:w="854"/>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01" w:type="dxa"/>
            <w:tcBorders>
              <w:top w:val="single" w:color="ED7D31" w:sz="4" w:space="0"/>
              <w:left w:val="single" w:color="ED7D31" w:sz="4" w:space="0"/>
              <w:bottom w:val="single" w:color="ED7D31" w:sz="4" w:space="0"/>
              <w:right w:val="single" w:color="ED7D31" w:sz="4" w:space="0"/>
              <w:tl2br w:val="nil"/>
            </w:tcBorders>
            <w:shd w:val="clear" w:color="auto" w:fill="F5B082"/>
            <w:vAlign w:val="center"/>
          </w:tcPr>
          <w:p>
            <w:pPr>
              <w:keepNext w:val="0"/>
              <w:keepLines w:val="0"/>
              <w:pageBreakBefore w:val="0"/>
              <w:kinsoku/>
              <w:wordWrap/>
              <w:overflowPunct/>
              <w:topLinePunct w:val="0"/>
              <w:autoSpaceDE/>
              <w:autoSpaceDN/>
              <w:bidi w:val="0"/>
              <w:adjustRightInd/>
              <w:snapToGrid/>
              <w:jc w:val="center"/>
              <w:outlineLvl w:val="9"/>
              <w:rPr>
                <w:rFonts w:hint="eastAsia" w:ascii="宋体" w:hAnsi="宋体" w:eastAsia="宋体" w:cs="宋体"/>
                <w:b/>
                <w:bCs w:val="0"/>
                <w:color w:val="000000"/>
                <w:sz w:val="21"/>
                <w:szCs w:val="21"/>
              </w:rPr>
            </w:pPr>
            <w:bookmarkStart w:id="453" w:name="_Toc9666"/>
            <w:r>
              <w:rPr>
                <w:rFonts w:hint="eastAsia" w:ascii="宋体" w:hAnsi="宋体" w:eastAsia="宋体" w:cs="宋体"/>
                <w:b/>
                <w:bCs w:val="0"/>
                <w:color w:val="000000"/>
                <w:sz w:val="21"/>
                <w:szCs w:val="21"/>
              </w:rPr>
              <w:t>序号</w:t>
            </w:r>
            <w:bookmarkEnd w:id="453"/>
          </w:p>
        </w:tc>
        <w:tc>
          <w:tcPr>
            <w:tcW w:w="3061" w:type="dxa"/>
            <w:tcBorders>
              <w:top w:val="single" w:color="ED7D31" w:sz="4" w:space="0"/>
              <w:left w:val="single" w:color="ED7D31" w:sz="4" w:space="0"/>
              <w:bottom w:val="single" w:color="ED7D31" w:sz="4" w:space="0"/>
              <w:right w:val="single" w:color="ED7D31" w:sz="4" w:space="0"/>
            </w:tcBorders>
            <w:shd w:val="clear" w:color="auto" w:fill="F5B082"/>
            <w:vAlign w:val="center"/>
          </w:tcPr>
          <w:p>
            <w:pPr>
              <w:keepNext w:val="0"/>
              <w:keepLines w:val="0"/>
              <w:pageBreakBefore w:val="0"/>
              <w:kinsoku/>
              <w:wordWrap/>
              <w:overflowPunct/>
              <w:topLinePunct w:val="0"/>
              <w:autoSpaceDE/>
              <w:autoSpaceDN/>
              <w:bidi w:val="0"/>
              <w:adjustRightInd/>
              <w:snapToGrid/>
              <w:jc w:val="center"/>
              <w:outlineLvl w:val="9"/>
              <w:rPr>
                <w:rFonts w:hint="eastAsia" w:ascii="宋体" w:hAnsi="宋体" w:eastAsia="宋体" w:cs="宋体"/>
                <w:b/>
                <w:bCs w:val="0"/>
                <w:color w:val="000000"/>
                <w:sz w:val="21"/>
                <w:szCs w:val="21"/>
              </w:rPr>
            </w:pPr>
            <w:bookmarkStart w:id="454" w:name="_Toc32257"/>
            <w:r>
              <w:rPr>
                <w:rFonts w:hint="eastAsia" w:ascii="宋体" w:hAnsi="宋体" w:eastAsia="宋体" w:cs="宋体"/>
                <w:b/>
                <w:bCs w:val="0"/>
                <w:color w:val="000000"/>
                <w:sz w:val="21"/>
                <w:szCs w:val="21"/>
              </w:rPr>
              <w:t>指标</w:t>
            </w:r>
            <w:bookmarkEnd w:id="454"/>
          </w:p>
        </w:tc>
        <w:tc>
          <w:tcPr>
            <w:tcW w:w="744" w:type="dxa"/>
            <w:tcBorders>
              <w:top w:val="single" w:color="ED7D31" w:sz="4" w:space="0"/>
              <w:left w:val="single" w:color="ED7D31" w:sz="4" w:space="0"/>
              <w:bottom w:val="single" w:color="ED7D31" w:sz="4" w:space="0"/>
              <w:right w:val="single" w:color="ED7D31" w:sz="4" w:space="0"/>
            </w:tcBorders>
            <w:shd w:val="clear" w:color="auto" w:fill="F5B082"/>
            <w:vAlign w:val="center"/>
          </w:tcPr>
          <w:p>
            <w:pPr>
              <w:keepNext w:val="0"/>
              <w:keepLines w:val="0"/>
              <w:pageBreakBefore w:val="0"/>
              <w:kinsoku/>
              <w:wordWrap/>
              <w:overflowPunct/>
              <w:topLinePunct w:val="0"/>
              <w:autoSpaceDE/>
              <w:autoSpaceDN/>
              <w:bidi w:val="0"/>
              <w:adjustRightInd/>
              <w:snapToGrid/>
              <w:jc w:val="center"/>
              <w:outlineLvl w:val="9"/>
              <w:rPr>
                <w:rFonts w:hint="eastAsia" w:ascii="宋体" w:hAnsi="宋体" w:eastAsia="宋体" w:cs="宋体"/>
                <w:b/>
                <w:bCs w:val="0"/>
                <w:color w:val="000000"/>
                <w:sz w:val="21"/>
                <w:szCs w:val="21"/>
              </w:rPr>
            </w:pPr>
            <w:bookmarkStart w:id="455" w:name="_Toc2318"/>
            <w:r>
              <w:rPr>
                <w:rFonts w:hint="eastAsia" w:ascii="宋体" w:hAnsi="宋体" w:eastAsia="宋体" w:cs="宋体"/>
                <w:b/>
                <w:bCs w:val="0"/>
                <w:color w:val="000000"/>
                <w:sz w:val="21"/>
                <w:szCs w:val="21"/>
              </w:rPr>
              <w:t>单位</w:t>
            </w:r>
            <w:bookmarkEnd w:id="455"/>
          </w:p>
        </w:tc>
        <w:tc>
          <w:tcPr>
            <w:tcW w:w="1190" w:type="dxa"/>
            <w:tcBorders>
              <w:top w:val="single" w:color="ED7D31" w:sz="4" w:space="0"/>
              <w:left w:val="single" w:color="ED7D31" w:sz="4" w:space="0"/>
              <w:bottom w:val="single" w:color="ED7D31" w:sz="4" w:space="0"/>
              <w:right w:val="single" w:color="ED7D31" w:sz="4" w:space="0"/>
            </w:tcBorders>
            <w:shd w:val="clear" w:color="auto" w:fill="F5B082"/>
            <w:vAlign w:val="center"/>
          </w:tcPr>
          <w:p>
            <w:pPr>
              <w:keepNext w:val="0"/>
              <w:keepLines w:val="0"/>
              <w:pageBreakBefore w:val="0"/>
              <w:kinsoku/>
              <w:wordWrap/>
              <w:overflowPunct/>
              <w:topLinePunct w:val="0"/>
              <w:autoSpaceDE/>
              <w:autoSpaceDN/>
              <w:bidi w:val="0"/>
              <w:adjustRightInd/>
              <w:snapToGrid/>
              <w:jc w:val="center"/>
              <w:outlineLvl w:val="9"/>
              <w:rPr>
                <w:rFonts w:hint="eastAsia" w:ascii="宋体" w:hAnsi="宋体" w:eastAsia="宋体" w:cs="宋体"/>
                <w:b/>
                <w:bCs w:val="0"/>
                <w:color w:val="000000"/>
                <w:sz w:val="21"/>
                <w:szCs w:val="21"/>
              </w:rPr>
            </w:pPr>
            <w:bookmarkStart w:id="456" w:name="_Toc20284"/>
            <w:r>
              <w:rPr>
                <w:rFonts w:hint="eastAsia" w:ascii="宋体" w:hAnsi="宋体" w:eastAsia="宋体" w:cs="宋体"/>
                <w:b/>
                <w:bCs w:val="0"/>
                <w:color w:val="000000"/>
                <w:sz w:val="21"/>
                <w:szCs w:val="21"/>
              </w:rPr>
              <w:t>2023年</w:t>
            </w:r>
            <w:bookmarkEnd w:id="456"/>
          </w:p>
        </w:tc>
        <w:tc>
          <w:tcPr>
            <w:tcW w:w="1144" w:type="dxa"/>
            <w:tcBorders>
              <w:top w:val="single" w:color="ED7D31" w:sz="4" w:space="0"/>
              <w:left w:val="single" w:color="ED7D31" w:sz="4" w:space="0"/>
              <w:bottom w:val="single" w:color="ED7D31" w:sz="4" w:space="0"/>
              <w:right w:val="single" w:color="ED7D31" w:sz="4" w:space="0"/>
            </w:tcBorders>
            <w:shd w:val="clear" w:color="auto" w:fill="F5B082"/>
            <w:vAlign w:val="center"/>
          </w:tcPr>
          <w:p>
            <w:pPr>
              <w:keepNext w:val="0"/>
              <w:keepLines w:val="0"/>
              <w:pageBreakBefore w:val="0"/>
              <w:kinsoku/>
              <w:wordWrap/>
              <w:overflowPunct/>
              <w:topLinePunct w:val="0"/>
              <w:autoSpaceDE/>
              <w:autoSpaceDN/>
              <w:bidi w:val="0"/>
              <w:adjustRightInd/>
              <w:snapToGrid/>
              <w:jc w:val="center"/>
              <w:outlineLvl w:val="9"/>
              <w:rPr>
                <w:rFonts w:hint="eastAsia" w:ascii="宋体" w:hAnsi="宋体" w:eastAsia="宋体" w:cs="宋体"/>
                <w:b/>
                <w:bCs w:val="0"/>
                <w:color w:val="000000"/>
                <w:sz w:val="21"/>
                <w:szCs w:val="21"/>
              </w:rPr>
            </w:pPr>
            <w:bookmarkStart w:id="457" w:name="_Toc7842"/>
            <w:r>
              <w:rPr>
                <w:rFonts w:hint="eastAsia" w:ascii="宋体" w:hAnsi="宋体" w:eastAsia="宋体" w:cs="宋体"/>
                <w:b/>
                <w:bCs w:val="0"/>
                <w:color w:val="000000"/>
                <w:sz w:val="21"/>
                <w:szCs w:val="21"/>
              </w:rPr>
              <w:t>2024年</w:t>
            </w:r>
            <w:bookmarkEnd w:id="457"/>
          </w:p>
        </w:tc>
        <w:tc>
          <w:tcPr>
            <w:tcW w:w="854" w:type="dxa"/>
            <w:tcBorders>
              <w:top w:val="single" w:color="ED7D31" w:sz="4" w:space="0"/>
              <w:left w:val="single" w:color="ED7D31" w:sz="4" w:space="0"/>
              <w:bottom w:val="single" w:color="ED7D31" w:sz="4" w:space="0"/>
              <w:right w:val="single" w:color="ED7D31" w:sz="4" w:space="0"/>
            </w:tcBorders>
            <w:shd w:val="clear" w:color="auto" w:fill="F5B082"/>
            <w:vAlign w:val="center"/>
          </w:tcPr>
          <w:p>
            <w:pPr>
              <w:keepNext w:val="0"/>
              <w:keepLines w:val="0"/>
              <w:pageBreakBefore w:val="0"/>
              <w:kinsoku/>
              <w:wordWrap/>
              <w:overflowPunct/>
              <w:topLinePunct w:val="0"/>
              <w:autoSpaceDE/>
              <w:autoSpaceDN/>
              <w:bidi w:val="0"/>
              <w:adjustRightInd/>
              <w:snapToGrid/>
              <w:jc w:val="center"/>
              <w:outlineLvl w:val="9"/>
              <w:rPr>
                <w:rFonts w:hint="eastAsia" w:ascii="宋体" w:hAnsi="宋体" w:eastAsia="宋体" w:cs="宋体"/>
                <w:b/>
                <w:bCs w:val="0"/>
                <w:color w:val="000000"/>
                <w:sz w:val="21"/>
                <w:szCs w:val="21"/>
              </w:rPr>
            </w:pPr>
            <w:bookmarkStart w:id="458" w:name="_Toc720"/>
            <w:r>
              <w:rPr>
                <w:rFonts w:hint="eastAsia" w:ascii="宋体" w:hAnsi="宋体" w:eastAsia="宋体" w:cs="宋体"/>
                <w:b/>
                <w:bCs w:val="0"/>
                <w:color w:val="000000"/>
                <w:sz w:val="21"/>
                <w:szCs w:val="21"/>
              </w:rPr>
              <w:t>调查</w:t>
            </w:r>
          </w:p>
          <w:p>
            <w:pPr>
              <w:keepNext w:val="0"/>
              <w:keepLines w:val="0"/>
              <w:pageBreakBefore w:val="0"/>
              <w:kinsoku/>
              <w:wordWrap/>
              <w:overflowPunct/>
              <w:topLinePunct w:val="0"/>
              <w:autoSpaceDE/>
              <w:autoSpaceDN/>
              <w:bidi w:val="0"/>
              <w:adjustRightInd/>
              <w:snapToGrid/>
              <w:jc w:val="center"/>
              <w:outlineLvl w:val="9"/>
              <w:rPr>
                <w:rFonts w:hint="eastAsia" w:ascii="宋体" w:hAnsi="宋体" w:eastAsia="宋体" w:cs="宋体"/>
                <w:b/>
                <w:bCs w:val="0"/>
                <w:color w:val="000000"/>
                <w:sz w:val="21"/>
                <w:szCs w:val="21"/>
              </w:rPr>
            </w:pPr>
            <w:r>
              <w:rPr>
                <w:rFonts w:hint="eastAsia" w:ascii="宋体" w:hAnsi="宋体" w:eastAsia="宋体" w:cs="宋体"/>
                <w:b/>
                <w:bCs w:val="0"/>
                <w:color w:val="000000"/>
                <w:sz w:val="21"/>
                <w:szCs w:val="21"/>
              </w:rPr>
              <w:t>人数</w:t>
            </w:r>
            <w:bookmarkEnd w:id="458"/>
          </w:p>
        </w:tc>
        <w:tc>
          <w:tcPr>
            <w:tcW w:w="1074" w:type="dxa"/>
            <w:tcBorders>
              <w:top w:val="single" w:color="ED7D31" w:sz="4" w:space="0"/>
              <w:left w:val="single" w:color="ED7D31" w:sz="4" w:space="0"/>
              <w:bottom w:val="single" w:color="ED7D31" w:sz="4" w:space="0"/>
              <w:right w:val="single" w:color="ED7D31" w:sz="4" w:space="0"/>
            </w:tcBorders>
            <w:shd w:val="clear" w:color="auto" w:fill="F5B082"/>
            <w:vAlign w:val="center"/>
          </w:tcPr>
          <w:p>
            <w:pPr>
              <w:keepNext w:val="0"/>
              <w:keepLines w:val="0"/>
              <w:pageBreakBefore w:val="0"/>
              <w:kinsoku/>
              <w:wordWrap/>
              <w:overflowPunct/>
              <w:topLinePunct w:val="0"/>
              <w:autoSpaceDE/>
              <w:autoSpaceDN/>
              <w:bidi w:val="0"/>
              <w:adjustRightInd/>
              <w:snapToGrid/>
              <w:jc w:val="center"/>
              <w:outlineLvl w:val="9"/>
              <w:rPr>
                <w:rFonts w:hint="eastAsia" w:ascii="宋体" w:hAnsi="宋体" w:eastAsia="宋体" w:cs="宋体"/>
                <w:b/>
                <w:bCs w:val="0"/>
                <w:color w:val="000000"/>
                <w:sz w:val="21"/>
                <w:szCs w:val="21"/>
              </w:rPr>
            </w:pPr>
            <w:bookmarkStart w:id="459" w:name="_Toc30359"/>
            <w:r>
              <w:rPr>
                <w:rFonts w:hint="eastAsia" w:ascii="宋体" w:hAnsi="宋体" w:eastAsia="宋体" w:cs="宋体"/>
                <w:b/>
                <w:bCs w:val="0"/>
                <w:color w:val="000000"/>
                <w:sz w:val="21"/>
                <w:szCs w:val="21"/>
              </w:rPr>
              <w:t>调查</w:t>
            </w:r>
            <w:bookmarkEnd w:id="459"/>
          </w:p>
          <w:p>
            <w:pPr>
              <w:keepNext w:val="0"/>
              <w:keepLines w:val="0"/>
              <w:pageBreakBefore w:val="0"/>
              <w:kinsoku/>
              <w:wordWrap/>
              <w:overflowPunct/>
              <w:topLinePunct w:val="0"/>
              <w:autoSpaceDE/>
              <w:autoSpaceDN/>
              <w:bidi w:val="0"/>
              <w:adjustRightInd/>
              <w:snapToGrid/>
              <w:jc w:val="center"/>
              <w:outlineLvl w:val="9"/>
              <w:rPr>
                <w:rFonts w:hint="eastAsia" w:ascii="宋体" w:hAnsi="宋体" w:eastAsia="宋体" w:cs="宋体"/>
                <w:b/>
                <w:bCs w:val="0"/>
                <w:color w:val="000000"/>
                <w:sz w:val="21"/>
                <w:szCs w:val="21"/>
              </w:rPr>
            </w:pPr>
            <w:bookmarkStart w:id="460" w:name="_Toc13307"/>
            <w:r>
              <w:rPr>
                <w:rFonts w:hint="eastAsia" w:ascii="宋体" w:hAnsi="宋体" w:eastAsia="宋体" w:cs="宋体"/>
                <w:b/>
                <w:bCs w:val="0"/>
                <w:color w:val="000000"/>
                <w:sz w:val="21"/>
                <w:szCs w:val="21"/>
              </w:rPr>
              <w:t>方式</w:t>
            </w:r>
            <w:bookmarkEnd w:id="46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restart"/>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宋体" w:hAnsi="宋体" w:eastAsia="宋体" w:cs="宋体"/>
                <w:b w:val="0"/>
                <w:color w:val="000000"/>
                <w:sz w:val="21"/>
                <w:szCs w:val="21"/>
              </w:rPr>
            </w:pPr>
            <w:r>
              <w:rPr>
                <w:rFonts w:hint="eastAsia" w:ascii="宋体" w:hAnsi="宋体" w:eastAsia="宋体" w:cs="宋体"/>
                <w:b w:val="0"/>
                <w:color w:val="000000"/>
                <w:kern w:val="0"/>
                <w:sz w:val="21"/>
                <w:szCs w:val="21"/>
                <w:lang w:bidi="ar"/>
              </w:rPr>
              <w:t>1</w:t>
            </w:r>
          </w:p>
        </w:tc>
        <w:tc>
          <w:tcPr>
            <w:tcW w:w="306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textAlignment w:val="top"/>
              <w:outlineLvl w:val="9"/>
              <w:rPr>
                <w:rFonts w:hint="eastAsia" w:ascii="宋体" w:hAnsi="宋体" w:eastAsia="宋体" w:cs="宋体"/>
                <w:b w:val="0"/>
                <w:color w:val="000000"/>
                <w:sz w:val="21"/>
                <w:szCs w:val="21"/>
              </w:rPr>
            </w:pPr>
            <w:r>
              <w:rPr>
                <w:rFonts w:hint="eastAsia" w:ascii="宋体" w:hAnsi="宋体" w:eastAsia="宋体" w:cs="宋体"/>
                <w:b w:val="0"/>
                <w:color w:val="000000"/>
                <w:kern w:val="0"/>
                <w:sz w:val="21"/>
                <w:szCs w:val="21"/>
                <w:lang w:bidi="ar"/>
              </w:rPr>
              <w:t>在校生满意度*</w:t>
            </w:r>
          </w:p>
        </w:tc>
        <w:tc>
          <w:tcPr>
            <w:tcW w:w="74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outlineLvl w:val="9"/>
              <w:rPr>
                <w:rFonts w:hint="eastAsia" w:ascii="宋体" w:hAnsi="宋体" w:eastAsia="宋体" w:cs="宋体"/>
                <w:b w:val="0"/>
                <w:color w:val="000000"/>
                <w:sz w:val="21"/>
                <w:szCs w:val="21"/>
              </w:rPr>
            </w:pPr>
            <w:bookmarkStart w:id="461" w:name="_Toc1174"/>
            <w:r>
              <w:rPr>
                <w:rFonts w:hint="eastAsia" w:ascii="宋体" w:hAnsi="宋体" w:eastAsia="宋体" w:cs="宋体"/>
                <w:b w:val="0"/>
                <w:color w:val="000000"/>
                <w:kern w:val="0"/>
                <w:sz w:val="21"/>
                <w:szCs w:val="21"/>
                <w:lang w:bidi="ar"/>
              </w:rPr>
              <w:t>%</w:t>
            </w:r>
            <w:bookmarkEnd w:id="461"/>
          </w:p>
        </w:tc>
        <w:tc>
          <w:tcPr>
            <w:tcW w:w="11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83.15</w:t>
            </w:r>
          </w:p>
        </w:tc>
        <w:tc>
          <w:tcPr>
            <w:tcW w:w="114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87.32</w:t>
            </w:r>
          </w:p>
        </w:tc>
        <w:tc>
          <w:tcPr>
            <w:tcW w:w="8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4629</w:t>
            </w:r>
          </w:p>
        </w:tc>
        <w:tc>
          <w:tcPr>
            <w:tcW w:w="107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宋体" w:hAnsi="宋体" w:eastAsia="宋体" w:cs="宋体"/>
                <w:b w:val="0"/>
                <w:color w:val="000000"/>
                <w:kern w:val="2"/>
                <w:sz w:val="21"/>
                <w:szCs w:val="21"/>
                <w:lang w:val="en-US" w:eastAsia="zh-CN" w:bidi="ar-SA"/>
              </w:rPr>
            </w:pPr>
            <w:r>
              <w:rPr>
                <w:rFonts w:hint="eastAsia" w:ascii="Times New Roman" w:hAnsi="Times New Roman" w:eastAsia="宋体" w:cs="宋体"/>
                <w:b w:val="0"/>
                <w:i w:val="0"/>
                <w:iCs w:val="0"/>
                <w:color w:val="000000"/>
                <w:kern w:val="0"/>
                <w:sz w:val="21"/>
                <w:szCs w:val="21"/>
                <w:highlight w:val="none"/>
                <w:u w:val="none"/>
                <w:lang w:val="en-US" w:eastAsia="zh-CN" w:bidi="ar"/>
              </w:rPr>
              <w:t>全国统一网上调查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宋体" w:hAnsi="宋体" w:eastAsia="宋体" w:cs="宋体"/>
                <w:b w:val="0"/>
                <w:color w:val="000000"/>
                <w:kern w:val="0"/>
                <w:sz w:val="21"/>
                <w:szCs w:val="21"/>
                <w:lang w:bidi="ar"/>
              </w:rPr>
            </w:pPr>
          </w:p>
        </w:tc>
        <w:tc>
          <w:tcPr>
            <w:tcW w:w="306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textAlignment w:val="top"/>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其中：课堂育人满意度*</w:t>
            </w:r>
          </w:p>
        </w:tc>
        <w:tc>
          <w:tcPr>
            <w:tcW w:w="74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outlineLvl w:val="9"/>
              <w:rPr>
                <w:rFonts w:hint="eastAsia" w:ascii="宋体" w:hAnsi="宋体" w:eastAsia="宋体" w:cs="宋体"/>
                <w:b w:val="0"/>
                <w:color w:val="000000"/>
                <w:kern w:val="0"/>
                <w:sz w:val="21"/>
                <w:szCs w:val="21"/>
                <w:lang w:bidi="ar"/>
              </w:rPr>
            </w:pPr>
            <w:bookmarkStart w:id="462" w:name="_Toc16287"/>
            <w:r>
              <w:rPr>
                <w:rFonts w:hint="eastAsia" w:ascii="宋体" w:hAnsi="宋体" w:eastAsia="宋体" w:cs="宋体"/>
                <w:b w:val="0"/>
                <w:color w:val="000000"/>
                <w:kern w:val="0"/>
                <w:sz w:val="21"/>
                <w:szCs w:val="21"/>
                <w:lang w:bidi="ar"/>
              </w:rPr>
              <w:t>%</w:t>
            </w:r>
            <w:bookmarkEnd w:id="462"/>
          </w:p>
        </w:tc>
        <w:tc>
          <w:tcPr>
            <w:tcW w:w="11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83</w:t>
            </w:r>
            <w:r>
              <w:rPr>
                <w:rFonts w:hint="eastAsia" w:ascii="Times New Roman" w:hAnsi="Times New Roman" w:eastAsia="宋体" w:cs="宋体"/>
                <w:b w:val="0"/>
                <w:color w:val="000000"/>
                <w:kern w:val="0"/>
                <w:sz w:val="21"/>
                <w:szCs w:val="21"/>
                <w:lang w:bidi="ar"/>
              </w:rPr>
              <w:t>.</w:t>
            </w:r>
            <w:r>
              <w:rPr>
                <w:rFonts w:hint="eastAsia" w:ascii="Times New Roman" w:hAnsi="Times New Roman" w:eastAsia="宋体" w:cs="宋体"/>
                <w:b w:val="0"/>
                <w:color w:val="000000"/>
                <w:kern w:val="0"/>
                <w:sz w:val="21"/>
                <w:szCs w:val="21"/>
                <w:lang w:val="en-US" w:eastAsia="zh-CN" w:bidi="ar"/>
              </w:rPr>
              <w:t>84</w:t>
            </w:r>
          </w:p>
        </w:tc>
        <w:tc>
          <w:tcPr>
            <w:tcW w:w="114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88.01</w:t>
            </w:r>
          </w:p>
        </w:tc>
        <w:tc>
          <w:tcPr>
            <w:tcW w:w="8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4629</w:t>
            </w:r>
          </w:p>
        </w:tc>
        <w:tc>
          <w:tcPr>
            <w:tcW w:w="107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宋体" w:hAnsi="宋体" w:eastAsia="宋体" w:cs="宋体"/>
                <w:b w:val="0"/>
                <w:color w:val="000000"/>
                <w:kern w:val="2"/>
                <w:sz w:val="21"/>
                <w:szCs w:val="21"/>
                <w:lang w:val="en-US" w:eastAsia="zh-CN" w:bidi="ar-SA"/>
              </w:rPr>
            </w:pPr>
            <w:r>
              <w:rPr>
                <w:rFonts w:hint="eastAsia" w:ascii="Times New Roman" w:hAnsi="Times New Roman" w:eastAsia="宋体" w:cs="宋体"/>
                <w:b w:val="0"/>
                <w:i w:val="0"/>
                <w:iCs w:val="0"/>
                <w:color w:val="000000"/>
                <w:kern w:val="0"/>
                <w:sz w:val="21"/>
                <w:szCs w:val="21"/>
                <w:highlight w:val="none"/>
                <w:u w:val="none"/>
                <w:lang w:val="en-US" w:eastAsia="zh-CN" w:bidi="ar"/>
              </w:rPr>
              <w:t>全国统一网上调查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宋体" w:hAnsi="宋体" w:eastAsia="宋体" w:cs="宋体"/>
                <w:b w:val="0"/>
                <w:color w:val="000000"/>
                <w:kern w:val="0"/>
                <w:sz w:val="21"/>
                <w:szCs w:val="21"/>
                <w:lang w:bidi="ar"/>
              </w:rPr>
            </w:pPr>
          </w:p>
        </w:tc>
        <w:tc>
          <w:tcPr>
            <w:tcW w:w="306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ind w:firstLine="630" w:firstLineChars="300"/>
              <w:textAlignment w:val="top"/>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课外育人满意度*</w:t>
            </w:r>
          </w:p>
        </w:tc>
        <w:tc>
          <w:tcPr>
            <w:tcW w:w="74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outlineLvl w:val="9"/>
              <w:rPr>
                <w:rFonts w:hint="eastAsia" w:ascii="宋体" w:hAnsi="宋体" w:eastAsia="宋体" w:cs="宋体"/>
                <w:b w:val="0"/>
                <w:color w:val="000000"/>
                <w:kern w:val="0"/>
                <w:sz w:val="21"/>
                <w:szCs w:val="21"/>
                <w:lang w:bidi="ar"/>
              </w:rPr>
            </w:pPr>
            <w:bookmarkStart w:id="463" w:name="_Toc29292"/>
            <w:r>
              <w:rPr>
                <w:rFonts w:hint="eastAsia" w:ascii="宋体" w:hAnsi="宋体" w:eastAsia="宋体" w:cs="宋体"/>
                <w:b w:val="0"/>
                <w:color w:val="000000"/>
                <w:kern w:val="0"/>
                <w:sz w:val="21"/>
                <w:szCs w:val="21"/>
                <w:lang w:bidi="ar"/>
              </w:rPr>
              <w:t>%</w:t>
            </w:r>
            <w:bookmarkEnd w:id="463"/>
          </w:p>
        </w:tc>
        <w:tc>
          <w:tcPr>
            <w:tcW w:w="11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83</w:t>
            </w:r>
            <w:r>
              <w:rPr>
                <w:rFonts w:hint="eastAsia" w:ascii="Times New Roman" w:hAnsi="Times New Roman" w:eastAsia="宋体" w:cs="宋体"/>
                <w:b w:val="0"/>
                <w:color w:val="000000"/>
                <w:kern w:val="0"/>
                <w:sz w:val="21"/>
                <w:szCs w:val="21"/>
                <w:lang w:bidi="ar"/>
              </w:rPr>
              <w:t>.</w:t>
            </w:r>
            <w:r>
              <w:rPr>
                <w:rFonts w:hint="eastAsia" w:ascii="Times New Roman" w:hAnsi="Times New Roman" w:eastAsia="宋体" w:cs="宋体"/>
                <w:b w:val="0"/>
                <w:color w:val="000000"/>
                <w:kern w:val="0"/>
                <w:sz w:val="21"/>
                <w:szCs w:val="21"/>
                <w:lang w:val="en-US" w:eastAsia="zh-CN" w:bidi="ar"/>
              </w:rPr>
              <w:t>49</w:t>
            </w:r>
          </w:p>
        </w:tc>
        <w:tc>
          <w:tcPr>
            <w:tcW w:w="114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87.17</w:t>
            </w:r>
          </w:p>
        </w:tc>
        <w:tc>
          <w:tcPr>
            <w:tcW w:w="8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4629</w:t>
            </w:r>
          </w:p>
        </w:tc>
        <w:tc>
          <w:tcPr>
            <w:tcW w:w="107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宋体" w:hAnsi="宋体" w:eastAsia="宋体" w:cs="宋体"/>
                <w:b w:val="0"/>
                <w:color w:val="000000"/>
                <w:kern w:val="2"/>
                <w:sz w:val="21"/>
                <w:szCs w:val="21"/>
                <w:lang w:val="en-US" w:eastAsia="zh-CN" w:bidi="ar-SA"/>
              </w:rPr>
            </w:pPr>
            <w:r>
              <w:rPr>
                <w:rFonts w:hint="eastAsia" w:ascii="Times New Roman" w:hAnsi="Times New Roman" w:eastAsia="宋体" w:cs="宋体"/>
                <w:b w:val="0"/>
                <w:i w:val="0"/>
                <w:iCs w:val="0"/>
                <w:color w:val="000000"/>
                <w:kern w:val="0"/>
                <w:sz w:val="21"/>
                <w:szCs w:val="21"/>
                <w:highlight w:val="none"/>
                <w:u w:val="none"/>
                <w:lang w:val="en-US" w:eastAsia="zh-CN" w:bidi="ar"/>
              </w:rPr>
              <w:t>全国统一网上调查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宋体" w:hAnsi="宋体" w:eastAsia="宋体" w:cs="宋体"/>
                <w:b w:val="0"/>
                <w:color w:val="000000"/>
                <w:kern w:val="0"/>
                <w:sz w:val="21"/>
                <w:szCs w:val="21"/>
                <w:lang w:bidi="ar"/>
              </w:rPr>
            </w:pPr>
          </w:p>
        </w:tc>
        <w:tc>
          <w:tcPr>
            <w:tcW w:w="306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ind w:firstLine="630" w:firstLineChars="300"/>
              <w:textAlignment w:val="top"/>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思想政治课教学满意度*</w:t>
            </w:r>
          </w:p>
        </w:tc>
        <w:tc>
          <w:tcPr>
            <w:tcW w:w="74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outlineLvl w:val="9"/>
              <w:rPr>
                <w:rFonts w:hint="eastAsia" w:ascii="宋体" w:hAnsi="宋体" w:eastAsia="宋体" w:cs="宋体"/>
                <w:b w:val="0"/>
                <w:color w:val="000000"/>
                <w:kern w:val="0"/>
                <w:sz w:val="21"/>
                <w:szCs w:val="21"/>
                <w:lang w:bidi="ar"/>
              </w:rPr>
            </w:pPr>
            <w:bookmarkStart w:id="464" w:name="_Toc12028"/>
            <w:r>
              <w:rPr>
                <w:rFonts w:hint="eastAsia" w:ascii="宋体" w:hAnsi="宋体" w:eastAsia="宋体" w:cs="宋体"/>
                <w:b w:val="0"/>
                <w:color w:val="000000"/>
                <w:kern w:val="0"/>
                <w:sz w:val="21"/>
                <w:szCs w:val="21"/>
                <w:lang w:bidi="ar"/>
              </w:rPr>
              <w:t>%</w:t>
            </w:r>
            <w:bookmarkEnd w:id="464"/>
          </w:p>
        </w:tc>
        <w:tc>
          <w:tcPr>
            <w:tcW w:w="11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89</w:t>
            </w:r>
            <w:r>
              <w:rPr>
                <w:rFonts w:hint="eastAsia" w:ascii="Times New Roman" w:hAnsi="Times New Roman" w:eastAsia="宋体" w:cs="宋体"/>
                <w:b w:val="0"/>
                <w:color w:val="000000"/>
                <w:kern w:val="0"/>
                <w:sz w:val="21"/>
                <w:szCs w:val="21"/>
                <w:lang w:bidi="ar"/>
              </w:rPr>
              <w:t>.</w:t>
            </w:r>
            <w:r>
              <w:rPr>
                <w:rFonts w:hint="eastAsia" w:ascii="Times New Roman" w:hAnsi="Times New Roman" w:eastAsia="宋体" w:cs="宋体"/>
                <w:b w:val="0"/>
                <w:color w:val="000000"/>
                <w:kern w:val="0"/>
                <w:sz w:val="21"/>
                <w:szCs w:val="21"/>
                <w:lang w:val="en-US" w:eastAsia="zh-CN" w:bidi="ar"/>
              </w:rPr>
              <w:t>40</w:t>
            </w:r>
          </w:p>
        </w:tc>
        <w:tc>
          <w:tcPr>
            <w:tcW w:w="114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91.10</w:t>
            </w:r>
          </w:p>
        </w:tc>
        <w:tc>
          <w:tcPr>
            <w:tcW w:w="8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4629</w:t>
            </w:r>
          </w:p>
        </w:tc>
        <w:tc>
          <w:tcPr>
            <w:tcW w:w="107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宋体" w:hAnsi="宋体" w:eastAsia="宋体" w:cs="宋体"/>
                <w:b w:val="0"/>
                <w:color w:val="000000"/>
                <w:kern w:val="2"/>
                <w:sz w:val="21"/>
                <w:szCs w:val="21"/>
                <w:lang w:val="en-US" w:eastAsia="zh-CN" w:bidi="ar-SA"/>
              </w:rPr>
            </w:pPr>
            <w:r>
              <w:rPr>
                <w:rFonts w:hint="eastAsia" w:ascii="Times New Roman" w:hAnsi="Times New Roman" w:eastAsia="宋体" w:cs="宋体"/>
                <w:b w:val="0"/>
                <w:i w:val="0"/>
                <w:iCs w:val="0"/>
                <w:color w:val="000000"/>
                <w:kern w:val="0"/>
                <w:sz w:val="21"/>
                <w:szCs w:val="21"/>
                <w:highlight w:val="none"/>
                <w:u w:val="none"/>
                <w:lang w:val="en-US" w:eastAsia="zh-CN" w:bidi="ar"/>
              </w:rPr>
              <w:t>全国统一网上调查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宋体" w:hAnsi="宋体" w:eastAsia="宋体" w:cs="宋体"/>
                <w:b w:val="0"/>
                <w:color w:val="000000"/>
                <w:kern w:val="0"/>
                <w:sz w:val="21"/>
                <w:szCs w:val="21"/>
                <w:lang w:bidi="ar"/>
              </w:rPr>
            </w:pPr>
          </w:p>
        </w:tc>
        <w:tc>
          <w:tcPr>
            <w:tcW w:w="306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ind w:left="630" w:leftChars="300" w:firstLine="0" w:firstLineChars="0"/>
              <w:textAlignment w:val="top"/>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公共基础课（不含思想政治课）教学满意度*</w:t>
            </w:r>
          </w:p>
        </w:tc>
        <w:tc>
          <w:tcPr>
            <w:tcW w:w="74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outlineLvl w:val="9"/>
              <w:rPr>
                <w:rFonts w:hint="eastAsia" w:ascii="宋体" w:hAnsi="宋体" w:eastAsia="宋体" w:cs="宋体"/>
                <w:b w:val="0"/>
                <w:color w:val="000000"/>
                <w:kern w:val="0"/>
                <w:sz w:val="21"/>
                <w:szCs w:val="21"/>
                <w:lang w:bidi="ar"/>
              </w:rPr>
            </w:pPr>
            <w:bookmarkStart w:id="465" w:name="_Toc14424"/>
            <w:r>
              <w:rPr>
                <w:rFonts w:hint="eastAsia" w:ascii="宋体" w:hAnsi="宋体" w:eastAsia="宋体" w:cs="宋体"/>
                <w:b w:val="0"/>
                <w:color w:val="000000"/>
                <w:kern w:val="0"/>
                <w:sz w:val="21"/>
                <w:szCs w:val="21"/>
                <w:lang w:bidi="ar"/>
              </w:rPr>
              <w:t>%</w:t>
            </w:r>
            <w:bookmarkEnd w:id="465"/>
          </w:p>
        </w:tc>
        <w:tc>
          <w:tcPr>
            <w:tcW w:w="11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87</w:t>
            </w:r>
            <w:r>
              <w:rPr>
                <w:rFonts w:hint="eastAsia" w:ascii="Times New Roman" w:hAnsi="Times New Roman" w:eastAsia="宋体" w:cs="宋体"/>
                <w:b w:val="0"/>
                <w:color w:val="000000"/>
                <w:kern w:val="0"/>
                <w:sz w:val="21"/>
                <w:szCs w:val="21"/>
                <w:lang w:bidi="ar"/>
              </w:rPr>
              <w:t>.</w:t>
            </w:r>
            <w:r>
              <w:rPr>
                <w:rFonts w:hint="eastAsia" w:ascii="Times New Roman" w:hAnsi="Times New Roman" w:eastAsia="宋体" w:cs="宋体"/>
                <w:b w:val="0"/>
                <w:color w:val="000000"/>
                <w:kern w:val="0"/>
                <w:sz w:val="21"/>
                <w:szCs w:val="21"/>
                <w:lang w:val="en-US" w:eastAsia="zh-CN" w:bidi="ar"/>
              </w:rPr>
              <w:t>27</w:t>
            </w:r>
          </w:p>
        </w:tc>
        <w:tc>
          <w:tcPr>
            <w:tcW w:w="114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89.70</w:t>
            </w:r>
          </w:p>
        </w:tc>
        <w:tc>
          <w:tcPr>
            <w:tcW w:w="8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4629</w:t>
            </w:r>
          </w:p>
        </w:tc>
        <w:tc>
          <w:tcPr>
            <w:tcW w:w="107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宋体" w:hAnsi="宋体" w:eastAsia="宋体" w:cs="宋体"/>
                <w:b w:val="0"/>
                <w:color w:val="000000"/>
                <w:kern w:val="2"/>
                <w:sz w:val="21"/>
                <w:szCs w:val="21"/>
                <w:lang w:val="en-US" w:eastAsia="zh-CN" w:bidi="ar-SA"/>
              </w:rPr>
            </w:pPr>
            <w:r>
              <w:rPr>
                <w:rFonts w:hint="eastAsia" w:ascii="Times New Roman" w:hAnsi="Times New Roman" w:eastAsia="宋体" w:cs="宋体"/>
                <w:b w:val="0"/>
                <w:i w:val="0"/>
                <w:iCs w:val="0"/>
                <w:color w:val="000000"/>
                <w:kern w:val="0"/>
                <w:sz w:val="21"/>
                <w:szCs w:val="21"/>
                <w:highlight w:val="none"/>
                <w:u w:val="none"/>
                <w:lang w:val="en-US" w:eastAsia="zh-CN" w:bidi="ar"/>
              </w:rPr>
              <w:t>全国统一网上调查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宋体" w:hAnsi="宋体" w:eastAsia="宋体" w:cs="宋体"/>
                <w:b w:val="0"/>
                <w:color w:val="000000"/>
                <w:kern w:val="0"/>
                <w:sz w:val="21"/>
                <w:szCs w:val="21"/>
                <w:lang w:bidi="ar"/>
              </w:rPr>
            </w:pPr>
          </w:p>
        </w:tc>
        <w:tc>
          <w:tcPr>
            <w:tcW w:w="306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ind w:firstLine="630" w:firstLineChars="300"/>
              <w:textAlignment w:val="top"/>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专业课教学满意度*</w:t>
            </w:r>
          </w:p>
        </w:tc>
        <w:tc>
          <w:tcPr>
            <w:tcW w:w="74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outlineLvl w:val="9"/>
              <w:rPr>
                <w:rFonts w:hint="eastAsia" w:ascii="宋体" w:hAnsi="宋体" w:eastAsia="宋体" w:cs="宋体"/>
                <w:b w:val="0"/>
                <w:color w:val="000000"/>
                <w:kern w:val="0"/>
                <w:sz w:val="21"/>
                <w:szCs w:val="21"/>
                <w:lang w:bidi="ar"/>
              </w:rPr>
            </w:pPr>
            <w:bookmarkStart w:id="466" w:name="_Toc25936"/>
            <w:r>
              <w:rPr>
                <w:rFonts w:hint="eastAsia" w:ascii="宋体" w:hAnsi="宋体" w:eastAsia="宋体" w:cs="宋体"/>
                <w:b w:val="0"/>
                <w:color w:val="000000"/>
                <w:kern w:val="0"/>
                <w:sz w:val="21"/>
                <w:szCs w:val="21"/>
                <w:lang w:bidi="ar"/>
              </w:rPr>
              <w:t>%</w:t>
            </w:r>
            <w:bookmarkEnd w:id="466"/>
          </w:p>
        </w:tc>
        <w:tc>
          <w:tcPr>
            <w:tcW w:w="11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88</w:t>
            </w:r>
            <w:r>
              <w:rPr>
                <w:rFonts w:hint="eastAsia" w:ascii="Times New Roman" w:hAnsi="Times New Roman" w:eastAsia="宋体" w:cs="宋体"/>
                <w:b w:val="0"/>
                <w:color w:val="000000"/>
                <w:kern w:val="0"/>
                <w:sz w:val="21"/>
                <w:szCs w:val="21"/>
                <w:lang w:bidi="ar"/>
              </w:rPr>
              <w:t>.</w:t>
            </w:r>
            <w:r>
              <w:rPr>
                <w:rFonts w:hint="eastAsia" w:ascii="Times New Roman" w:hAnsi="Times New Roman" w:eastAsia="宋体" w:cs="宋体"/>
                <w:b w:val="0"/>
                <w:color w:val="000000"/>
                <w:kern w:val="0"/>
                <w:sz w:val="21"/>
                <w:szCs w:val="21"/>
                <w:lang w:val="en-US" w:eastAsia="zh-CN" w:bidi="ar"/>
              </w:rPr>
              <w:t>36</w:t>
            </w:r>
          </w:p>
        </w:tc>
        <w:tc>
          <w:tcPr>
            <w:tcW w:w="114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90.50</w:t>
            </w:r>
          </w:p>
        </w:tc>
        <w:tc>
          <w:tcPr>
            <w:tcW w:w="8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4629</w:t>
            </w:r>
          </w:p>
        </w:tc>
        <w:tc>
          <w:tcPr>
            <w:tcW w:w="107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宋体" w:hAnsi="宋体" w:eastAsia="宋体" w:cs="宋体"/>
                <w:b w:val="0"/>
                <w:color w:val="000000"/>
                <w:kern w:val="2"/>
                <w:sz w:val="21"/>
                <w:szCs w:val="21"/>
                <w:lang w:val="en-US" w:eastAsia="zh-CN" w:bidi="ar-SA"/>
              </w:rPr>
            </w:pPr>
            <w:r>
              <w:rPr>
                <w:rFonts w:hint="eastAsia" w:ascii="Times New Roman" w:hAnsi="Times New Roman" w:eastAsia="宋体" w:cs="宋体"/>
                <w:b w:val="0"/>
                <w:i w:val="0"/>
                <w:iCs w:val="0"/>
                <w:color w:val="000000"/>
                <w:kern w:val="0"/>
                <w:sz w:val="21"/>
                <w:szCs w:val="21"/>
                <w:highlight w:val="none"/>
                <w:u w:val="none"/>
                <w:lang w:val="en-US" w:eastAsia="zh-CN" w:bidi="ar"/>
              </w:rPr>
              <w:t>全国统一网上调查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restart"/>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2</w:t>
            </w:r>
          </w:p>
        </w:tc>
        <w:tc>
          <w:tcPr>
            <w:tcW w:w="306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textAlignment w:val="top"/>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毕业生满意度</w:t>
            </w:r>
          </w:p>
        </w:tc>
        <w:tc>
          <w:tcPr>
            <w:tcW w:w="74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outlineLvl w:val="9"/>
              <w:rPr>
                <w:rFonts w:hint="eastAsia" w:ascii="宋体" w:hAnsi="宋体" w:eastAsia="宋体" w:cs="宋体"/>
                <w:b w:val="0"/>
                <w:color w:val="000000"/>
                <w:kern w:val="0"/>
                <w:sz w:val="21"/>
                <w:szCs w:val="21"/>
                <w:lang w:bidi="ar"/>
              </w:rPr>
            </w:pPr>
            <w:bookmarkStart w:id="467" w:name="_Toc12466"/>
            <w:r>
              <w:rPr>
                <w:rFonts w:hint="eastAsia" w:ascii="宋体" w:hAnsi="宋体" w:eastAsia="宋体" w:cs="宋体"/>
                <w:b w:val="0"/>
                <w:color w:val="000000"/>
                <w:kern w:val="0"/>
                <w:sz w:val="21"/>
                <w:szCs w:val="21"/>
                <w:lang w:bidi="ar"/>
              </w:rPr>
              <w:t>%</w:t>
            </w:r>
            <w:bookmarkEnd w:id="467"/>
          </w:p>
        </w:tc>
        <w:tc>
          <w:tcPr>
            <w:tcW w:w="11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96.91</w:t>
            </w:r>
          </w:p>
        </w:tc>
        <w:tc>
          <w:tcPr>
            <w:tcW w:w="114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98.15</w:t>
            </w:r>
          </w:p>
        </w:tc>
        <w:tc>
          <w:tcPr>
            <w:tcW w:w="8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2538</w:t>
            </w:r>
          </w:p>
        </w:tc>
        <w:tc>
          <w:tcPr>
            <w:tcW w:w="107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宋体" w:hAnsi="宋体" w:eastAsia="宋体" w:cs="宋体"/>
                <w:b w:val="0"/>
                <w:color w:val="000000"/>
                <w:kern w:val="2"/>
                <w:sz w:val="21"/>
                <w:szCs w:val="21"/>
                <w:lang w:val="en-US" w:eastAsia="zh-CN" w:bidi="ar-SA"/>
              </w:rPr>
            </w:pPr>
            <w:r>
              <w:rPr>
                <w:rFonts w:hint="eastAsia" w:ascii="Times New Roman" w:hAnsi="Times New Roman" w:eastAsia="宋体" w:cs="宋体"/>
                <w:b w:val="0"/>
                <w:i w:val="0"/>
                <w:iCs w:val="0"/>
                <w:color w:val="000000"/>
                <w:kern w:val="0"/>
                <w:sz w:val="21"/>
                <w:szCs w:val="21"/>
                <w:highlight w:val="none"/>
                <w:u w:val="none"/>
                <w:lang w:val="en-US" w:eastAsia="zh-CN" w:bidi="ar"/>
              </w:rPr>
              <w:t>网上调查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宋体" w:hAnsi="宋体" w:eastAsia="宋体" w:cs="宋体"/>
                <w:b w:val="0"/>
                <w:color w:val="000000"/>
                <w:kern w:val="0"/>
                <w:sz w:val="21"/>
                <w:szCs w:val="21"/>
                <w:lang w:bidi="ar"/>
              </w:rPr>
            </w:pPr>
          </w:p>
        </w:tc>
        <w:tc>
          <w:tcPr>
            <w:tcW w:w="306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ind w:left="720" w:hanging="630" w:hangingChars="300"/>
              <w:textAlignment w:val="top"/>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其中：应届毕业生满意度</w:t>
            </w:r>
          </w:p>
        </w:tc>
        <w:tc>
          <w:tcPr>
            <w:tcW w:w="74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outlineLvl w:val="9"/>
              <w:rPr>
                <w:rFonts w:hint="eastAsia" w:ascii="宋体" w:hAnsi="宋体" w:eastAsia="宋体" w:cs="宋体"/>
                <w:b w:val="0"/>
                <w:color w:val="000000"/>
                <w:kern w:val="0"/>
                <w:sz w:val="21"/>
                <w:szCs w:val="21"/>
                <w:lang w:bidi="ar"/>
              </w:rPr>
            </w:pPr>
            <w:bookmarkStart w:id="468" w:name="_Toc3932"/>
            <w:r>
              <w:rPr>
                <w:rFonts w:hint="eastAsia" w:ascii="宋体" w:hAnsi="宋体" w:eastAsia="宋体" w:cs="宋体"/>
                <w:b w:val="0"/>
                <w:color w:val="000000"/>
                <w:kern w:val="0"/>
                <w:sz w:val="21"/>
                <w:szCs w:val="21"/>
                <w:lang w:bidi="ar"/>
              </w:rPr>
              <w:t>%</w:t>
            </w:r>
            <w:bookmarkEnd w:id="468"/>
          </w:p>
        </w:tc>
        <w:tc>
          <w:tcPr>
            <w:tcW w:w="11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95.84</w:t>
            </w:r>
          </w:p>
        </w:tc>
        <w:tc>
          <w:tcPr>
            <w:tcW w:w="114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98.38</w:t>
            </w:r>
          </w:p>
        </w:tc>
        <w:tc>
          <w:tcPr>
            <w:tcW w:w="8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1726</w:t>
            </w:r>
          </w:p>
        </w:tc>
        <w:tc>
          <w:tcPr>
            <w:tcW w:w="107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宋体" w:hAnsi="宋体" w:eastAsia="宋体" w:cs="宋体"/>
                <w:b w:val="0"/>
                <w:color w:val="000000"/>
                <w:kern w:val="2"/>
                <w:sz w:val="21"/>
                <w:szCs w:val="21"/>
                <w:lang w:val="en-US" w:eastAsia="zh-CN" w:bidi="ar-SA"/>
              </w:rPr>
            </w:pPr>
            <w:r>
              <w:rPr>
                <w:rFonts w:hint="eastAsia" w:ascii="Times New Roman" w:hAnsi="Times New Roman" w:eastAsia="宋体" w:cs="宋体"/>
                <w:b w:val="0"/>
                <w:i w:val="0"/>
                <w:iCs w:val="0"/>
                <w:color w:val="000000"/>
                <w:kern w:val="0"/>
                <w:sz w:val="21"/>
                <w:szCs w:val="21"/>
                <w:highlight w:val="none"/>
                <w:u w:val="none"/>
                <w:lang w:val="en-US" w:eastAsia="zh-CN" w:bidi="ar"/>
              </w:rPr>
              <w:t>网上调查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宋体" w:hAnsi="宋体" w:eastAsia="宋体" w:cs="宋体"/>
                <w:b w:val="0"/>
                <w:color w:val="000000"/>
                <w:kern w:val="0"/>
                <w:sz w:val="21"/>
                <w:szCs w:val="21"/>
                <w:lang w:bidi="ar"/>
              </w:rPr>
            </w:pPr>
          </w:p>
        </w:tc>
        <w:tc>
          <w:tcPr>
            <w:tcW w:w="306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ind w:firstLine="420" w:firstLineChars="200"/>
              <w:textAlignment w:val="top"/>
              <w:outlineLvl w:val="9"/>
              <w:rPr>
                <w:rFonts w:hint="eastAsia" w:ascii="宋体" w:hAnsi="宋体" w:eastAsia="宋体" w:cs="宋体"/>
                <w:b w:val="0"/>
                <w:color w:val="000000"/>
                <w:kern w:val="0"/>
                <w:sz w:val="21"/>
                <w:szCs w:val="21"/>
                <w:lang w:bidi="ar"/>
              </w:rPr>
            </w:pPr>
            <w:bookmarkStart w:id="469" w:name="OLE_LINK14"/>
            <w:r>
              <w:rPr>
                <w:rFonts w:hint="eastAsia" w:ascii="宋体" w:hAnsi="宋体" w:eastAsia="宋体" w:cs="宋体"/>
                <w:b w:val="0"/>
                <w:color w:val="000000"/>
                <w:kern w:val="0"/>
                <w:sz w:val="21"/>
                <w:szCs w:val="21"/>
                <w:lang w:bidi="ar"/>
              </w:rPr>
              <w:t>毕业三年内毕业生满意度</w:t>
            </w:r>
            <w:bookmarkEnd w:id="469"/>
          </w:p>
        </w:tc>
        <w:tc>
          <w:tcPr>
            <w:tcW w:w="74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outlineLvl w:val="9"/>
              <w:rPr>
                <w:rFonts w:hint="eastAsia" w:ascii="宋体" w:hAnsi="宋体" w:eastAsia="宋体" w:cs="宋体"/>
                <w:b w:val="0"/>
                <w:color w:val="000000"/>
                <w:kern w:val="0"/>
                <w:sz w:val="21"/>
                <w:szCs w:val="21"/>
                <w:lang w:bidi="ar"/>
              </w:rPr>
            </w:pPr>
            <w:bookmarkStart w:id="470" w:name="_Toc18907"/>
            <w:r>
              <w:rPr>
                <w:rFonts w:hint="eastAsia" w:ascii="宋体" w:hAnsi="宋体" w:eastAsia="宋体" w:cs="宋体"/>
                <w:b w:val="0"/>
                <w:color w:val="000000"/>
                <w:kern w:val="0"/>
                <w:sz w:val="21"/>
                <w:szCs w:val="21"/>
                <w:lang w:bidi="ar"/>
              </w:rPr>
              <w:t>%</w:t>
            </w:r>
            <w:bookmarkEnd w:id="470"/>
          </w:p>
        </w:tc>
        <w:tc>
          <w:tcPr>
            <w:tcW w:w="11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97.98</w:t>
            </w:r>
          </w:p>
        </w:tc>
        <w:tc>
          <w:tcPr>
            <w:tcW w:w="114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97.91</w:t>
            </w:r>
          </w:p>
        </w:tc>
        <w:tc>
          <w:tcPr>
            <w:tcW w:w="8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812</w:t>
            </w:r>
          </w:p>
        </w:tc>
        <w:tc>
          <w:tcPr>
            <w:tcW w:w="107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宋体" w:hAnsi="宋体" w:eastAsia="宋体" w:cs="宋体"/>
                <w:b w:val="0"/>
                <w:color w:val="000000"/>
                <w:kern w:val="2"/>
                <w:sz w:val="21"/>
                <w:szCs w:val="21"/>
                <w:lang w:val="en-US" w:eastAsia="zh-CN" w:bidi="ar-SA"/>
              </w:rPr>
            </w:pPr>
            <w:r>
              <w:rPr>
                <w:rFonts w:hint="eastAsia" w:ascii="Times New Roman" w:hAnsi="Times New Roman" w:eastAsia="宋体" w:cs="宋体"/>
                <w:b w:val="0"/>
                <w:i w:val="0"/>
                <w:iCs w:val="0"/>
                <w:color w:val="000000"/>
                <w:kern w:val="0"/>
                <w:sz w:val="21"/>
                <w:szCs w:val="21"/>
                <w:highlight w:val="none"/>
                <w:u w:val="none"/>
                <w:lang w:val="en-US" w:eastAsia="zh-CN" w:bidi="ar"/>
              </w:rPr>
              <w:t>网上调查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宋体" w:hAnsi="宋体" w:eastAsia="宋体" w:cs="宋体"/>
                <w:b w:val="0"/>
                <w:color w:val="000000"/>
                <w:sz w:val="21"/>
                <w:szCs w:val="21"/>
              </w:rPr>
            </w:pPr>
            <w:r>
              <w:rPr>
                <w:rFonts w:hint="eastAsia" w:ascii="宋体" w:hAnsi="宋体" w:eastAsia="宋体" w:cs="宋体"/>
                <w:b w:val="0"/>
                <w:color w:val="000000"/>
                <w:kern w:val="0"/>
                <w:sz w:val="21"/>
                <w:szCs w:val="21"/>
                <w:lang w:bidi="ar"/>
              </w:rPr>
              <w:t>3</w:t>
            </w:r>
          </w:p>
        </w:tc>
        <w:tc>
          <w:tcPr>
            <w:tcW w:w="306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textAlignment w:val="top"/>
              <w:outlineLvl w:val="9"/>
              <w:rPr>
                <w:rFonts w:hint="eastAsia" w:ascii="宋体" w:hAnsi="宋体" w:eastAsia="宋体" w:cs="宋体"/>
                <w:b w:val="0"/>
                <w:color w:val="000000"/>
                <w:sz w:val="21"/>
                <w:szCs w:val="21"/>
              </w:rPr>
            </w:pPr>
            <w:r>
              <w:rPr>
                <w:rFonts w:hint="eastAsia" w:ascii="宋体" w:hAnsi="宋体" w:eastAsia="宋体" w:cs="宋体"/>
                <w:b w:val="0"/>
                <w:color w:val="000000"/>
                <w:kern w:val="0"/>
                <w:sz w:val="21"/>
                <w:szCs w:val="21"/>
                <w:lang w:bidi="ar"/>
              </w:rPr>
              <w:t>教职工满意度*</w:t>
            </w:r>
          </w:p>
        </w:tc>
        <w:tc>
          <w:tcPr>
            <w:tcW w:w="74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outlineLvl w:val="9"/>
              <w:rPr>
                <w:rFonts w:hint="eastAsia" w:ascii="宋体" w:hAnsi="宋体" w:eastAsia="宋体" w:cs="宋体"/>
                <w:b w:val="0"/>
                <w:color w:val="000000"/>
                <w:sz w:val="21"/>
                <w:szCs w:val="21"/>
              </w:rPr>
            </w:pPr>
            <w:bookmarkStart w:id="471" w:name="_Toc3099"/>
            <w:r>
              <w:rPr>
                <w:rFonts w:hint="eastAsia" w:ascii="宋体" w:hAnsi="宋体" w:eastAsia="宋体" w:cs="宋体"/>
                <w:b w:val="0"/>
                <w:color w:val="000000"/>
                <w:kern w:val="0"/>
                <w:sz w:val="21"/>
                <w:szCs w:val="21"/>
                <w:lang w:bidi="ar"/>
              </w:rPr>
              <w:t>%</w:t>
            </w:r>
            <w:bookmarkEnd w:id="471"/>
          </w:p>
        </w:tc>
        <w:tc>
          <w:tcPr>
            <w:tcW w:w="11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w:t>
            </w:r>
          </w:p>
        </w:tc>
        <w:tc>
          <w:tcPr>
            <w:tcW w:w="114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w:t>
            </w:r>
          </w:p>
        </w:tc>
        <w:tc>
          <w:tcPr>
            <w:tcW w:w="8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w:t>
            </w:r>
          </w:p>
        </w:tc>
        <w:tc>
          <w:tcPr>
            <w:tcW w:w="107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宋体" w:hAnsi="宋体" w:eastAsia="宋体" w:cs="宋体"/>
                <w:b w:val="0"/>
                <w:color w:val="000000"/>
                <w:kern w:val="2"/>
                <w:sz w:val="21"/>
                <w:szCs w:val="21"/>
                <w:lang w:val="en-US" w:eastAsia="zh-CN" w:bidi="ar-SA"/>
              </w:rPr>
            </w:pPr>
            <w:r>
              <w:rPr>
                <w:rFonts w:hint="eastAsia" w:ascii="Times New Roman" w:hAnsi="Times New Roman" w:eastAsia="宋体" w:cs="宋体"/>
                <w:b w:val="0"/>
                <w:i w:val="0"/>
                <w:iCs w:val="0"/>
                <w:color w:val="000000"/>
                <w:kern w:val="0"/>
                <w:sz w:val="21"/>
                <w:szCs w:val="21"/>
                <w:highlight w:val="none"/>
                <w:u w:val="none"/>
                <w:lang w:val="en-US" w:eastAsia="zh-CN" w:bidi="ar"/>
              </w:rPr>
              <w:t>全国统一网上调查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宋体" w:hAnsi="宋体" w:eastAsia="宋体" w:cs="宋体"/>
                <w:b w:val="0"/>
                <w:color w:val="000000"/>
                <w:sz w:val="21"/>
                <w:szCs w:val="21"/>
              </w:rPr>
            </w:pPr>
            <w:r>
              <w:rPr>
                <w:rFonts w:hint="eastAsia" w:ascii="宋体" w:hAnsi="宋体" w:eastAsia="宋体" w:cs="宋体"/>
                <w:b w:val="0"/>
                <w:color w:val="000000"/>
                <w:sz w:val="21"/>
                <w:szCs w:val="21"/>
              </w:rPr>
              <w:t>4</w:t>
            </w:r>
          </w:p>
        </w:tc>
        <w:tc>
          <w:tcPr>
            <w:tcW w:w="306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textAlignment w:val="top"/>
              <w:outlineLvl w:val="9"/>
              <w:rPr>
                <w:rFonts w:hint="eastAsia" w:ascii="宋体" w:hAnsi="宋体" w:eastAsia="宋体" w:cs="宋体"/>
                <w:b w:val="0"/>
                <w:color w:val="000000"/>
                <w:sz w:val="21"/>
                <w:szCs w:val="21"/>
              </w:rPr>
            </w:pPr>
            <w:r>
              <w:rPr>
                <w:rFonts w:hint="eastAsia" w:ascii="宋体" w:hAnsi="宋体" w:eastAsia="宋体" w:cs="宋体"/>
                <w:b w:val="0"/>
                <w:color w:val="000000"/>
                <w:kern w:val="0"/>
                <w:sz w:val="21"/>
                <w:szCs w:val="21"/>
                <w:lang w:bidi="ar"/>
              </w:rPr>
              <w:t>用人单位满意度</w:t>
            </w:r>
          </w:p>
        </w:tc>
        <w:tc>
          <w:tcPr>
            <w:tcW w:w="74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outlineLvl w:val="9"/>
              <w:rPr>
                <w:rFonts w:hint="eastAsia" w:ascii="宋体" w:hAnsi="宋体" w:eastAsia="宋体" w:cs="宋体"/>
                <w:b w:val="0"/>
                <w:color w:val="000000"/>
                <w:sz w:val="21"/>
                <w:szCs w:val="21"/>
              </w:rPr>
            </w:pPr>
            <w:bookmarkStart w:id="472" w:name="_Toc20628"/>
            <w:r>
              <w:rPr>
                <w:rFonts w:hint="eastAsia" w:ascii="宋体" w:hAnsi="宋体" w:eastAsia="宋体" w:cs="宋体"/>
                <w:b w:val="0"/>
                <w:color w:val="000000"/>
                <w:kern w:val="0"/>
                <w:sz w:val="21"/>
                <w:szCs w:val="21"/>
                <w:lang w:bidi="ar"/>
              </w:rPr>
              <w:t>%</w:t>
            </w:r>
            <w:bookmarkEnd w:id="472"/>
          </w:p>
        </w:tc>
        <w:tc>
          <w:tcPr>
            <w:tcW w:w="11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98.44</w:t>
            </w:r>
          </w:p>
        </w:tc>
        <w:tc>
          <w:tcPr>
            <w:tcW w:w="114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98.46</w:t>
            </w:r>
          </w:p>
        </w:tc>
        <w:tc>
          <w:tcPr>
            <w:tcW w:w="8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820</w:t>
            </w:r>
          </w:p>
        </w:tc>
        <w:tc>
          <w:tcPr>
            <w:tcW w:w="107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宋体" w:hAnsi="宋体" w:eastAsia="宋体" w:cs="宋体"/>
                <w:b w:val="0"/>
                <w:color w:val="000000"/>
                <w:kern w:val="2"/>
                <w:sz w:val="21"/>
                <w:szCs w:val="21"/>
                <w:lang w:val="en-US" w:eastAsia="zh-CN" w:bidi="ar-SA"/>
              </w:rPr>
            </w:pPr>
            <w:r>
              <w:rPr>
                <w:rFonts w:hint="eastAsia" w:ascii="Times New Roman" w:hAnsi="Times New Roman" w:eastAsia="宋体" w:cs="宋体"/>
                <w:b w:val="0"/>
                <w:i w:val="0"/>
                <w:iCs w:val="0"/>
                <w:color w:val="000000"/>
                <w:kern w:val="0"/>
                <w:sz w:val="21"/>
                <w:szCs w:val="21"/>
                <w:highlight w:val="none"/>
                <w:u w:val="none"/>
                <w:lang w:val="en-US" w:eastAsia="zh-CN" w:bidi="ar"/>
              </w:rPr>
              <w:t>网上调查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宋体" w:hAnsi="宋体" w:eastAsia="宋体" w:cs="宋体"/>
                <w:b w:val="0"/>
                <w:color w:val="000000"/>
                <w:sz w:val="21"/>
                <w:szCs w:val="21"/>
              </w:rPr>
            </w:pPr>
            <w:r>
              <w:rPr>
                <w:rFonts w:hint="eastAsia" w:ascii="宋体" w:hAnsi="宋体" w:eastAsia="宋体" w:cs="宋体"/>
                <w:b w:val="0"/>
                <w:color w:val="000000"/>
                <w:sz w:val="21"/>
                <w:szCs w:val="21"/>
              </w:rPr>
              <w:t>5</w:t>
            </w:r>
          </w:p>
        </w:tc>
        <w:tc>
          <w:tcPr>
            <w:tcW w:w="306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textAlignment w:val="top"/>
              <w:outlineLvl w:val="9"/>
              <w:rPr>
                <w:rFonts w:hint="eastAsia" w:ascii="宋体" w:hAnsi="宋体" w:eastAsia="宋体" w:cs="宋体"/>
                <w:b w:val="0"/>
                <w:color w:val="000000"/>
                <w:sz w:val="21"/>
                <w:szCs w:val="21"/>
              </w:rPr>
            </w:pPr>
            <w:r>
              <w:rPr>
                <w:rFonts w:hint="eastAsia" w:ascii="宋体" w:hAnsi="宋体" w:eastAsia="宋体" w:cs="宋体"/>
                <w:b w:val="0"/>
                <w:color w:val="000000"/>
                <w:kern w:val="0"/>
                <w:sz w:val="21"/>
                <w:szCs w:val="21"/>
                <w:lang w:bidi="ar"/>
              </w:rPr>
              <w:t>家长满意度</w:t>
            </w:r>
          </w:p>
        </w:tc>
        <w:tc>
          <w:tcPr>
            <w:tcW w:w="74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adjustRightInd/>
              <w:snapToGrid/>
              <w:jc w:val="center"/>
              <w:outlineLvl w:val="9"/>
              <w:rPr>
                <w:rFonts w:hint="eastAsia" w:ascii="宋体" w:hAnsi="宋体" w:eastAsia="宋体" w:cs="宋体"/>
                <w:b w:val="0"/>
                <w:color w:val="000000"/>
                <w:sz w:val="21"/>
                <w:szCs w:val="21"/>
              </w:rPr>
            </w:pPr>
            <w:bookmarkStart w:id="473" w:name="_Toc49"/>
            <w:r>
              <w:rPr>
                <w:rFonts w:hint="eastAsia" w:ascii="宋体" w:hAnsi="宋体" w:eastAsia="宋体" w:cs="宋体"/>
                <w:b w:val="0"/>
                <w:color w:val="000000"/>
                <w:kern w:val="0"/>
                <w:sz w:val="21"/>
                <w:szCs w:val="21"/>
                <w:lang w:bidi="ar"/>
              </w:rPr>
              <w:t>%</w:t>
            </w:r>
            <w:bookmarkEnd w:id="473"/>
          </w:p>
        </w:tc>
        <w:tc>
          <w:tcPr>
            <w:tcW w:w="11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98.84</w:t>
            </w:r>
          </w:p>
        </w:tc>
        <w:tc>
          <w:tcPr>
            <w:tcW w:w="114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98.33</w:t>
            </w:r>
          </w:p>
        </w:tc>
        <w:tc>
          <w:tcPr>
            <w:tcW w:w="8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3728</w:t>
            </w:r>
          </w:p>
        </w:tc>
        <w:tc>
          <w:tcPr>
            <w:tcW w:w="107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outlineLvl w:val="9"/>
              <w:rPr>
                <w:rFonts w:hint="eastAsia" w:ascii="宋体" w:hAnsi="宋体" w:eastAsia="宋体" w:cs="宋体"/>
                <w:b w:val="0"/>
                <w:color w:val="000000"/>
                <w:kern w:val="2"/>
                <w:sz w:val="21"/>
                <w:szCs w:val="21"/>
                <w:lang w:val="en-US" w:eastAsia="zh-CN" w:bidi="ar-SA"/>
              </w:rPr>
            </w:pPr>
            <w:r>
              <w:rPr>
                <w:rFonts w:hint="eastAsia" w:ascii="Times New Roman" w:hAnsi="Times New Roman" w:eastAsia="宋体" w:cs="宋体"/>
                <w:b w:val="0"/>
                <w:i w:val="0"/>
                <w:iCs w:val="0"/>
                <w:color w:val="000000"/>
                <w:kern w:val="0"/>
                <w:sz w:val="21"/>
                <w:szCs w:val="21"/>
                <w:highlight w:val="none"/>
                <w:u w:val="none"/>
                <w:lang w:val="en-US" w:eastAsia="zh-CN" w:bidi="ar"/>
              </w:rPr>
              <w:t>网上调查</w:t>
            </w:r>
          </w:p>
        </w:tc>
      </w:tr>
    </w:tbl>
    <w:p>
      <w:pPr>
        <w:pStyle w:val="28"/>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outlineLvl w:val="9"/>
        <w:rPr>
          <w:rFonts w:hint="eastAsia" w:ascii="Times New Roman" w:hAnsi="Times New Roman" w:eastAsia="宋体" w:cs="仿宋"/>
          <w:color w:val="auto"/>
          <w:kern w:val="2"/>
          <w:sz w:val="24"/>
          <w:szCs w:val="24"/>
          <w:lang w:val="en-US" w:eastAsia="zh-CN" w:bidi="ar-SA"/>
        </w:rPr>
      </w:pPr>
    </w:p>
    <w:p>
      <w:pPr>
        <w:pStyle w:val="28"/>
        <w:keepNext w:val="0"/>
        <w:keepLines w:val="0"/>
        <w:pageBreakBefore w:val="0"/>
        <w:kinsoku/>
        <w:wordWrap/>
        <w:overflowPunct/>
        <w:topLinePunct w:val="0"/>
        <w:autoSpaceDE/>
        <w:autoSpaceDN/>
        <w:bidi w:val="0"/>
        <w:adjustRightInd/>
        <w:snapToGrid/>
        <w:ind w:firstLine="0" w:firstLineChars="0"/>
        <w:outlineLvl w:val="9"/>
        <w:rPr>
          <w:rFonts w:hint="default"/>
        </w:rPr>
      </w:pPr>
    </w:p>
    <w:p>
      <w:pPr>
        <w:pStyle w:val="28"/>
        <w:keepNext w:val="0"/>
        <w:keepLines w:val="0"/>
        <w:pageBreakBefore w:val="0"/>
        <w:kinsoku/>
        <w:wordWrap/>
        <w:overflowPunct/>
        <w:topLinePunct w:val="0"/>
        <w:autoSpaceDE/>
        <w:autoSpaceDN/>
        <w:bidi w:val="0"/>
        <w:adjustRightInd/>
        <w:snapToGrid/>
        <w:ind w:firstLine="0" w:firstLineChars="0"/>
        <w:outlineLvl w:val="9"/>
        <w:rPr>
          <w:rFonts w:hint="default"/>
        </w:rPr>
      </w:pPr>
    </w:p>
    <w:p>
      <w:pPr>
        <w:pStyle w:val="28"/>
        <w:keepNext w:val="0"/>
        <w:keepLines w:val="0"/>
        <w:pageBreakBefore w:val="0"/>
        <w:kinsoku/>
        <w:wordWrap/>
        <w:overflowPunct/>
        <w:topLinePunct w:val="0"/>
        <w:autoSpaceDE/>
        <w:autoSpaceDN/>
        <w:bidi w:val="0"/>
        <w:adjustRightInd/>
        <w:snapToGrid/>
        <w:ind w:firstLine="0" w:firstLineChars="0"/>
        <w:outlineLvl w:val="9"/>
        <w:rPr>
          <w:rFonts w:hint="default"/>
        </w:rPr>
      </w:pPr>
    </w:p>
    <w:p>
      <w:pPr>
        <w:pStyle w:val="28"/>
        <w:keepNext w:val="0"/>
        <w:keepLines w:val="0"/>
        <w:pageBreakBefore w:val="0"/>
        <w:kinsoku/>
        <w:wordWrap/>
        <w:overflowPunct/>
        <w:topLinePunct w:val="0"/>
        <w:autoSpaceDE/>
        <w:autoSpaceDN/>
        <w:bidi w:val="0"/>
        <w:adjustRightInd/>
        <w:snapToGrid/>
        <w:ind w:firstLine="0" w:firstLineChars="0"/>
        <w:outlineLvl w:val="9"/>
        <w:rPr>
          <w:rFonts w:hint="default"/>
        </w:rPr>
      </w:pPr>
    </w:p>
    <w:p>
      <w:pPr>
        <w:pStyle w:val="28"/>
        <w:keepNext w:val="0"/>
        <w:keepLines w:val="0"/>
        <w:pageBreakBefore w:val="0"/>
        <w:kinsoku/>
        <w:wordWrap/>
        <w:overflowPunct/>
        <w:topLinePunct w:val="0"/>
        <w:autoSpaceDE/>
        <w:autoSpaceDN/>
        <w:bidi w:val="0"/>
        <w:adjustRightInd/>
        <w:snapToGrid/>
        <w:ind w:firstLine="0" w:firstLineChars="0"/>
        <w:outlineLvl w:val="9"/>
        <w:rPr>
          <w:rFonts w:hint="default"/>
        </w:rPr>
      </w:pPr>
    </w:p>
    <w:p>
      <w:pPr>
        <w:pStyle w:val="28"/>
        <w:keepNext w:val="0"/>
        <w:keepLines w:val="0"/>
        <w:pageBreakBefore w:val="0"/>
        <w:kinsoku/>
        <w:wordWrap/>
        <w:overflowPunct/>
        <w:topLinePunct w:val="0"/>
        <w:autoSpaceDE/>
        <w:autoSpaceDN/>
        <w:bidi w:val="0"/>
        <w:adjustRightInd/>
        <w:snapToGrid/>
        <w:ind w:firstLine="0" w:firstLineChars="0"/>
        <w:outlineLvl w:val="9"/>
        <w:rPr>
          <w:rFonts w:hint="default"/>
        </w:rPr>
      </w:pPr>
    </w:p>
    <w:p>
      <w:pPr>
        <w:pStyle w:val="28"/>
        <w:keepNext w:val="0"/>
        <w:keepLines w:val="0"/>
        <w:pageBreakBefore w:val="0"/>
        <w:kinsoku/>
        <w:wordWrap/>
        <w:overflowPunct/>
        <w:topLinePunct w:val="0"/>
        <w:autoSpaceDE/>
        <w:autoSpaceDN/>
        <w:bidi w:val="0"/>
        <w:adjustRightInd/>
        <w:snapToGrid/>
        <w:ind w:firstLine="0" w:firstLineChars="0"/>
        <w:outlineLvl w:val="9"/>
        <w:rPr>
          <w:rFonts w:hint="default"/>
        </w:rPr>
      </w:pPr>
    </w:p>
    <w:p>
      <w:pPr>
        <w:pStyle w:val="28"/>
        <w:keepNext w:val="0"/>
        <w:keepLines w:val="0"/>
        <w:pageBreakBefore w:val="0"/>
        <w:kinsoku/>
        <w:wordWrap/>
        <w:overflowPunct/>
        <w:topLinePunct w:val="0"/>
        <w:autoSpaceDE/>
        <w:autoSpaceDN/>
        <w:bidi w:val="0"/>
        <w:adjustRightInd/>
        <w:snapToGrid/>
        <w:ind w:firstLine="0" w:firstLineChars="0"/>
        <w:outlineLvl w:val="9"/>
        <w:rPr>
          <w:rFonts w:hint="default"/>
        </w:rPr>
      </w:pPr>
    </w:p>
    <w:p>
      <w:pPr>
        <w:pStyle w:val="28"/>
        <w:keepNext w:val="0"/>
        <w:keepLines w:val="0"/>
        <w:pageBreakBefore w:val="0"/>
        <w:kinsoku/>
        <w:wordWrap/>
        <w:overflowPunct/>
        <w:topLinePunct w:val="0"/>
        <w:autoSpaceDE/>
        <w:autoSpaceDN/>
        <w:bidi w:val="0"/>
        <w:adjustRightInd/>
        <w:snapToGrid/>
        <w:ind w:firstLine="0" w:firstLineChars="0"/>
        <w:outlineLvl w:val="9"/>
        <w:rPr>
          <w:rFonts w:hint="default"/>
        </w:rPr>
      </w:pPr>
    </w:p>
    <w:p>
      <w:pPr>
        <w:pStyle w:val="28"/>
        <w:keepNext w:val="0"/>
        <w:keepLines w:val="0"/>
        <w:pageBreakBefore w:val="0"/>
        <w:kinsoku/>
        <w:wordWrap/>
        <w:overflowPunct/>
        <w:topLinePunct w:val="0"/>
        <w:autoSpaceDE/>
        <w:autoSpaceDN/>
        <w:bidi w:val="0"/>
        <w:adjustRightInd/>
        <w:snapToGrid/>
        <w:ind w:firstLine="0" w:firstLineChars="0"/>
        <w:outlineLvl w:val="9"/>
        <w:rPr>
          <w:rFonts w:hint="default"/>
        </w:rPr>
      </w:pPr>
    </w:p>
    <w:p>
      <w:pPr>
        <w:pStyle w:val="28"/>
        <w:keepNext w:val="0"/>
        <w:keepLines w:val="0"/>
        <w:pageBreakBefore w:val="0"/>
        <w:kinsoku/>
        <w:wordWrap/>
        <w:overflowPunct/>
        <w:topLinePunct w:val="0"/>
        <w:autoSpaceDE/>
        <w:autoSpaceDN/>
        <w:bidi w:val="0"/>
        <w:adjustRightInd/>
        <w:snapToGrid/>
        <w:ind w:firstLine="0" w:firstLineChars="0"/>
        <w:outlineLvl w:val="9"/>
        <w:rPr>
          <w:rFonts w:hint="default"/>
        </w:rPr>
      </w:pPr>
    </w:p>
    <w:p>
      <w:pPr>
        <w:pStyle w:val="3"/>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黑体" w:hAnsi="黑体" w:cs="黑体"/>
          <w:b/>
          <w:bCs w:val="0"/>
          <w:sz w:val="30"/>
          <w:szCs w:val="30"/>
          <w:lang w:val="en-US" w:eastAsia="zh-CN"/>
        </w:rPr>
      </w:pPr>
      <w:bookmarkStart w:id="474" w:name="_Toc22699"/>
      <w:r>
        <w:rPr>
          <w:rFonts w:hint="eastAsia" w:ascii="黑体" w:hAnsi="黑体" w:cs="黑体"/>
          <w:b/>
          <w:bCs w:val="0"/>
          <w:sz w:val="30"/>
          <w:szCs w:val="30"/>
          <w:lang w:val="en-US" w:eastAsia="zh-CN"/>
        </w:rPr>
        <w:t>附表3  教学资源表</w:t>
      </w:r>
      <w:bookmarkEnd w:id="474"/>
    </w:p>
    <w:p>
      <w:pPr>
        <w:pStyle w:val="28"/>
        <w:keepNext w:val="0"/>
        <w:keepLines w:val="0"/>
        <w:pageBreakBefore w:val="0"/>
        <w:widowControl w:val="0"/>
        <w:kinsoku/>
        <w:wordWrap/>
        <w:overflowPunct/>
        <w:topLinePunct w:val="0"/>
        <w:autoSpaceDE/>
        <w:autoSpaceDN/>
        <w:bidi w:val="0"/>
        <w:adjustRightInd/>
        <w:snapToGrid/>
        <w:spacing w:after="0" w:line="240" w:lineRule="exact"/>
        <w:ind w:firstLine="0" w:firstLineChars="0"/>
        <w:jc w:val="center"/>
        <w:textAlignment w:val="auto"/>
        <w:outlineLvl w:val="9"/>
        <w:rPr>
          <w:rFonts w:hint="eastAsia" w:ascii="黑体" w:hAnsi="黑体" w:eastAsia="黑体" w:cs="黑体"/>
          <w:b/>
          <w:bCs w:val="0"/>
          <w:kern w:val="44"/>
          <w:sz w:val="32"/>
          <w:szCs w:val="44"/>
          <w:lang w:val="en-US" w:eastAsia="zh-CN" w:bidi="ar-SA"/>
        </w:rPr>
      </w:pPr>
    </w:p>
    <w:tbl>
      <w:tblPr>
        <w:tblStyle w:val="31"/>
        <w:tblW w:w="85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4511"/>
        <w:gridCol w:w="852"/>
        <w:gridCol w:w="1219"/>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732" w:type="dxa"/>
            <w:tcBorders>
              <w:top w:val="single" w:color="ED7D31" w:sz="4" w:space="0"/>
              <w:left w:val="single" w:color="ED7D31" w:sz="4" w:space="0"/>
              <w:bottom w:val="single" w:color="ED7D31" w:sz="4" w:space="0"/>
              <w:right w:val="single" w:color="ED7D31" w:sz="4" w:space="0"/>
              <w:tl2br w:val="nil"/>
            </w:tcBorders>
            <w:shd w:val="clear" w:color="auto" w:fill="F5B082"/>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color w:val="000000"/>
                <w:sz w:val="21"/>
                <w:szCs w:val="21"/>
              </w:rPr>
            </w:pPr>
            <w:bookmarkStart w:id="475" w:name="_Toc4576"/>
            <w:r>
              <w:rPr>
                <w:rFonts w:hint="eastAsia" w:ascii="宋体" w:hAnsi="宋体" w:eastAsia="宋体" w:cs="宋体"/>
                <w:b/>
                <w:color w:val="000000"/>
                <w:sz w:val="21"/>
                <w:szCs w:val="21"/>
              </w:rPr>
              <w:t>序号</w:t>
            </w:r>
            <w:bookmarkEnd w:id="475"/>
          </w:p>
        </w:tc>
        <w:tc>
          <w:tcPr>
            <w:tcW w:w="4826" w:type="dxa"/>
            <w:tcBorders>
              <w:top w:val="single" w:color="ED7D31" w:sz="4" w:space="0"/>
              <w:left w:val="single" w:color="ED7D31" w:sz="4" w:space="0"/>
              <w:bottom w:val="single" w:color="ED7D31" w:sz="4" w:space="0"/>
              <w:right w:val="single" w:color="ED7D31" w:sz="4" w:space="0"/>
            </w:tcBorders>
            <w:shd w:val="clear" w:color="auto" w:fill="F5B082"/>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color w:val="000000"/>
                <w:sz w:val="21"/>
                <w:szCs w:val="21"/>
              </w:rPr>
            </w:pPr>
            <w:bookmarkStart w:id="476" w:name="_Toc4415"/>
            <w:r>
              <w:rPr>
                <w:rFonts w:hint="eastAsia" w:ascii="宋体" w:hAnsi="宋体" w:eastAsia="宋体" w:cs="宋体"/>
                <w:b/>
                <w:color w:val="000000"/>
                <w:sz w:val="21"/>
                <w:szCs w:val="21"/>
              </w:rPr>
              <w:t>指标</w:t>
            </w:r>
            <w:bookmarkEnd w:id="476"/>
          </w:p>
        </w:tc>
        <w:tc>
          <w:tcPr>
            <w:tcW w:w="871" w:type="dxa"/>
            <w:tcBorders>
              <w:top w:val="single" w:color="ED7D31" w:sz="4" w:space="0"/>
              <w:left w:val="single" w:color="ED7D31" w:sz="4" w:space="0"/>
              <w:bottom w:val="single" w:color="ED7D31" w:sz="4" w:space="0"/>
              <w:right w:val="single" w:color="ED7D31" w:sz="4" w:space="0"/>
            </w:tcBorders>
            <w:shd w:val="clear" w:color="auto" w:fill="F5B082"/>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color w:val="000000"/>
                <w:sz w:val="21"/>
                <w:szCs w:val="21"/>
              </w:rPr>
            </w:pPr>
            <w:bookmarkStart w:id="477" w:name="_Toc31100"/>
            <w:r>
              <w:rPr>
                <w:rFonts w:hint="eastAsia" w:ascii="宋体" w:hAnsi="宋体" w:eastAsia="宋体" w:cs="宋体"/>
                <w:b/>
                <w:color w:val="000000"/>
                <w:sz w:val="21"/>
                <w:szCs w:val="21"/>
              </w:rPr>
              <w:t>单位</w:t>
            </w:r>
            <w:bookmarkEnd w:id="477"/>
          </w:p>
        </w:tc>
        <w:tc>
          <w:tcPr>
            <w:tcW w:w="1078" w:type="dxa"/>
            <w:tcBorders>
              <w:top w:val="single" w:color="ED7D31" w:sz="4" w:space="0"/>
              <w:left w:val="single" w:color="ED7D31" w:sz="4" w:space="0"/>
              <w:bottom w:val="single" w:color="ED7D31" w:sz="4" w:space="0"/>
              <w:right w:val="single" w:color="ED7D31" w:sz="4" w:space="0"/>
            </w:tcBorders>
            <w:shd w:val="clear" w:color="auto" w:fill="F5B082"/>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color w:val="000000"/>
                <w:sz w:val="21"/>
                <w:szCs w:val="21"/>
              </w:rPr>
            </w:pPr>
            <w:bookmarkStart w:id="478" w:name="_Toc11430"/>
            <w:r>
              <w:rPr>
                <w:rFonts w:hint="eastAsia" w:ascii="宋体" w:hAnsi="宋体" w:eastAsia="宋体" w:cs="宋体"/>
                <w:b/>
                <w:color w:val="000000"/>
                <w:sz w:val="21"/>
                <w:szCs w:val="21"/>
              </w:rPr>
              <w:t>2023年</w:t>
            </w:r>
            <w:bookmarkEnd w:id="478"/>
          </w:p>
        </w:tc>
        <w:tc>
          <w:tcPr>
            <w:tcW w:w="997" w:type="dxa"/>
            <w:tcBorders>
              <w:top w:val="single" w:color="ED7D31" w:sz="4" w:space="0"/>
              <w:left w:val="single" w:color="ED7D31" w:sz="4" w:space="0"/>
              <w:bottom w:val="single" w:color="ED7D31" w:sz="4" w:space="0"/>
              <w:right w:val="single" w:color="ED7D31" w:sz="4" w:space="0"/>
            </w:tcBorders>
            <w:shd w:val="clear" w:color="auto" w:fill="F5B082"/>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color w:val="000000"/>
                <w:sz w:val="21"/>
                <w:szCs w:val="21"/>
              </w:rPr>
            </w:pPr>
            <w:bookmarkStart w:id="479" w:name="_Toc12987"/>
            <w:r>
              <w:rPr>
                <w:rFonts w:hint="eastAsia" w:ascii="宋体" w:hAnsi="宋体" w:eastAsia="宋体" w:cs="宋体"/>
                <w:b/>
                <w:color w:val="000000"/>
                <w:sz w:val="21"/>
                <w:szCs w:val="21"/>
              </w:rPr>
              <w:t>2024年</w:t>
            </w:r>
            <w:bookmarkEnd w:id="47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480" w:name="_Toc22577"/>
            <w:r>
              <w:rPr>
                <w:rFonts w:hint="eastAsia" w:ascii="宋体" w:hAnsi="宋体" w:eastAsia="宋体" w:cs="宋体"/>
                <w:b w:val="0"/>
                <w:color w:val="000000"/>
                <w:sz w:val="21"/>
                <w:szCs w:val="21"/>
              </w:rPr>
              <w:t>1</w:t>
            </w:r>
            <w:bookmarkEnd w:id="480"/>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生师比*</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15.95</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restart"/>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481" w:name="_Toc15705"/>
            <w:r>
              <w:rPr>
                <w:rFonts w:hint="eastAsia" w:ascii="宋体" w:hAnsi="宋体" w:eastAsia="宋体" w:cs="宋体"/>
                <w:b w:val="0"/>
                <w:color w:val="000000"/>
                <w:sz w:val="21"/>
                <w:szCs w:val="21"/>
              </w:rPr>
              <w:t>2</w:t>
            </w:r>
            <w:bookmarkEnd w:id="481"/>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“双师型”教师比例</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rPr>
              <w:t>%</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58.18</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61.50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其中：高级“双师型”教师比例</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482" w:name="_Toc22325"/>
            <w:r>
              <w:rPr>
                <w:rFonts w:hint="eastAsia" w:ascii="宋体" w:hAnsi="宋体" w:eastAsia="宋体" w:cs="宋体"/>
                <w:b w:val="0"/>
                <w:color w:val="000000"/>
                <w:sz w:val="21"/>
                <w:szCs w:val="21"/>
              </w:rPr>
              <w:t>3</w:t>
            </w:r>
            <w:bookmarkEnd w:id="482"/>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高级专业技术职务专任教师比例*</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rPr>
              <w:t>%</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33.59</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33.88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restart"/>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483" w:name="_Toc4058"/>
            <w:r>
              <w:rPr>
                <w:rFonts w:hint="eastAsia" w:ascii="宋体" w:hAnsi="宋体" w:eastAsia="宋体" w:cs="宋体"/>
                <w:b w:val="0"/>
                <w:color w:val="000000"/>
                <w:sz w:val="21"/>
                <w:szCs w:val="21"/>
              </w:rPr>
              <w:t>4</w:t>
            </w:r>
            <w:bookmarkEnd w:id="483"/>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专业群数量*</w:t>
            </w:r>
            <w:r>
              <w:rPr>
                <w:rFonts w:hint="eastAsia" w:ascii="宋体" w:hAnsi="宋体" w:eastAsia="宋体" w:cs="宋体"/>
                <w:b w:val="0"/>
                <w:color w:val="000000"/>
                <w:kern w:val="0"/>
                <w:sz w:val="21"/>
                <w:szCs w:val="21"/>
                <w:vertAlign w:val="superscript"/>
                <w:lang w:bidi="ar"/>
              </w:rPr>
              <w:footnoteReference w:id="2"/>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个</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20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专业数量*</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个</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43</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restart"/>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484" w:name="_Toc27828"/>
            <w:r>
              <w:rPr>
                <w:rFonts w:hint="eastAsia" w:ascii="宋体" w:hAnsi="宋体" w:eastAsia="宋体" w:cs="宋体"/>
                <w:b w:val="0"/>
                <w:color w:val="000000"/>
                <w:sz w:val="21"/>
                <w:szCs w:val="21"/>
              </w:rPr>
              <w:t>5</w:t>
            </w:r>
            <w:bookmarkEnd w:id="484"/>
          </w:p>
        </w:tc>
        <w:tc>
          <w:tcPr>
            <w:tcW w:w="4826" w:type="dxa"/>
            <w:vMerge w:val="restart"/>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lang w:bidi="ar"/>
              </w:rPr>
              <w:t>教学计划内课程总数*</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门</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1776</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学时</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133200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123672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vMerge w:val="restart"/>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lang w:bidi="ar"/>
              </w:rPr>
              <w:t>其中：课证融通课程数*</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门</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210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学时</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45967</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46123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vMerge w:val="restart"/>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ind w:firstLine="630" w:firstLineChars="30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网络教学课程数*</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门</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学时</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vMerge w:val="restart"/>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bookmarkStart w:id="485" w:name="OLE_LINK7"/>
            <w:r>
              <w:rPr>
                <w:rFonts w:hint="eastAsia" w:ascii="宋体" w:hAnsi="宋体" w:eastAsia="宋体" w:cs="宋体"/>
                <w:b w:val="0"/>
                <w:color w:val="000000"/>
                <w:kern w:val="0"/>
                <w:sz w:val="21"/>
                <w:szCs w:val="21"/>
                <w:lang w:bidi="ar"/>
              </w:rPr>
              <w:t>校企合作课程数</w:t>
            </w:r>
            <w:bookmarkEnd w:id="485"/>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门</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学时</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restart"/>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486" w:name="_Toc13689"/>
            <w:r>
              <w:rPr>
                <w:rFonts w:hint="eastAsia" w:ascii="宋体" w:hAnsi="宋体" w:eastAsia="宋体" w:cs="宋体"/>
                <w:b w:val="0"/>
                <w:color w:val="000000"/>
                <w:sz w:val="21"/>
                <w:szCs w:val="21"/>
              </w:rPr>
              <w:t>6</w:t>
            </w:r>
            <w:bookmarkEnd w:id="486"/>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专业教学资源库数</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个</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45</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其中：国家级数量*</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个</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ind w:firstLine="1050" w:firstLineChars="50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接入国家智慧教育平台数*</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个</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省级数量</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个</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ind w:firstLine="1050" w:firstLineChars="50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接入国家智慧教育平台数*</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个</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校级数量</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个</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45</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ind w:firstLine="1050" w:firstLineChars="50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接入国家智慧教育平台数*</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个</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restart"/>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487" w:name="_Toc8732"/>
            <w:r>
              <w:rPr>
                <w:rFonts w:hint="eastAsia" w:ascii="宋体" w:hAnsi="宋体" w:eastAsia="宋体" w:cs="宋体"/>
                <w:b w:val="0"/>
                <w:color w:val="000000"/>
                <w:sz w:val="21"/>
                <w:szCs w:val="21"/>
              </w:rPr>
              <w:t>7</w:t>
            </w:r>
            <w:bookmarkEnd w:id="487"/>
          </w:p>
        </w:tc>
        <w:tc>
          <w:tcPr>
            <w:tcW w:w="4826" w:type="dxa"/>
            <w:vMerge w:val="restart"/>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lang w:bidi="ar"/>
              </w:rPr>
              <w:t>在线精品课程数*</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门</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20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学时</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1440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4230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在线精品课程课均学生数*</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人</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1286</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其中：国家级数量*</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门</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ind w:firstLine="1050" w:firstLineChars="50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接入国家智慧教育平台数*</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门</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省级数量</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门</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ind w:firstLine="1050" w:firstLineChars="50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接入国家智慧教育平台数*</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门</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校级数量</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门</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3</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ind w:firstLine="1050" w:firstLineChars="50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接入国家智慧教育平台数*</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门</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restart"/>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488" w:name="_Toc6283"/>
            <w:r>
              <w:rPr>
                <w:rFonts w:hint="eastAsia" w:ascii="宋体" w:hAnsi="宋体" w:eastAsia="宋体" w:cs="宋体"/>
                <w:b w:val="0"/>
                <w:color w:val="000000"/>
                <w:sz w:val="21"/>
                <w:szCs w:val="21"/>
              </w:rPr>
              <w:t>8</w:t>
            </w:r>
            <w:bookmarkEnd w:id="488"/>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虚拟仿真实训基地数</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个</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2</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其中：国家级数量*</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个</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ind w:firstLine="1050" w:firstLineChars="50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接入国家智慧教育平台数*</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个</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省级数量</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个</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ind w:firstLine="1050" w:firstLineChars="50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接入国家智慧教育平台数*</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个</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校级数量</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个</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2</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ind w:firstLine="1050" w:firstLineChars="50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接入国家智慧教育平台数*</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个</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restart"/>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489" w:name="_Toc3237"/>
            <w:r>
              <w:rPr>
                <w:rFonts w:hint="eastAsia" w:ascii="宋体" w:hAnsi="宋体" w:eastAsia="宋体" w:cs="宋体"/>
                <w:b w:val="0"/>
                <w:color w:val="000000"/>
                <w:sz w:val="21"/>
                <w:szCs w:val="21"/>
              </w:rPr>
              <w:t>9</w:t>
            </w:r>
            <w:bookmarkEnd w:id="489"/>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编写教材数</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本</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其中：国家规划教材数*</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本</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8</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校企合作编写教材数</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本</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6</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新形态教材数</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本</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接入国家智慧教育平台数*</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本</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490" w:name="_Toc17618"/>
            <w:r>
              <w:rPr>
                <w:rFonts w:hint="eastAsia" w:ascii="宋体" w:hAnsi="宋体" w:eastAsia="宋体" w:cs="宋体"/>
                <w:b w:val="0"/>
                <w:color w:val="000000"/>
                <w:sz w:val="21"/>
                <w:szCs w:val="21"/>
              </w:rPr>
              <w:t>10</w:t>
            </w:r>
            <w:bookmarkEnd w:id="490"/>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互联网出口带宽*</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sz w:val="21"/>
                <w:szCs w:val="21"/>
              </w:rPr>
            </w:pPr>
            <w:r>
              <w:rPr>
                <w:rFonts w:hint="eastAsia" w:ascii="宋体" w:hAnsi="宋体" w:eastAsia="宋体" w:cs="宋体"/>
                <w:b w:val="0"/>
                <w:color w:val="000000"/>
                <w:kern w:val="0"/>
                <w:sz w:val="21"/>
                <w:szCs w:val="21"/>
              </w:rPr>
              <w:t>Mbps</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9600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491" w:name="_Toc20169"/>
            <w:r>
              <w:rPr>
                <w:rFonts w:hint="eastAsia" w:ascii="宋体" w:hAnsi="宋体" w:eastAsia="宋体" w:cs="宋体"/>
                <w:b w:val="0"/>
                <w:color w:val="000000"/>
                <w:sz w:val="21"/>
                <w:szCs w:val="21"/>
              </w:rPr>
              <w:t>11</w:t>
            </w:r>
            <w:bookmarkEnd w:id="491"/>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lang w:bidi="ar"/>
              </w:rPr>
              <w:t>校园网主干最大带宽*</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Mbps</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40000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492" w:name="_Toc2457"/>
            <w:r>
              <w:rPr>
                <w:rFonts w:hint="eastAsia" w:ascii="宋体" w:hAnsi="宋体" w:eastAsia="宋体" w:cs="宋体"/>
                <w:b w:val="0"/>
                <w:color w:val="000000"/>
                <w:sz w:val="21"/>
                <w:szCs w:val="21"/>
              </w:rPr>
              <w:t>12</w:t>
            </w:r>
            <w:bookmarkEnd w:id="492"/>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lang w:bidi="ar"/>
              </w:rPr>
              <w:t>生均校内实践教学工位数*</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个/生</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1.40</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493" w:name="_Toc15994"/>
            <w:r>
              <w:rPr>
                <w:rFonts w:hint="eastAsia" w:ascii="宋体" w:hAnsi="宋体" w:eastAsia="宋体" w:cs="宋体"/>
                <w:b w:val="0"/>
                <w:color w:val="000000"/>
                <w:sz w:val="21"/>
                <w:szCs w:val="21"/>
              </w:rPr>
              <w:t>13</w:t>
            </w:r>
            <w:bookmarkEnd w:id="493"/>
          </w:p>
        </w:tc>
        <w:tc>
          <w:tcPr>
            <w:tcW w:w="482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lang w:bidi="ar"/>
              </w:rPr>
              <w:t>生均教学科研仪器设备值*</w:t>
            </w:r>
          </w:p>
        </w:tc>
        <w:tc>
          <w:tcPr>
            <w:tcW w:w="871"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sz w:val="21"/>
                <w:szCs w:val="21"/>
              </w:rPr>
            </w:pPr>
            <w:r>
              <w:rPr>
                <w:rFonts w:hint="eastAsia" w:ascii="宋体" w:hAnsi="宋体" w:eastAsia="宋体" w:cs="宋体"/>
                <w:b w:val="0"/>
                <w:color w:val="000000"/>
                <w:kern w:val="0"/>
                <w:sz w:val="21"/>
                <w:szCs w:val="21"/>
              </w:rPr>
              <w:t>元/生</w:t>
            </w:r>
          </w:p>
        </w:tc>
        <w:tc>
          <w:tcPr>
            <w:tcW w:w="107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11935.99</w:t>
            </w:r>
          </w:p>
        </w:tc>
        <w:tc>
          <w:tcPr>
            <w:tcW w:w="997"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10899.86</w:t>
            </w:r>
          </w:p>
        </w:tc>
      </w:tr>
    </w:tbl>
    <w:p>
      <w:pPr>
        <w:pStyle w:val="28"/>
        <w:ind w:firstLine="0" w:firstLineChars="0"/>
        <w:rPr>
          <w:rFonts w:hint="default"/>
        </w:rPr>
      </w:pPr>
    </w:p>
    <w:p>
      <w:pPr>
        <w:pStyle w:val="28"/>
        <w:ind w:firstLine="0" w:firstLineChars="0"/>
        <w:rPr>
          <w:rFonts w:hint="default"/>
        </w:rPr>
      </w:pPr>
    </w:p>
    <w:p>
      <w:pPr>
        <w:pStyle w:val="28"/>
        <w:ind w:firstLine="0" w:firstLineChars="0"/>
        <w:rPr>
          <w:rFonts w:hint="default"/>
        </w:rPr>
      </w:pPr>
    </w:p>
    <w:p>
      <w:pPr>
        <w:pStyle w:val="28"/>
        <w:ind w:firstLine="0" w:firstLineChars="0"/>
        <w:rPr>
          <w:rFonts w:hint="default"/>
        </w:rPr>
      </w:pPr>
    </w:p>
    <w:p>
      <w:pPr>
        <w:pStyle w:val="28"/>
        <w:ind w:firstLine="0" w:firstLineChars="0"/>
        <w:rPr>
          <w:rFonts w:hint="default"/>
        </w:rPr>
      </w:pPr>
    </w:p>
    <w:p>
      <w:pPr>
        <w:pStyle w:val="28"/>
        <w:ind w:firstLine="0" w:firstLineChars="0"/>
        <w:rPr>
          <w:rFonts w:hint="default"/>
        </w:rPr>
      </w:pPr>
    </w:p>
    <w:p>
      <w:pPr>
        <w:pStyle w:val="28"/>
        <w:ind w:firstLine="0" w:firstLineChars="0"/>
        <w:rPr>
          <w:rFonts w:hint="default"/>
        </w:rPr>
      </w:pPr>
    </w:p>
    <w:p>
      <w:pPr>
        <w:pStyle w:val="3"/>
        <w:keepNext/>
        <w:keepLines/>
        <w:pageBreakBefore w:val="0"/>
        <w:widowControl w:val="0"/>
        <w:kinsoku/>
        <w:wordWrap/>
        <w:overflowPunct/>
        <w:topLinePunct w:val="0"/>
        <w:autoSpaceDE/>
        <w:autoSpaceDN/>
        <w:bidi w:val="0"/>
        <w:adjustRightInd/>
        <w:snapToGrid/>
        <w:spacing w:before="0" w:after="0" w:line="720" w:lineRule="auto"/>
        <w:jc w:val="center"/>
        <w:textAlignment w:val="auto"/>
        <w:rPr>
          <w:rFonts w:hint="default" w:ascii="黑体" w:hAnsi="黑体" w:cs="黑体"/>
          <w:b/>
          <w:bCs w:val="0"/>
          <w:sz w:val="30"/>
          <w:szCs w:val="30"/>
        </w:rPr>
      </w:pPr>
      <w:bookmarkStart w:id="494" w:name="_Toc23778"/>
      <w:r>
        <w:rPr>
          <w:rFonts w:hint="eastAsia" w:ascii="黑体" w:hAnsi="黑体" w:cs="黑体"/>
          <w:b/>
          <w:bCs w:val="0"/>
          <w:sz w:val="30"/>
          <w:szCs w:val="30"/>
          <w:lang w:val="en-US" w:eastAsia="zh-CN"/>
        </w:rPr>
        <w:t>附表4  服务贡献表</w:t>
      </w:r>
      <w:bookmarkEnd w:id="494"/>
    </w:p>
    <w:tbl>
      <w:tblPr>
        <w:tblStyle w:val="31"/>
        <w:tblW w:w="8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4750"/>
        <w:gridCol w:w="790"/>
        <w:gridCol w:w="1054"/>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42" w:type="dxa"/>
            <w:tcBorders>
              <w:top w:val="single" w:color="ED7D31" w:sz="4" w:space="0"/>
              <w:left w:val="single" w:color="ED7D31" w:sz="4" w:space="0"/>
              <w:bottom w:val="single" w:color="ED7D31" w:sz="4" w:space="0"/>
              <w:right w:val="single" w:color="ED7D31" w:sz="4" w:space="0"/>
              <w:tl2br w:val="nil"/>
            </w:tcBorders>
            <w:shd w:val="clear" w:color="auto" w:fill="F5B082"/>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color w:val="000000"/>
                <w:sz w:val="21"/>
                <w:szCs w:val="21"/>
              </w:rPr>
            </w:pPr>
            <w:bookmarkStart w:id="495" w:name="_Toc7674"/>
            <w:r>
              <w:rPr>
                <w:rFonts w:hint="eastAsia" w:ascii="宋体" w:hAnsi="宋体" w:eastAsia="宋体" w:cs="宋体"/>
                <w:b/>
                <w:color w:val="000000"/>
                <w:sz w:val="21"/>
                <w:szCs w:val="21"/>
              </w:rPr>
              <w:t>序号</w:t>
            </w:r>
            <w:bookmarkEnd w:id="495"/>
          </w:p>
        </w:tc>
        <w:tc>
          <w:tcPr>
            <w:tcW w:w="4750" w:type="dxa"/>
            <w:tcBorders>
              <w:top w:val="single" w:color="ED7D31" w:sz="4" w:space="0"/>
              <w:left w:val="single" w:color="ED7D31" w:sz="4" w:space="0"/>
              <w:bottom w:val="single" w:color="ED7D31" w:sz="4" w:space="0"/>
              <w:right w:val="single" w:color="ED7D31" w:sz="4" w:space="0"/>
            </w:tcBorders>
            <w:shd w:val="clear" w:color="auto" w:fill="F5B082"/>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color w:val="000000"/>
                <w:sz w:val="21"/>
                <w:szCs w:val="21"/>
              </w:rPr>
            </w:pPr>
            <w:bookmarkStart w:id="496" w:name="_Toc30425"/>
            <w:r>
              <w:rPr>
                <w:rFonts w:hint="eastAsia" w:ascii="宋体" w:hAnsi="宋体" w:eastAsia="宋体" w:cs="宋体"/>
                <w:b/>
                <w:color w:val="000000"/>
                <w:sz w:val="21"/>
                <w:szCs w:val="21"/>
              </w:rPr>
              <w:t>指标</w:t>
            </w:r>
            <w:bookmarkEnd w:id="496"/>
          </w:p>
        </w:tc>
        <w:tc>
          <w:tcPr>
            <w:tcW w:w="790" w:type="dxa"/>
            <w:tcBorders>
              <w:top w:val="single" w:color="ED7D31" w:sz="4" w:space="0"/>
              <w:left w:val="single" w:color="ED7D31" w:sz="4" w:space="0"/>
              <w:bottom w:val="single" w:color="ED7D31" w:sz="4" w:space="0"/>
              <w:right w:val="single" w:color="ED7D31" w:sz="4" w:space="0"/>
            </w:tcBorders>
            <w:shd w:val="clear" w:color="auto" w:fill="F5B082"/>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color w:val="000000"/>
                <w:sz w:val="21"/>
                <w:szCs w:val="21"/>
              </w:rPr>
            </w:pPr>
            <w:bookmarkStart w:id="497" w:name="_Toc1156"/>
            <w:r>
              <w:rPr>
                <w:rFonts w:hint="eastAsia" w:ascii="宋体" w:hAnsi="宋体" w:eastAsia="宋体" w:cs="宋体"/>
                <w:b/>
                <w:color w:val="000000"/>
                <w:sz w:val="21"/>
                <w:szCs w:val="21"/>
              </w:rPr>
              <w:t>单位</w:t>
            </w:r>
            <w:bookmarkEnd w:id="497"/>
          </w:p>
        </w:tc>
        <w:tc>
          <w:tcPr>
            <w:tcW w:w="1054" w:type="dxa"/>
            <w:tcBorders>
              <w:top w:val="single" w:color="ED7D31" w:sz="4" w:space="0"/>
              <w:left w:val="single" w:color="ED7D31" w:sz="4" w:space="0"/>
              <w:bottom w:val="single" w:color="ED7D31" w:sz="4" w:space="0"/>
              <w:right w:val="single" w:color="ED7D31" w:sz="4" w:space="0"/>
            </w:tcBorders>
            <w:shd w:val="clear" w:color="auto" w:fill="F5B082"/>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color w:val="000000"/>
                <w:sz w:val="21"/>
                <w:szCs w:val="21"/>
              </w:rPr>
            </w:pPr>
            <w:bookmarkStart w:id="498" w:name="_Toc2913"/>
            <w:r>
              <w:rPr>
                <w:rFonts w:hint="eastAsia" w:ascii="宋体" w:hAnsi="宋体" w:eastAsia="宋体" w:cs="宋体"/>
                <w:b/>
                <w:color w:val="000000"/>
                <w:sz w:val="21"/>
                <w:szCs w:val="21"/>
              </w:rPr>
              <w:t>2023年</w:t>
            </w:r>
            <w:bookmarkEnd w:id="498"/>
          </w:p>
        </w:tc>
        <w:tc>
          <w:tcPr>
            <w:tcW w:w="998" w:type="dxa"/>
            <w:tcBorders>
              <w:top w:val="single" w:color="ED7D31" w:sz="4" w:space="0"/>
              <w:left w:val="single" w:color="ED7D31" w:sz="4" w:space="0"/>
              <w:bottom w:val="single" w:color="ED7D31" w:sz="4" w:space="0"/>
              <w:right w:val="single" w:color="ED7D31" w:sz="4" w:space="0"/>
            </w:tcBorders>
            <w:shd w:val="clear" w:color="auto" w:fill="F5B082"/>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color w:val="000000"/>
                <w:sz w:val="21"/>
                <w:szCs w:val="21"/>
              </w:rPr>
            </w:pPr>
            <w:bookmarkStart w:id="499" w:name="_Toc15651"/>
            <w:r>
              <w:rPr>
                <w:rFonts w:hint="eastAsia" w:ascii="宋体" w:hAnsi="宋体" w:eastAsia="宋体" w:cs="宋体"/>
                <w:b/>
                <w:color w:val="000000"/>
                <w:sz w:val="21"/>
                <w:szCs w:val="21"/>
              </w:rPr>
              <w:t>2024年</w:t>
            </w:r>
            <w:bookmarkEnd w:id="49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vMerge w:val="restart"/>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00" w:name="_Toc4864"/>
            <w:r>
              <w:rPr>
                <w:rFonts w:hint="eastAsia" w:ascii="宋体" w:hAnsi="宋体" w:eastAsia="宋体" w:cs="宋体"/>
                <w:b w:val="0"/>
                <w:color w:val="000000"/>
                <w:sz w:val="21"/>
                <w:szCs w:val="21"/>
              </w:rPr>
              <w:t>1</w:t>
            </w:r>
            <w:bookmarkEnd w:id="500"/>
          </w:p>
        </w:tc>
        <w:tc>
          <w:tcPr>
            <w:tcW w:w="475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rPr>
              <w:t>毕业生初次就业人数*</w:t>
            </w:r>
          </w:p>
        </w:tc>
        <w:tc>
          <w:tcPr>
            <w:tcW w:w="7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人</w:t>
            </w:r>
          </w:p>
        </w:tc>
        <w:tc>
          <w:tcPr>
            <w:tcW w:w="10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3112</w:t>
            </w:r>
          </w:p>
        </w:tc>
        <w:tc>
          <w:tcPr>
            <w:tcW w:w="99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2589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75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其中：A类：留在当地就业人数*</w:t>
            </w:r>
          </w:p>
        </w:tc>
        <w:tc>
          <w:tcPr>
            <w:tcW w:w="7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sz w:val="21"/>
                <w:szCs w:val="21"/>
              </w:rPr>
            </w:pPr>
            <w:r>
              <w:rPr>
                <w:rFonts w:hint="eastAsia" w:ascii="宋体" w:hAnsi="宋体" w:eastAsia="宋体" w:cs="宋体"/>
                <w:b w:val="0"/>
                <w:color w:val="000000"/>
                <w:sz w:val="21"/>
                <w:szCs w:val="21"/>
              </w:rPr>
              <w:t>人</w:t>
            </w:r>
          </w:p>
        </w:tc>
        <w:tc>
          <w:tcPr>
            <w:tcW w:w="10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1812</w:t>
            </w:r>
          </w:p>
        </w:tc>
        <w:tc>
          <w:tcPr>
            <w:tcW w:w="99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75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ind w:firstLine="630" w:firstLineChars="300"/>
              <w:textAlignment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B类：到西部和东北地区就业人数*</w:t>
            </w:r>
          </w:p>
        </w:tc>
        <w:tc>
          <w:tcPr>
            <w:tcW w:w="7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人</w:t>
            </w:r>
          </w:p>
        </w:tc>
        <w:tc>
          <w:tcPr>
            <w:tcW w:w="10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23</w:t>
            </w:r>
          </w:p>
        </w:tc>
        <w:tc>
          <w:tcPr>
            <w:tcW w:w="99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75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ind w:left="1050" w:leftChars="300" w:hanging="420" w:hangingChars="200"/>
              <w:textAlignment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C类：到中小微企业就业人数*</w:t>
            </w:r>
          </w:p>
        </w:tc>
        <w:tc>
          <w:tcPr>
            <w:tcW w:w="7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人</w:t>
            </w:r>
          </w:p>
        </w:tc>
        <w:tc>
          <w:tcPr>
            <w:tcW w:w="10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110</w:t>
            </w:r>
          </w:p>
        </w:tc>
        <w:tc>
          <w:tcPr>
            <w:tcW w:w="99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75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ind w:firstLine="630" w:firstLineChars="300"/>
              <w:textAlignment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D类：到大型企业就业人数*</w:t>
            </w:r>
          </w:p>
        </w:tc>
        <w:tc>
          <w:tcPr>
            <w:tcW w:w="7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人</w:t>
            </w:r>
          </w:p>
        </w:tc>
        <w:tc>
          <w:tcPr>
            <w:tcW w:w="10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2830</w:t>
            </w:r>
          </w:p>
        </w:tc>
        <w:tc>
          <w:tcPr>
            <w:tcW w:w="99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2276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vMerge w:val="restart"/>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01" w:name="_Toc21872"/>
            <w:r>
              <w:rPr>
                <w:rFonts w:hint="eastAsia" w:ascii="宋体" w:hAnsi="宋体" w:eastAsia="宋体" w:cs="宋体"/>
                <w:b w:val="0"/>
                <w:color w:val="000000"/>
                <w:sz w:val="21"/>
                <w:szCs w:val="21"/>
              </w:rPr>
              <w:t>2</w:t>
            </w:r>
            <w:bookmarkEnd w:id="501"/>
          </w:p>
        </w:tc>
        <w:tc>
          <w:tcPr>
            <w:tcW w:w="475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横向技术服务到款额</w:t>
            </w:r>
          </w:p>
        </w:tc>
        <w:tc>
          <w:tcPr>
            <w:tcW w:w="7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万元</w:t>
            </w:r>
          </w:p>
        </w:tc>
        <w:tc>
          <w:tcPr>
            <w:tcW w:w="10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75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横向技术服务产生的经济效益</w:t>
            </w:r>
            <w:r>
              <w:rPr>
                <w:rFonts w:hint="eastAsia" w:ascii="宋体" w:hAnsi="宋体" w:eastAsia="宋体" w:cs="宋体"/>
                <w:b w:val="0"/>
                <w:color w:val="000000"/>
                <w:kern w:val="0"/>
                <w:sz w:val="21"/>
                <w:szCs w:val="21"/>
                <w:vertAlign w:val="superscript"/>
              </w:rPr>
              <w:footnoteReference w:id="3"/>
            </w:r>
          </w:p>
        </w:tc>
        <w:tc>
          <w:tcPr>
            <w:tcW w:w="7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万元</w:t>
            </w:r>
          </w:p>
        </w:tc>
        <w:tc>
          <w:tcPr>
            <w:tcW w:w="10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02" w:name="_Toc29110"/>
            <w:r>
              <w:rPr>
                <w:rFonts w:hint="eastAsia" w:ascii="宋体" w:hAnsi="宋体" w:eastAsia="宋体" w:cs="宋体"/>
                <w:b w:val="0"/>
                <w:color w:val="000000"/>
                <w:sz w:val="21"/>
                <w:szCs w:val="21"/>
              </w:rPr>
              <w:t>3</w:t>
            </w:r>
            <w:bookmarkEnd w:id="502"/>
          </w:p>
        </w:tc>
        <w:tc>
          <w:tcPr>
            <w:tcW w:w="475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纵向科研经费到款额*</w:t>
            </w:r>
          </w:p>
        </w:tc>
        <w:tc>
          <w:tcPr>
            <w:tcW w:w="7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万元</w:t>
            </w:r>
          </w:p>
        </w:tc>
        <w:tc>
          <w:tcPr>
            <w:tcW w:w="10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03" w:name="_Toc8975"/>
            <w:r>
              <w:rPr>
                <w:rFonts w:hint="eastAsia" w:ascii="宋体" w:hAnsi="宋体" w:eastAsia="宋体" w:cs="宋体"/>
                <w:b w:val="0"/>
                <w:color w:val="000000"/>
                <w:sz w:val="21"/>
                <w:szCs w:val="21"/>
              </w:rPr>
              <w:t>4</w:t>
            </w:r>
            <w:bookmarkEnd w:id="503"/>
          </w:p>
        </w:tc>
        <w:tc>
          <w:tcPr>
            <w:tcW w:w="475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技术产权交易收入*</w:t>
            </w:r>
          </w:p>
        </w:tc>
        <w:tc>
          <w:tcPr>
            <w:tcW w:w="7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万元</w:t>
            </w:r>
          </w:p>
        </w:tc>
        <w:tc>
          <w:tcPr>
            <w:tcW w:w="10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vMerge w:val="restart"/>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04" w:name="_Toc10679"/>
            <w:r>
              <w:rPr>
                <w:rFonts w:hint="eastAsia" w:ascii="宋体" w:hAnsi="宋体" w:eastAsia="宋体" w:cs="宋体"/>
                <w:b w:val="0"/>
                <w:color w:val="000000"/>
                <w:sz w:val="21"/>
                <w:szCs w:val="21"/>
              </w:rPr>
              <w:t>5</w:t>
            </w:r>
            <w:bookmarkEnd w:id="504"/>
          </w:p>
        </w:tc>
        <w:tc>
          <w:tcPr>
            <w:tcW w:w="475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知识产权项目数量</w:t>
            </w:r>
          </w:p>
        </w:tc>
        <w:tc>
          <w:tcPr>
            <w:tcW w:w="7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项</w:t>
            </w:r>
          </w:p>
        </w:tc>
        <w:tc>
          <w:tcPr>
            <w:tcW w:w="10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w:t>
            </w:r>
          </w:p>
        </w:tc>
        <w:tc>
          <w:tcPr>
            <w:tcW w:w="99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75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其中：专利授权数量</w:t>
            </w:r>
          </w:p>
        </w:tc>
        <w:tc>
          <w:tcPr>
            <w:tcW w:w="7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项</w:t>
            </w:r>
          </w:p>
        </w:tc>
        <w:tc>
          <w:tcPr>
            <w:tcW w:w="10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w:t>
            </w:r>
          </w:p>
        </w:tc>
        <w:tc>
          <w:tcPr>
            <w:tcW w:w="99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75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发明专利授权数量</w:t>
            </w:r>
          </w:p>
        </w:tc>
        <w:tc>
          <w:tcPr>
            <w:tcW w:w="7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项</w:t>
            </w:r>
          </w:p>
        </w:tc>
        <w:tc>
          <w:tcPr>
            <w:tcW w:w="10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05" w:name="_Toc32276"/>
            <w:r>
              <w:rPr>
                <w:rFonts w:hint="eastAsia" w:ascii="宋体" w:hAnsi="宋体" w:eastAsia="宋体" w:cs="宋体"/>
                <w:b w:val="0"/>
                <w:color w:val="000000"/>
                <w:sz w:val="21"/>
                <w:szCs w:val="21"/>
              </w:rPr>
              <w:t>6</w:t>
            </w:r>
            <w:bookmarkEnd w:id="505"/>
          </w:p>
        </w:tc>
        <w:tc>
          <w:tcPr>
            <w:tcW w:w="475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专利转让数量</w:t>
            </w:r>
          </w:p>
        </w:tc>
        <w:tc>
          <w:tcPr>
            <w:tcW w:w="7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项</w:t>
            </w:r>
          </w:p>
        </w:tc>
        <w:tc>
          <w:tcPr>
            <w:tcW w:w="10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06" w:name="_Toc24236"/>
            <w:r>
              <w:rPr>
                <w:rFonts w:hint="eastAsia" w:ascii="宋体" w:hAnsi="宋体" w:eastAsia="宋体" w:cs="宋体"/>
                <w:b w:val="0"/>
                <w:color w:val="000000"/>
                <w:sz w:val="21"/>
                <w:szCs w:val="21"/>
              </w:rPr>
              <w:t>7</w:t>
            </w:r>
            <w:bookmarkEnd w:id="506"/>
          </w:p>
        </w:tc>
        <w:tc>
          <w:tcPr>
            <w:tcW w:w="475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专利成果转化到款额</w:t>
            </w:r>
          </w:p>
        </w:tc>
        <w:tc>
          <w:tcPr>
            <w:tcW w:w="7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万元</w:t>
            </w:r>
          </w:p>
        </w:tc>
        <w:tc>
          <w:tcPr>
            <w:tcW w:w="10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9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vMerge w:val="restart"/>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07" w:name="_Toc8137"/>
            <w:r>
              <w:rPr>
                <w:rFonts w:hint="eastAsia" w:ascii="宋体" w:hAnsi="宋体" w:eastAsia="宋体" w:cs="宋体"/>
                <w:b w:val="0"/>
                <w:color w:val="000000"/>
                <w:sz w:val="21"/>
                <w:szCs w:val="21"/>
              </w:rPr>
              <w:t>8</w:t>
            </w:r>
            <w:bookmarkEnd w:id="507"/>
          </w:p>
        </w:tc>
        <w:tc>
          <w:tcPr>
            <w:tcW w:w="475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left"/>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非学历培训项目数*</w:t>
            </w:r>
          </w:p>
        </w:tc>
        <w:tc>
          <w:tcPr>
            <w:tcW w:w="7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项</w:t>
            </w:r>
          </w:p>
        </w:tc>
        <w:tc>
          <w:tcPr>
            <w:tcW w:w="10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30</w:t>
            </w:r>
          </w:p>
        </w:tc>
        <w:tc>
          <w:tcPr>
            <w:tcW w:w="99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75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left"/>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非学历培训学时*</w:t>
            </w:r>
          </w:p>
        </w:tc>
        <w:tc>
          <w:tcPr>
            <w:tcW w:w="7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学时</w:t>
            </w:r>
          </w:p>
        </w:tc>
        <w:tc>
          <w:tcPr>
            <w:tcW w:w="10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1401</w:t>
            </w:r>
          </w:p>
        </w:tc>
        <w:tc>
          <w:tcPr>
            <w:tcW w:w="99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75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left"/>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公益项目培训学时*</w:t>
            </w:r>
          </w:p>
        </w:tc>
        <w:tc>
          <w:tcPr>
            <w:tcW w:w="7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学时</w:t>
            </w:r>
          </w:p>
        </w:tc>
        <w:tc>
          <w:tcPr>
            <w:tcW w:w="10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132</w:t>
            </w:r>
          </w:p>
        </w:tc>
        <w:tc>
          <w:tcPr>
            <w:tcW w:w="99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08" w:name="_Toc32754"/>
            <w:r>
              <w:rPr>
                <w:rFonts w:hint="eastAsia" w:ascii="宋体" w:hAnsi="宋体" w:eastAsia="宋体" w:cs="宋体"/>
                <w:b w:val="0"/>
                <w:color w:val="000000"/>
                <w:sz w:val="21"/>
                <w:szCs w:val="21"/>
              </w:rPr>
              <w:t>9</w:t>
            </w:r>
            <w:bookmarkEnd w:id="508"/>
          </w:p>
        </w:tc>
        <w:tc>
          <w:tcPr>
            <w:tcW w:w="475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left"/>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非学历培训到账经费</w:t>
            </w:r>
          </w:p>
        </w:tc>
        <w:tc>
          <w:tcPr>
            <w:tcW w:w="790"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万元</w:t>
            </w:r>
          </w:p>
        </w:tc>
        <w:tc>
          <w:tcPr>
            <w:tcW w:w="105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bidi="ar"/>
              </w:rPr>
              <w:t>130.68</w:t>
            </w:r>
          </w:p>
        </w:tc>
        <w:tc>
          <w:tcPr>
            <w:tcW w:w="998"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142.52</w:t>
            </w:r>
          </w:p>
        </w:tc>
      </w:tr>
    </w:tbl>
    <w:p>
      <w:pPr>
        <w:pStyle w:val="28"/>
        <w:ind w:firstLine="0" w:firstLineChars="0"/>
        <w:rPr>
          <w:rFonts w:hint="default"/>
        </w:rPr>
      </w:pPr>
    </w:p>
    <w:p>
      <w:pPr>
        <w:pStyle w:val="28"/>
        <w:ind w:firstLine="0" w:firstLineChars="0"/>
        <w:rPr>
          <w:rFonts w:hint="default"/>
        </w:rPr>
      </w:pPr>
    </w:p>
    <w:p>
      <w:pPr>
        <w:pStyle w:val="28"/>
        <w:ind w:firstLine="0" w:firstLineChars="0"/>
        <w:rPr>
          <w:rFonts w:hint="default"/>
        </w:rPr>
      </w:pPr>
    </w:p>
    <w:p>
      <w:pPr>
        <w:pStyle w:val="28"/>
        <w:ind w:firstLine="0" w:firstLineChars="0"/>
        <w:rPr>
          <w:rFonts w:hint="default"/>
        </w:rPr>
      </w:pPr>
    </w:p>
    <w:p>
      <w:pPr>
        <w:pStyle w:val="28"/>
        <w:ind w:firstLine="0" w:firstLineChars="0"/>
        <w:rPr>
          <w:rFonts w:hint="default"/>
        </w:rPr>
      </w:pPr>
    </w:p>
    <w:p>
      <w:pPr>
        <w:pStyle w:val="28"/>
        <w:ind w:firstLine="0" w:firstLineChars="0"/>
        <w:rPr>
          <w:rFonts w:hint="default"/>
        </w:rPr>
      </w:pPr>
    </w:p>
    <w:p>
      <w:pPr>
        <w:pStyle w:val="28"/>
        <w:ind w:firstLine="0" w:firstLineChars="0"/>
        <w:rPr>
          <w:rFonts w:hint="default"/>
        </w:rPr>
      </w:pPr>
    </w:p>
    <w:p>
      <w:pPr>
        <w:pStyle w:val="28"/>
        <w:ind w:firstLine="0" w:firstLineChars="0"/>
        <w:rPr>
          <w:rFonts w:hint="default"/>
        </w:rPr>
      </w:pPr>
    </w:p>
    <w:p>
      <w:pPr>
        <w:pStyle w:val="3"/>
        <w:keepNext/>
        <w:keepLines/>
        <w:pageBreakBefore w:val="0"/>
        <w:widowControl w:val="0"/>
        <w:kinsoku/>
        <w:wordWrap/>
        <w:overflowPunct/>
        <w:topLinePunct w:val="0"/>
        <w:autoSpaceDE/>
        <w:autoSpaceDN/>
        <w:bidi w:val="0"/>
        <w:adjustRightInd/>
        <w:snapToGrid/>
        <w:spacing w:before="0" w:after="0" w:line="720" w:lineRule="auto"/>
        <w:jc w:val="center"/>
        <w:textAlignment w:val="auto"/>
        <w:rPr>
          <w:rFonts w:hint="eastAsia" w:ascii="黑体" w:hAnsi="黑体" w:cs="黑体"/>
          <w:b/>
          <w:bCs w:val="0"/>
          <w:sz w:val="30"/>
          <w:szCs w:val="30"/>
          <w:lang w:val="en-US" w:eastAsia="zh-CN"/>
        </w:rPr>
      </w:pPr>
      <w:bookmarkStart w:id="509" w:name="_Toc26758"/>
      <w:r>
        <w:rPr>
          <w:rFonts w:hint="eastAsia" w:ascii="黑体" w:hAnsi="黑体" w:cs="黑体"/>
          <w:b/>
          <w:bCs w:val="0"/>
          <w:sz w:val="30"/>
          <w:szCs w:val="30"/>
          <w:lang w:val="en-US" w:eastAsia="zh-CN"/>
        </w:rPr>
        <w:t>附表5  国际影响表</w:t>
      </w:r>
      <w:bookmarkEnd w:id="509"/>
    </w:p>
    <w:tbl>
      <w:tblPr>
        <w:tblStyle w:val="31"/>
        <w:tblW w:w="8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4765"/>
        <w:gridCol w:w="769"/>
        <w:gridCol w:w="1084"/>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28"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color w:val="000000"/>
                <w:sz w:val="21"/>
                <w:szCs w:val="21"/>
              </w:rPr>
            </w:pPr>
            <w:bookmarkStart w:id="510" w:name="_Toc14821"/>
            <w:r>
              <w:rPr>
                <w:rFonts w:hint="eastAsia" w:ascii="宋体" w:hAnsi="宋体" w:eastAsia="宋体" w:cs="宋体"/>
                <w:b/>
                <w:color w:val="000000"/>
                <w:sz w:val="21"/>
                <w:szCs w:val="21"/>
              </w:rPr>
              <w:t>序号</w:t>
            </w:r>
            <w:bookmarkEnd w:id="510"/>
          </w:p>
        </w:tc>
        <w:tc>
          <w:tcPr>
            <w:tcW w:w="4765"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color w:val="000000"/>
                <w:sz w:val="21"/>
                <w:szCs w:val="21"/>
              </w:rPr>
            </w:pPr>
            <w:bookmarkStart w:id="511" w:name="_Toc9149"/>
            <w:r>
              <w:rPr>
                <w:rFonts w:hint="eastAsia" w:ascii="宋体" w:hAnsi="宋体" w:eastAsia="宋体" w:cs="宋体"/>
                <w:b/>
                <w:color w:val="000000"/>
                <w:sz w:val="21"/>
                <w:szCs w:val="21"/>
              </w:rPr>
              <w:t>指标</w:t>
            </w:r>
            <w:bookmarkEnd w:id="511"/>
          </w:p>
        </w:tc>
        <w:tc>
          <w:tcPr>
            <w:tcW w:w="769"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color w:val="000000"/>
                <w:sz w:val="21"/>
                <w:szCs w:val="21"/>
              </w:rPr>
            </w:pPr>
            <w:bookmarkStart w:id="512" w:name="_Toc3709"/>
            <w:r>
              <w:rPr>
                <w:rFonts w:hint="eastAsia" w:ascii="宋体" w:hAnsi="宋体" w:eastAsia="宋体" w:cs="宋体"/>
                <w:b/>
                <w:color w:val="000000"/>
                <w:sz w:val="21"/>
                <w:szCs w:val="21"/>
              </w:rPr>
              <w:t>单位</w:t>
            </w:r>
            <w:bookmarkEnd w:id="512"/>
          </w:p>
        </w:tc>
        <w:tc>
          <w:tcPr>
            <w:tcW w:w="1084"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color w:val="000000"/>
                <w:sz w:val="21"/>
                <w:szCs w:val="21"/>
              </w:rPr>
            </w:pPr>
            <w:bookmarkStart w:id="513" w:name="_Toc17363"/>
            <w:r>
              <w:rPr>
                <w:rFonts w:hint="eastAsia" w:ascii="宋体" w:hAnsi="宋体" w:eastAsia="宋体" w:cs="宋体"/>
                <w:b/>
                <w:color w:val="000000"/>
                <w:sz w:val="21"/>
                <w:szCs w:val="21"/>
              </w:rPr>
              <w:t>2023年</w:t>
            </w:r>
            <w:bookmarkEnd w:id="513"/>
          </w:p>
        </w:tc>
        <w:tc>
          <w:tcPr>
            <w:tcW w:w="988" w:type="dxa"/>
            <w:tcBorders>
              <w:top w:val="single" w:color="ED7D31" w:sz="4" w:space="0"/>
              <w:left w:val="single" w:color="ED7D31" w:sz="4" w:space="0"/>
              <w:bottom w:val="single" w:color="ED7D31" w:sz="4" w:space="0"/>
              <w:right w:val="single" w:color="ED7D31" w:sz="4" w:space="0"/>
              <w:tl2br w:val="nil"/>
              <w:tr2bl w:val="nil"/>
            </w:tcBorders>
            <w:shd w:val="clear" w:color="auto" w:fill="F5B082"/>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color w:val="000000"/>
                <w:sz w:val="21"/>
                <w:szCs w:val="21"/>
              </w:rPr>
            </w:pPr>
            <w:bookmarkStart w:id="514" w:name="_Toc14272"/>
            <w:r>
              <w:rPr>
                <w:rFonts w:hint="eastAsia" w:ascii="宋体" w:hAnsi="宋体" w:eastAsia="宋体" w:cs="宋体"/>
                <w:b/>
                <w:color w:val="000000"/>
                <w:sz w:val="21"/>
                <w:szCs w:val="21"/>
              </w:rPr>
              <w:t>2024年</w:t>
            </w:r>
            <w:bookmarkEnd w:id="5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Merge w:val="restart"/>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15" w:name="_Toc539"/>
            <w:r>
              <w:rPr>
                <w:rFonts w:hint="eastAsia" w:ascii="宋体" w:hAnsi="宋体" w:eastAsia="宋体" w:cs="宋体"/>
                <w:b w:val="0"/>
                <w:color w:val="000000"/>
                <w:sz w:val="21"/>
                <w:szCs w:val="21"/>
              </w:rPr>
              <w:t>1</w:t>
            </w:r>
            <w:bookmarkEnd w:id="515"/>
          </w:p>
        </w:tc>
        <w:tc>
          <w:tcPr>
            <w:tcW w:w="476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开发并被国外采用的职业教育标准、资源、装备数量</w:t>
            </w:r>
          </w:p>
        </w:tc>
        <w:tc>
          <w:tcPr>
            <w:tcW w:w="76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个</w:t>
            </w:r>
          </w:p>
        </w:tc>
        <w:tc>
          <w:tcPr>
            <w:tcW w:w="108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8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76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其中：标准数量</w:t>
            </w:r>
          </w:p>
        </w:tc>
        <w:tc>
          <w:tcPr>
            <w:tcW w:w="76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个</w:t>
            </w:r>
          </w:p>
        </w:tc>
        <w:tc>
          <w:tcPr>
            <w:tcW w:w="108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8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76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专业标准数量</w:t>
            </w:r>
          </w:p>
        </w:tc>
        <w:tc>
          <w:tcPr>
            <w:tcW w:w="76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个</w:t>
            </w:r>
          </w:p>
        </w:tc>
        <w:tc>
          <w:tcPr>
            <w:tcW w:w="108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8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76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课程标准数量</w:t>
            </w:r>
          </w:p>
        </w:tc>
        <w:tc>
          <w:tcPr>
            <w:tcW w:w="76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个</w:t>
            </w:r>
          </w:p>
        </w:tc>
        <w:tc>
          <w:tcPr>
            <w:tcW w:w="108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8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76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资源数量</w:t>
            </w:r>
          </w:p>
        </w:tc>
        <w:tc>
          <w:tcPr>
            <w:tcW w:w="76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个</w:t>
            </w:r>
          </w:p>
        </w:tc>
        <w:tc>
          <w:tcPr>
            <w:tcW w:w="108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8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76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装备数量</w:t>
            </w:r>
          </w:p>
        </w:tc>
        <w:tc>
          <w:tcPr>
            <w:tcW w:w="76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个</w:t>
            </w:r>
          </w:p>
        </w:tc>
        <w:tc>
          <w:tcPr>
            <w:tcW w:w="108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bidi="ar"/>
              </w:rPr>
            </w:pPr>
            <w:r>
              <w:rPr>
                <w:rFonts w:hint="eastAsia" w:ascii="Times New Roman" w:hAnsi="Times New Roman" w:eastAsia="宋体" w:cs="宋体"/>
                <w:b w:val="0"/>
                <w:color w:val="000000"/>
                <w:kern w:val="0"/>
                <w:sz w:val="21"/>
                <w:szCs w:val="21"/>
                <w:lang w:val="en-US" w:eastAsia="zh-CN" w:bidi="ar"/>
              </w:rPr>
              <w:t>0</w:t>
            </w:r>
          </w:p>
        </w:tc>
        <w:tc>
          <w:tcPr>
            <w:tcW w:w="98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Merge w:val="restart"/>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16" w:name="_Toc19159"/>
            <w:r>
              <w:rPr>
                <w:rFonts w:hint="eastAsia" w:ascii="宋体" w:hAnsi="宋体" w:eastAsia="宋体" w:cs="宋体"/>
                <w:b w:val="0"/>
                <w:color w:val="000000"/>
                <w:sz w:val="21"/>
                <w:szCs w:val="21"/>
              </w:rPr>
              <w:t>2</w:t>
            </w:r>
            <w:bookmarkEnd w:id="516"/>
          </w:p>
        </w:tc>
        <w:tc>
          <w:tcPr>
            <w:tcW w:w="476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在国外开办学校数</w:t>
            </w:r>
          </w:p>
        </w:tc>
        <w:tc>
          <w:tcPr>
            <w:tcW w:w="76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所</w:t>
            </w:r>
          </w:p>
        </w:tc>
        <w:tc>
          <w:tcPr>
            <w:tcW w:w="108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宋体" w:hAnsi="宋体" w:eastAsia="宋体" w:cs="宋体"/>
                <w:b w:val="0"/>
                <w:color w:val="000000"/>
                <w:kern w:val="0"/>
                <w:sz w:val="15"/>
                <w:szCs w:val="15"/>
                <w:lang w:bidi="ar"/>
              </w:rPr>
            </w:pPr>
            <w:r>
              <w:rPr>
                <w:rFonts w:hint="eastAsia" w:ascii="宋体" w:hAnsi="宋体" w:eastAsia="宋体" w:cs="宋体"/>
                <w:b w:val="0"/>
                <w:color w:val="000000"/>
                <w:kern w:val="0"/>
                <w:sz w:val="15"/>
                <w:szCs w:val="15"/>
                <w:lang w:bidi="ar"/>
              </w:rPr>
              <w:t>仅高职填报</w:t>
            </w:r>
          </w:p>
        </w:tc>
        <w:tc>
          <w:tcPr>
            <w:tcW w:w="98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宋体" w:hAnsi="宋体" w:eastAsia="宋体" w:cs="宋体"/>
                <w:b w:val="0"/>
                <w:color w:val="000000"/>
                <w:kern w:val="0"/>
                <w:sz w:val="15"/>
                <w:szCs w:val="15"/>
                <w:lang w:val="en-US" w:eastAsia="zh-CN" w:bidi="ar"/>
              </w:rPr>
            </w:pPr>
            <w:r>
              <w:rPr>
                <w:rFonts w:hint="eastAsia" w:ascii="宋体" w:hAnsi="宋体" w:eastAsia="宋体" w:cs="宋体"/>
                <w:b w:val="0"/>
                <w:color w:val="000000"/>
                <w:kern w:val="0"/>
                <w:sz w:val="15"/>
                <w:szCs w:val="15"/>
                <w:lang w:bidi="ar"/>
              </w:rPr>
              <w:t>仅高职填报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76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其中：专业数量</w:t>
            </w:r>
          </w:p>
        </w:tc>
        <w:tc>
          <w:tcPr>
            <w:tcW w:w="76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sz w:val="21"/>
                <w:szCs w:val="21"/>
              </w:rPr>
            </w:pPr>
            <w:r>
              <w:rPr>
                <w:rFonts w:hint="eastAsia" w:ascii="宋体" w:hAnsi="宋体" w:eastAsia="宋体" w:cs="宋体"/>
                <w:b w:val="0"/>
                <w:color w:val="000000"/>
                <w:sz w:val="21"/>
                <w:szCs w:val="21"/>
              </w:rPr>
              <w:t>个</w:t>
            </w:r>
          </w:p>
        </w:tc>
        <w:tc>
          <w:tcPr>
            <w:tcW w:w="108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宋体" w:hAnsi="宋体" w:eastAsia="宋体" w:cs="宋体"/>
                <w:b w:val="0"/>
                <w:color w:val="000000"/>
                <w:kern w:val="0"/>
                <w:sz w:val="15"/>
                <w:szCs w:val="15"/>
                <w:lang w:bidi="ar"/>
              </w:rPr>
            </w:pPr>
            <w:r>
              <w:rPr>
                <w:rFonts w:hint="eastAsia" w:ascii="宋体" w:hAnsi="宋体" w:eastAsia="宋体" w:cs="宋体"/>
                <w:b w:val="0"/>
                <w:color w:val="000000"/>
                <w:kern w:val="0"/>
                <w:sz w:val="15"/>
                <w:szCs w:val="15"/>
                <w:lang w:bidi="ar"/>
              </w:rPr>
              <w:t>仅高职填报</w:t>
            </w:r>
          </w:p>
        </w:tc>
        <w:tc>
          <w:tcPr>
            <w:tcW w:w="98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宋体" w:hAnsi="宋体" w:eastAsia="宋体" w:cs="宋体"/>
                <w:b w:val="0"/>
                <w:color w:val="000000"/>
                <w:kern w:val="0"/>
                <w:sz w:val="15"/>
                <w:szCs w:val="15"/>
                <w:lang w:val="en-US" w:eastAsia="zh-CN" w:bidi="ar"/>
              </w:rPr>
            </w:pPr>
            <w:r>
              <w:rPr>
                <w:rFonts w:hint="eastAsia" w:ascii="宋体" w:hAnsi="宋体" w:eastAsia="宋体" w:cs="宋体"/>
                <w:b w:val="0"/>
                <w:color w:val="000000"/>
                <w:kern w:val="0"/>
                <w:sz w:val="15"/>
                <w:szCs w:val="15"/>
                <w:lang w:bidi="ar"/>
              </w:rPr>
              <w:t>仅高职填报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76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在校生数</w:t>
            </w:r>
          </w:p>
        </w:tc>
        <w:tc>
          <w:tcPr>
            <w:tcW w:w="76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人</w:t>
            </w:r>
          </w:p>
        </w:tc>
        <w:tc>
          <w:tcPr>
            <w:tcW w:w="108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宋体" w:hAnsi="宋体" w:eastAsia="宋体" w:cs="宋体"/>
                <w:b w:val="0"/>
                <w:color w:val="000000"/>
                <w:kern w:val="0"/>
                <w:sz w:val="15"/>
                <w:szCs w:val="15"/>
                <w:lang w:bidi="ar"/>
              </w:rPr>
            </w:pPr>
            <w:r>
              <w:rPr>
                <w:rFonts w:hint="eastAsia" w:ascii="宋体" w:hAnsi="宋体" w:eastAsia="宋体" w:cs="宋体"/>
                <w:b w:val="0"/>
                <w:color w:val="000000"/>
                <w:kern w:val="0"/>
                <w:sz w:val="15"/>
                <w:szCs w:val="15"/>
                <w:lang w:bidi="ar"/>
              </w:rPr>
              <w:t>仅高职填报</w:t>
            </w:r>
          </w:p>
        </w:tc>
        <w:tc>
          <w:tcPr>
            <w:tcW w:w="98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宋体" w:hAnsi="宋体" w:eastAsia="宋体" w:cs="宋体"/>
                <w:b w:val="0"/>
                <w:color w:val="000000"/>
                <w:kern w:val="0"/>
                <w:sz w:val="15"/>
                <w:szCs w:val="15"/>
                <w:lang w:val="en-US" w:eastAsia="zh-CN" w:bidi="ar"/>
              </w:rPr>
            </w:pPr>
            <w:r>
              <w:rPr>
                <w:rFonts w:hint="eastAsia" w:ascii="宋体" w:hAnsi="宋体" w:eastAsia="宋体" w:cs="宋体"/>
                <w:b w:val="0"/>
                <w:color w:val="000000"/>
                <w:kern w:val="0"/>
                <w:sz w:val="15"/>
                <w:szCs w:val="15"/>
                <w:lang w:bidi="ar"/>
              </w:rPr>
              <w:t>仅高职填报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17" w:name="_Toc27305"/>
            <w:r>
              <w:rPr>
                <w:rFonts w:hint="eastAsia" w:ascii="宋体" w:hAnsi="宋体" w:eastAsia="宋体" w:cs="宋体"/>
                <w:b w:val="0"/>
                <w:color w:val="000000"/>
                <w:sz w:val="21"/>
                <w:szCs w:val="21"/>
              </w:rPr>
              <w:t>3</w:t>
            </w:r>
            <w:bookmarkEnd w:id="517"/>
          </w:p>
        </w:tc>
        <w:tc>
          <w:tcPr>
            <w:tcW w:w="476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接收国外留学生专业数</w:t>
            </w:r>
          </w:p>
        </w:tc>
        <w:tc>
          <w:tcPr>
            <w:tcW w:w="76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rPr>
              <w:t>个</w:t>
            </w:r>
          </w:p>
        </w:tc>
        <w:tc>
          <w:tcPr>
            <w:tcW w:w="108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8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18" w:name="_Toc2255"/>
            <w:r>
              <w:rPr>
                <w:rFonts w:hint="eastAsia" w:ascii="宋体" w:hAnsi="宋体" w:eastAsia="宋体" w:cs="宋体"/>
                <w:b w:val="0"/>
                <w:color w:val="000000"/>
                <w:sz w:val="21"/>
                <w:szCs w:val="21"/>
              </w:rPr>
              <w:t>4</w:t>
            </w:r>
            <w:bookmarkEnd w:id="518"/>
          </w:p>
        </w:tc>
        <w:tc>
          <w:tcPr>
            <w:tcW w:w="476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接收国外留学生人数</w:t>
            </w:r>
          </w:p>
        </w:tc>
        <w:tc>
          <w:tcPr>
            <w:tcW w:w="76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人</w:t>
            </w:r>
          </w:p>
        </w:tc>
        <w:tc>
          <w:tcPr>
            <w:tcW w:w="108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8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19" w:name="_Toc12924"/>
            <w:r>
              <w:rPr>
                <w:rFonts w:hint="eastAsia" w:ascii="宋体" w:hAnsi="宋体" w:eastAsia="宋体" w:cs="宋体"/>
                <w:b w:val="0"/>
                <w:color w:val="000000"/>
                <w:sz w:val="21"/>
                <w:szCs w:val="21"/>
              </w:rPr>
              <w:t>5</w:t>
            </w:r>
            <w:bookmarkEnd w:id="519"/>
          </w:p>
        </w:tc>
        <w:tc>
          <w:tcPr>
            <w:tcW w:w="476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接收国外访学教师人数</w:t>
            </w:r>
          </w:p>
        </w:tc>
        <w:tc>
          <w:tcPr>
            <w:tcW w:w="76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人</w:t>
            </w:r>
          </w:p>
        </w:tc>
        <w:tc>
          <w:tcPr>
            <w:tcW w:w="108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8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Merge w:val="restart"/>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20" w:name="_Toc29252"/>
            <w:r>
              <w:rPr>
                <w:rFonts w:hint="eastAsia" w:ascii="宋体" w:hAnsi="宋体" w:eastAsia="宋体" w:cs="宋体"/>
                <w:b w:val="0"/>
                <w:color w:val="000000"/>
                <w:sz w:val="21"/>
                <w:szCs w:val="21"/>
              </w:rPr>
              <w:t>6</w:t>
            </w:r>
            <w:bookmarkEnd w:id="520"/>
          </w:p>
        </w:tc>
        <w:tc>
          <w:tcPr>
            <w:tcW w:w="476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中外合作办学专业数</w:t>
            </w:r>
          </w:p>
        </w:tc>
        <w:tc>
          <w:tcPr>
            <w:tcW w:w="76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个</w:t>
            </w:r>
          </w:p>
        </w:tc>
        <w:tc>
          <w:tcPr>
            <w:tcW w:w="108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8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vMerge w:val="continue"/>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76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其中：在校生数</w:t>
            </w:r>
          </w:p>
        </w:tc>
        <w:tc>
          <w:tcPr>
            <w:tcW w:w="76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人</w:t>
            </w:r>
          </w:p>
        </w:tc>
        <w:tc>
          <w:tcPr>
            <w:tcW w:w="108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8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21" w:name="_Toc24817"/>
            <w:r>
              <w:rPr>
                <w:rFonts w:hint="eastAsia" w:ascii="宋体" w:hAnsi="宋体" w:eastAsia="宋体" w:cs="宋体"/>
                <w:b w:val="0"/>
                <w:color w:val="000000"/>
                <w:sz w:val="21"/>
                <w:szCs w:val="21"/>
              </w:rPr>
              <w:t>7</w:t>
            </w:r>
            <w:bookmarkEnd w:id="521"/>
          </w:p>
        </w:tc>
        <w:tc>
          <w:tcPr>
            <w:tcW w:w="476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专任教师赴国外指导和开展培训时间</w:t>
            </w:r>
          </w:p>
        </w:tc>
        <w:tc>
          <w:tcPr>
            <w:tcW w:w="76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人日</w:t>
            </w:r>
          </w:p>
        </w:tc>
        <w:tc>
          <w:tcPr>
            <w:tcW w:w="108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8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US"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22" w:name="_Toc7564"/>
            <w:r>
              <w:rPr>
                <w:rFonts w:hint="eastAsia" w:ascii="宋体" w:hAnsi="宋体" w:eastAsia="宋体" w:cs="宋体"/>
                <w:b w:val="0"/>
                <w:color w:val="000000"/>
                <w:sz w:val="21"/>
                <w:szCs w:val="21"/>
              </w:rPr>
              <w:t>8</w:t>
            </w:r>
            <w:bookmarkEnd w:id="522"/>
          </w:p>
        </w:tc>
        <w:tc>
          <w:tcPr>
            <w:tcW w:w="476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在国外组织担任职务的专任教师人数</w:t>
            </w:r>
          </w:p>
        </w:tc>
        <w:tc>
          <w:tcPr>
            <w:tcW w:w="76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人</w:t>
            </w:r>
          </w:p>
        </w:tc>
        <w:tc>
          <w:tcPr>
            <w:tcW w:w="108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8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bidi="ar"/>
              </w:rPr>
            </w:pPr>
            <w:r>
              <w:rPr>
                <w:rFonts w:hint="eastAsia" w:ascii="Times New Roman" w:hAnsi="Times New Roman" w:eastAsia="宋体" w:cs="宋体"/>
                <w:b w:val="0"/>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23" w:name="_Toc21960"/>
            <w:r>
              <w:rPr>
                <w:rFonts w:hint="eastAsia" w:ascii="宋体" w:hAnsi="宋体" w:eastAsia="宋体" w:cs="宋体"/>
                <w:b w:val="0"/>
                <w:color w:val="000000"/>
                <w:sz w:val="21"/>
                <w:szCs w:val="21"/>
              </w:rPr>
              <w:t>9</w:t>
            </w:r>
            <w:bookmarkEnd w:id="523"/>
          </w:p>
        </w:tc>
        <w:tc>
          <w:tcPr>
            <w:tcW w:w="4765"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国外技能大赛获奖数量</w:t>
            </w:r>
          </w:p>
        </w:tc>
        <w:tc>
          <w:tcPr>
            <w:tcW w:w="769"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sz w:val="21"/>
                <w:szCs w:val="21"/>
              </w:rPr>
            </w:pPr>
            <w:r>
              <w:rPr>
                <w:rFonts w:hint="eastAsia" w:ascii="宋体" w:hAnsi="宋体" w:eastAsia="宋体" w:cs="宋体"/>
                <w:b w:val="0"/>
                <w:color w:val="000000"/>
                <w:sz w:val="21"/>
                <w:szCs w:val="21"/>
              </w:rPr>
              <w:t>项</w:t>
            </w:r>
          </w:p>
        </w:tc>
        <w:tc>
          <w:tcPr>
            <w:tcW w:w="1084"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0</w:t>
            </w:r>
          </w:p>
        </w:tc>
        <w:tc>
          <w:tcPr>
            <w:tcW w:w="988" w:type="dxa"/>
            <w:tcBorders>
              <w:top w:val="single" w:color="ED7D31" w:sz="4" w:space="0"/>
              <w:left w:val="single" w:color="ED7D31" w:sz="4" w:space="0"/>
              <w:bottom w:val="single" w:color="ED7D31" w:sz="4" w:space="0"/>
              <w:right w:val="single" w:color="ED7D31" w:sz="4" w:space="0"/>
              <w:tl2br w:val="nil"/>
              <w:tr2bl w:val="nil"/>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3</w:t>
            </w:r>
          </w:p>
        </w:tc>
      </w:tr>
    </w:tbl>
    <w:p>
      <w:pPr>
        <w:pStyle w:val="28"/>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default" w:ascii="黑体" w:hAnsi="黑体" w:eastAsia="黑体" w:cs="黑体"/>
          <w:b/>
          <w:bCs w:val="0"/>
          <w:kern w:val="44"/>
          <w:sz w:val="32"/>
          <w:szCs w:val="44"/>
          <w:lang w:val="en-US" w:eastAsia="zh-CN" w:bidi="ar-SA"/>
        </w:rPr>
      </w:pPr>
    </w:p>
    <w:p>
      <w:pPr>
        <w:pStyle w:val="28"/>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default" w:ascii="黑体" w:hAnsi="黑体" w:eastAsia="黑体" w:cs="黑体"/>
          <w:b/>
          <w:bCs w:val="0"/>
          <w:kern w:val="44"/>
          <w:sz w:val="32"/>
          <w:szCs w:val="44"/>
          <w:lang w:val="en-US" w:eastAsia="zh-CN" w:bidi="ar-SA"/>
        </w:rPr>
      </w:pPr>
    </w:p>
    <w:p>
      <w:pPr>
        <w:pStyle w:val="28"/>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default" w:ascii="黑体" w:hAnsi="黑体" w:eastAsia="黑体" w:cs="黑体"/>
          <w:b/>
          <w:bCs w:val="0"/>
          <w:kern w:val="44"/>
          <w:sz w:val="32"/>
          <w:szCs w:val="44"/>
          <w:lang w:val="en-US" w:eastAsia="zh-CN" w:bidi="ar-SA"/>
        </w:rPr>
      </w:pPr>
    </w:p>
    <w:p>
      <w:pPr>
        <w:pStyle w:val="28"/>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default" w:ascii="黑体" w:hAnsi="黑体" w:eastAsia="黑体" w:cs="黑体"/>
          <w:b/>
          <w:bCs w:val="0"/>
          <w:kern w:val="44"/>
          <w:sz w:val="32"/>
          <w:szCs w:val="44"/>
          <w:lang w:val="en-US" w:eastAsia="zh-CN" w:bidi="ar-SA"/>
        </w:rPr>
      </w:pPr>
    </w:p>
    <w:p>
      <w:pPr>
        <w:pStyle w:val="28"/>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default" w:ascii="黑体" w:hAnsi="黑体" w:eastAsia="黑体" w:cs="黑体"/>
          <w:b/>
          <w:bCs w:val="0"/>
          <w:kern w:val="44"/>
          <w:sz w:val="32"/>
          <w:szCs w:val="44"/>
          <w:lang w:val="en-US" w:eastAsia="zh-CN" w:bidi="ar-SA"/>
        </w:rPr>
      </w:pPr>
    </w:p>
    <w:p>
      <w:pPr>
        <w:pStyle w:val="28"/>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default" w:ascii="黑体" w:hAnsi="黑体" w:eastAsia="黑体" w:cs="黑体"/>
          <w:b/>
          <w:bCs w:val="0"/>
          <w:kern w:val="44"/>
          <w:sz w:val="32"/>
          <w:szCs w:val="44"/>
          <w:lang w:val="en-US" w:eastAsia="zh-CN" w:bidi="ar-SA"/>
        </w:rPr>
      </w:pPr>
    </w:p>
    <w:p>
      <w:pPr>
        <w:pStyle w:val="3"/>
        <w:keepNext/>
        <w:keepLines/>
        <w:pageBreakBefore w:val="0"/>
        <w:widowControl w:val="0"/>
        <w:kinsoku/>
        <w:wordWrap/>
        <w:overflowPunct/>
        <w:topLinePunct w:val="0"/>
        <w:autoSpaceDE/>
        <w:autoSpaceDN/>
        <w:bidi w:val="0"/>
        <w:adjustRightInd/>
        <w:snapToGrid/>
        <w:spacing w:before="0" w:after="0" w:line="720" w:lineRule="auto"/>
        <w:jc w:val="center"/>
        <w:textAlignment w:val="auto"/>
        <w:rPr>
          <w:rFonts w:hint="default" w:ascii="黑体" w:hAnsi="黑体" w:cs="黑体"/>
          <w:b/>
          <w:bCs w:val="0"/>
          <w:sz w:val="30"/>
          <w:szCs w:val="30"/>
          <w:lang w:val="en-US" w:eastAsia="zh-CN"/>
        </w:rPr>
      </w:pPr>
      <w:bookmarkStart w:id="524" w:name="_Toc21424"/>
      <w:r>
        <w:rPr>
          <w:rFonts w:hint="eastAsia" w:ascii="黑体" w:hAnsi="黑体" w:cs="黑体"/>
          <w:b/>
          <w:bCs w:val="0"/>
          <w:sz w:val="30"/>
          <w:szCs w:val="30"/>
          <w:lang w:val="en-US" w:eastAsia="zh-CN"/>
        </w:rPr>
        <w:t>附表6  落实政策表</w:t>
      </w:r>
      <w:bookmarkEnd w:id="524"/>
    </w:p>
    <w:tbl>
      <w:tblPr>
        <w:tblStyle w:val="31"/>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4553"/>
        <w:gridCol w:w="822"/>
        <w:gridCol w:w="1156"/>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04" w:type="dxa"/>
            <w:tcBorders>
              <w:top w:val="single" w:color="ED7D31" w:sz="4" w:space="0"/>
              <w:left w:val="single" w:color="ED7D31" w:sz="4" w:space="0"/>
              <w:bottom w:val="single" w:color="ED7D31" w:sz="4" w:space="0"/>
              <w:right w:val="single" w:color="ED7D31" w:sz="4" w:space="0"/>
              <w:tl2br w:val="nil"/>
            </w:tcBorders>
            <w:shd w:val="clear" w:color="auto" w:fill="F5B082"/>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color w:val="000000"/>
                <w:sz w:val="21"/>
                <w:szCs w:val="21"/>
              </w:rPr>
            </w:pPr>
            <w:bookmarkStart w:id="525" w:name="_Toc6251"/>
            <w:r>
              <w:rPr>
                <w:rFonts w:hint="eastAsia" w:ascii="宋体" w:hAnsi="宋体" w:eastAsia="宋体" w:cs="宋体"/>
                <w:b/>
                <w:color w:val="000000"/>
                <w:sz w:val="21"/>
                <w:szCs w:val="21"/>
              </w:rPr>
              <w:t>序号</w:t>
            </w:r>
            <w:bookmarkEnd w:id="525"/>
          </w:p>
        </w:tc>
        <w:tc>
          <w:tcPr>
            <w:tcW w:w="4553" w:type="dxa"/>
            <w:tcBorders>
              <w:top w:val="single" w:color="ED7D31" w:sz="4" w:space="0"/>
              <w:left w:val="single" w:color="ED7D31" w:sz="4" w:space="0"/>
              <w:bottom w:val="single" w:color="ED7D31" w:sz="4" w:space="0"/>
              <w:right w:val="single" w:color="ED7D31" w:sz="4" w:space="0"/>
            </w:tcBorders>
            <w:shd w:val="clear" w:color="auto" w:fill="F5B082"/>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color w:val="000000"/>
                <w:sz w:val="21"/>
                <w:szCs w:val="21"/>
              </w:rPr>
            </w:pPr>
            <w:bookmarkStart w:id="526" w:name="_Toc21063"/>
            <w:r>
              <w:rPr>
                <w:rFonts w:hint="eastAsia" w:ascii="宋体" w:hAnsi="宋体" w:eastAsia="宋体" w:cs="宋体"/>
                <w:b/>
                <w:color w:val="000000"/>
                <w:sz w:val="21"/>
                <w:szCs w:val="21"/>
              </w:rPr>
              <w:t>指标</w:t>
            </w:r>
            <w:bookmarkEnd w:id="526"/>
          </w:p>
        </w:tc>
        <w:tc>
          <w:tcPr>
            <w:tcW w:w="822" w:type="dxa"/>
            <w:tcBorders>
              <w:top w:val="single" w:color="ED7D31" w:sz="4" w:space="0"/>
              <w:left w:val="single" w:color="ED7D31" w:sz="4" w:space="0"/>
              <w:bottom w:val="single" w:color="ED7D31" w:sz="4" w:space="0"/>
              <w:right w:val="single" w:color="ED7D31" w:sz="4" w:space="0"/>
            </w:tcBorders>
            <w:shd w:val="clear" w:color="auto" w:fill="F5B082"/>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color w:val="000000"/>
                <w:sz w:val="21"/>
                <w:szCs w:val="21"/>
              </w:rPr>
            </w:pPr>
            <w:bookmarkStart w:id="527" w:name="_Toc599"/>
            <w:r>
              <w:rPr>
                <w:rFonts w:hint="eastAsia" w:ascii="宋体" w:hAnsi="宋体" w:eastAsia="宋体" w:cs="宋体"/>
                <w:b/>
                <w:color w:val="000000"/>
                <w:sz w:val="21"/>
                <w:szCs w:val="21"/>
              </w:rPr>
              <w:t>单位</w:t>
            </w:r>
            <w:bookmarkEnd w:id="527"/>
          </w:p>
        </w:tc>
        <w:tc>
          <w:tcPr>
            <w:tcW w:w="1156" w:type="dxa"/>
            <w:tcBorders>
              <w:top w:val="single" w:color="ED7D31" w:sz="4" w:space="0"/>
              <w:left w:val="single" w:color="ED7D31" w:sz="4" w:space="0"/>
              <w:bottom w:val="single" w:color="ED7D31" w:sz="4" w:space="0"/>
              <w:right w:val="single" w:color="ED7D31" w:sz="4" w:space="0"/>
            </w:tcBorders>
            <w:shd w:val="clear" w:color="auto" w:fill="F5B082"/>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color w:val="000000"/>
                <w:sz w:val="21"/>
                <w:szCs w:val="21"/>
              </w:rPr>
            </w:pPr>
            <w:bookmarkStart w:id="528" w:name="_Toc4204"/>
            <w:r>
              <w:rPr>
                <w:rFonts w:hint="eastAsia" w:ascii="宋体" w:hAnsi="宋体" w:eastAsia="宋体" w:cs="宋体"/>
                <w:b/>
                <w:color w:val="000000"/>
                <w:sz w:val="21"/>
                <w:szCs w:val="21"/>
              </w:rPr>
              <w:t>2023年</w:t>
            </w:r>
            <w:bookmarkEnd w:id="528"/>
          </w:p>
        </w:tc>
        <w:tc>
          <w:tcPr>
            <w:tcW w:w="1169" w:type="dxa"/>
            <w:tcBorders>
              <w:top w:val="single" w:color="ED7D31" w:sz="4" w:space="0"/>
              <w:left w:val="single" w:color="ED7D31" w:sz="4" w:space="0"/>
              <w:bottom w:val="single" w:color="ED7D31" w:sz="4" w:space="0"/>
              <w:right w:val="single" w:color="ED7D31" w:sz="4" w:space="0"/>
            </w:tcBorders>
            <w:shd w:val="clear" w:color="auto" w:fill="F5B082"/>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color w:val="000000"/>
                <w:sz w:val="21"/>
                <w:szCs w:val="21"/>
              </w:rPr>
            </w:pPr>
            <w:bookmarkStart w:id="529" w:name="_Toc9682"/>
            <w:r>
              <w:rPr>
                <w:rFonts w:hint="eastAsia" w:ascii="宋体" w:hAnsi="宋体" w:eastAsia="宋体" w:cs="宋体"/>
                <w:b/>
                <w:color w:val="000000"/>
                <w:sz w:val="21"/>
                <w:szCs w:val="21"/>
              </w:rPr>
              <w:t>2024年</w:t>
            </w:r>
            <w:bookmarkEnd w:id="5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30" w:name="_Toc5987"/>
            <w:r>
              <w:rPr>
                <w:rFonts w:hint="eastAsia" w:ascii="宋体" w:hAnsi="宋体" w:eastAsia="宋体" w:cs="宋体"/>
                <w:b w:val="0"/>
                <w:color w:val="000000"/>
                <w:sz w:val="21"/>
                <w:szCs w:val="21"/>
              </w:rPr>
              <w:t>1</w:t>
            </w:r>
            <w:bookmarkEnd w:id="530"/>
          </w:p>
        </w:tc>
        <w:tc>
          <w:tcPr>
            <w:tcW w:w="4553"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全日制在校生人数*</w:t>
            </w:r>
          </w:p>
        </w:tc>
        <w:tc>
          <w:tcPr>
            <w:tcW w:w="82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rPr>
              <w:t>人</w:t>
            </w:r>
          </w:p>
        </w:tc>
        <w:tc>
          <w:tcPr>
            <w:tcW w:w="11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23028</w:t>
            </w:r>
          </w:p>
        </w:tc>
        <w:tc>
          <w:tcPr>
            <w:tcW w:w="1169"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 w:bidi="ar"/>
              </w:rPr>
            </w:pPr>
            <w:r>
              <w:rPr>
                <w:rFonts w:hint="default" w:ascii="Times New Roman" w:hAnsi="Times New Roman" w:eastAsia="宋体" w:cs="宋体"/>
                <w:b w:val="0"/>
                <w:color w:val="000000"/>
                <w:kern w:val="0"/>
                <w:sz w:val="21"/>
                <w:szCs w:val="21"/>
                <w:lang w:val="en" w:bidi="ar"/>
              </w:rPr>
              <w:t>21828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31" w:name="_Toc6998"/>
            <w:r>
              <w:rPr>
                <w:rFonts w:hint="eastAsia" w:ascii="宋体" w:hAnsi="宋体" w:eastAsia="宋体" w:cs="宋体"/>
                <w:b w:val="0"/>
                <w:color w:val="000000"/>
                <w:sz w:val="21"/>
                <w:szCs w:val="21"/>
              </w:rPr>
              <w:t>2</w:t>
            </w:r>
            <w:bookmarkEnd w:id="531"/>
          </w:p>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553"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年生均财政拨款水平</w:t>
            </w:r>
          </w:p>
        </w:tc>
        <w:tc>
          <w:tcPr>
            <w:tcW w:w="82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元</w:t>
            </w:r>
          </w:p>
        </w:tc>
        <w:tc>
          <w:tcPr>
            <w:tcW w:w="11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3704.58</w:t>
            </w:r>
          </w:p>
        </w:tc>
        <w:tc>
          <w:tcPr>
            <w:tcW w:w="1169"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 w:bidi="ar"/>
              </w:rPr>
            </w:pPr>
            <w:r>
              <w:rPr>
                <w:rFonts w:hint="default" w:ascii="Times New Roman" w:hAnsi="Times New Roman" w:eastAsia="宋体" w:cs="宋体"/>
                <w:b w:val="0"/>
                <w:color w:val="000000"/>
                <w:kern w:val="0"/>
                <w:sz w:val="21"/>
                <w:szCs w:val="21"/>
                <w:lang w:val="en" w:bidi="ar"/>
              </w:rPr>
              <w:t>3714.62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32" w:name="_Toc31670"/>
            <w:r>
              <w:rPr>
                <w:rFonts w:hint="eastAsia" w:ascii="宋体" w:hAnsi="宋体" w:eastAsia="宋体" w:cs="宋体"/>
                <w:b w:val="0"/>
                <w:color w:val="000000"/>
                <w:sz w:val="21"/>
                <w:szCs w:val="21"/>
              </w:rPr>
              <w:t>3</w:t>
            </w:r>
            <w:bookmarkEnd w:id="532"/>
          </w:p>
        </w:tc>
        <w:tc>
          <w:tcPr>
            <w:tcW w:w="4553"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年财政专项经费*</w:t>
            </w:r>
          </w:p>
        </w:tc>
        <w:tc>
          <w:tcPr>
            <w:tcW w:w="82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万元</w:t>
            </w:r>
          </w:p>
        </w:tc>
        <w:tc>
          <w:tcPr>
            <w:tcW w:w="11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bidi="ar"/>
              </w:rPr>
              <w:t>8530.9</w:t>
            </w:r>
            <w:r>
              <w:rPr>
                <w:rFonts w:hint="eastAsia" w:ascii="Times New Roman" w:hAnsi="Times New Roman" w:eastAsia="宋体" w:cs="宋体"/>
                <w:b w:val="0"/>
                <w:color w:val="000000"/>
                <w:kern w:val="0"/>
                <w:sz w:val="21"/>
                <w:szCs w:val="21"/>
                <w:lang w:val="en-US" w:eastAsia="zh-CN" w:bidi="ar"/>
              </w:rPr>
              <w:t>0</w:t>
            </w:r>
          </w:p>
        </w:tc>
        <w:tc>
          <w:tcPr>
            <w:tcW w:w="1169"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 w:bidi="ar"/>
              </w:rPr>
            </w:pPr>
            <w:r>
              <w:rPr>
                <w:rFonts w:hint="default" w:ascii="Times New Roman" w:hAnsi="Times New Roman" w:eastAsia="宋体" w:cs="宋体"/>
                <w:b w:val="0"/>
                <w:color w:val="000000"/>
                <w:kern w:val="0"/>
                <w:sz w:val="21"/>
                <w:szCs w:val="21"/>
                <w:lang w:val="en" w:bidi="ar"/>
              </w:rPr>
              <w:t>8618.92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4" w:type="dxa"/>
            <w:vMerge w:val="restart"/>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33" w:name="_Toc29534"/>
            <w:r>
              <w:rPr>
                <w:rFonts w:hint="eastAsia" w:ascii="宋体" w:hAnsi="宋体" w:eastAsia="宋体" w:cs="宋体"/>
                <w:b w:val="0"/>
                <w:color w:val="000000"/>
                <w:sz w:val="21"/>
                <w:szCs w:val="21"/>
              </w:rPr>
              <w:t>4</w:t>
            </w:r>
            <w:bookmarkEnd w:id="533"/>
          </w:p>
        </w:tc>
        <w:tc>
          <w:tcPr>
            <w:tcW w:w="4553"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教职工额定编制数</w:t>
            </w:r>
          </w:p>
        </w:tc>
        <w:tc>
          <w:tcPr>
            <w:tcW w:w="82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人</w:t>
            </w:r>
          </w:p>
        </w:tc>
        <w:tc>
          <w:tcPr>
            <w:tcW w:w="11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1228</w:t>
            </w:r>
          </w:p>
        </w:tc>
        <w:tc>
          <w:tcPr>
            <w:tcW w:w="1169"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 w:bidi="ar"/>
              </w:rPr>
            </w:pPr>
            <w:r>
              <w:rPr>
                <w:rFonts w:hint="default" w:ascii="Times New Roman" w:hAnsi="Times New Roman" w:eastAsia="宋体" w:cs="宋体"/>
                <w:b w:val="0"/>
                <w:color w:val="000000"/>
                <w:kern w:val="0"/>
                <w:sz w:val="21"/>
                <w:szCs w:val="21"/>
                <w:lang w:val="en" w:bidi="ar"/>
              </w:rPr>
              <w:t>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4"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553"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教职工总数</w:t>
            </w:r>
          </w:p>
        </w:tc>
        <w:tc>
          <w:tcPr>
            <w:tcW w:w="82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人</w:t>
            </w:r>
          </w:p>
        </w:tc>
        <w:tc>
          <w:tcPr>
            <w:tcW w:w="11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1548</w:t>
            </w:r>
          </w:p>
        </w:tc>
        <w:tc>
          <w:tcPr>
            <w:tcW w:w="1169"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 w:bidi="ar"/>
              </w:rPr>
            </w:pPr>
            <w:r>
              <w:rPr>
                <w:rFonts w:hint="default" w:ascii="Times New Roman" w:hAnsi="Times New Roman" w:eastAsia="宋体" w:cs="宋体"/>
                <w:b w:val="0"/>
                <w:color w:val="000000"/>
                <w:kern w:val="0"/>
                <w:sz w:val="21"/>
                <w:szCs w:val="21"/>
                <w:lang w:val="en" w:bidi="ar"/>
              </w:rPr>
              <w:t>1560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4"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553"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其中：专任教师总数</w:t>
            </w:r>
          </w:p>
        </w:tc>
        <w:tc>
          <w:tcPr>
            <w:tcW w:w="82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人</w:t>
            </w:r>
          </w:p>
        </w:tc>
        <w:tc>
          <w:tcPr>
            <w:tcW w:w="11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1444</w:t>
            </w:r>
          </w:p>
        </w:tc>
        <w:tc>
          <w:tcPr>
            <w:tcW w:w="1169"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 w:bidi="ar"/>
              </w:rPr>
            </w:pPr>
            <w:r>
              <w:rPr>
                <w:rFonts w:hint="default" w:ascii="Times New Roman" w:hAnsi="Times New Roman" w:eastAsia="宋体" w:cs="宋体"/>
                <w:b w:val="0"/>
                <w:color w:val="000000"/>
                <w:kern w:val="0"/>
                <w:sz w:val="21"/>
                <w:szCs w:val="21"/>
                <w:lang w:val="en" w:bidi="ar"/>
              </w:rPr>
              <w:t>1464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4"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553"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思政课教师数*</w:t>
            </w:r>
          </w:p>
        </w:tc>
        <w:tc>
          <w:tcPr>
            <w:tcW w:w="82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人</w:t>
            </w:r>
          </w:p>
        </w:tc>
        <w:tc>
          <w:tcPr>
            <w:tcW w:w="11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82</w:t>
            </w:r>
          </w:p>
        </w:tc>
        <w:tc>
          <w:tcPr>
            <w:tcW w:w="1169"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 w:bidi="ar"/>
              </w:rPr>
            </w:pPr>
            <w:r>
              <w:rPr>
                <w:rFonts w:hint="default" w:ascii="Times New Roman" w:hAnsi="Times New Roman" w:eastAsia="宋体" w:cs="宋体"/>
                <w:b w:val="0"/>
                <w:color w:val="000000"/>
                <w:kern w:val="0"/>
                <w:sz w:val="21"/>
                <w:szCs w:val="21"/>
                <w:lang w:val="en" w:bidi="ar"/>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4"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553"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体育课专任教师数</w:t>
            </w:r>
          </w:p>
        </w:tc>
        <w:tc>
          <w:tcPr>
            <w:tcW w:w="82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人</w:t>
            </w:r>
          </w:p>
        </w:tc>
        <w:tc>
          <w:tcPr>
            <w:tcW w:w="11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95</w:t>
            </w:r>
          </w:p>
        </w:tc>
        <w:tc>
          <w:tcPr>
            <w:tcW w:w="1169"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 w:bidi="ar"/>
              </w:rPr>
            </w:pPr>
            <w:r>
              <w:rPr>
                <w:rFonts w:hint="default" w:ascii="Times New Roman" w:hAnsi="Times New Roman" w:eastAsia="宋体" w:cs="宋体"/>
                <w:b w:val="0"/>
                <w:color w:val="000000"/>
                <w:kern w:val="0"/>
                <w:sz w:val="21"/>
                <w:szCs w:val="21"/>
                <w:lang w:val="en" w:bidi="ar"/>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4"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553"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美育课专任教师数</w:t>
            </w:r>
          </w:p>
        </w:tc>
        <w:tc>
          <w:tcPr>
            <w:tcW w:w="82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人</w:t>
            </w:r>
          </w:p>
        </w:tc>
        <w:tc>
          <w:tcPr>
            <w:tcW w:w="11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62</w:t>
            </w:r>
          </w:p>
        </w:tc>
        <w:tc>
          <w:tcPr>
            <w:tcW w:w="1169"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 w:bidi="ar"/>
              </w:rPr>
            </w:pPr>
            <w:r>
              <w:rPr>
                <w:rFonts w:hint="default" w:ascii="Times New Roman" w:hAnsi="Times New Roman" w:eastAsia="宋体" w:cs="宋体"/>
                <w:b w:val="0"/>
                <w:color w:val="000000"/>
                <w:kern w:val="0"/>
                <w:sz w:val="21"/>
                <w:szCs w:val="21"/>
                <w:lang w:val="en" w:bidi="ar"/>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4"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553"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辅导员人数*</w:t>
            </w:r>
          </w:p>
        </w:tc>
        <w:tc>
          <w:tcPr>
            <w:tcW w:w="82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人</w:t>
            </w:r>
          </w:p>
        </w:tc>
        <w:tc>
          <w:tcPr>
            <w:tcW w:w="11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宋体" w:hAnsi="宋体" w:eastAsia="宋体" w:cs="宋体"/>
                <w:b w:val="0"/>
                <w:color w:val="000000"/>
                <w:kern w:val="0"/>
                <w:sz w:val="15"/>
                <w:szCs w:val="15"/>
                <w:lang w:bidi="ar"/>
              </w:rPr>
            </w:pPr>
            <w:r>
              <w:rPr>
                <w:rFonts w:hint="eastAsia" w:ascii="宋体" w:hAnsi="宋体" w:eastAsia="宋体" w:cs="宋体"/>
                <w:b w:val="0"/>
                <w:color w:val="000000"/>
                <w:kern w:val="0"/>
                <w:sz w:val="15"/>
                <w:szCs w:val="15"/>
                <w:lang w:bidi="ar"/>
              </w:rPr>
              <w:t>仅高职填报</w:t>
            </w:r>
          </w:p>
        </w:tc>
        <w:tc>
          <w:tcPr>
            <w:tcW w:w="1169"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ind w:left="-105" w:leftChars="-50" w:right="-105" w:rightChars="-50"/>
              <w:jc w:val="center"/>
              <w:textAlignment w:val="center"/>
              <w:outlineLvl w:val="9"/>
              <w:rPr>
                <w:rFonts w:hint="eastAsia" w:ascii="宋体" w:hAnsi="宋体" w:eastAsia="宋体" w:cs="宋体"/>
                <w:b w:val="0"/>
                <w:color w:val="000000"/>
                <w:kern w:val="0"/>
                <w:sz w:val="15"/>
                <w:szCs w:val="15"/>
                <w:lang w:bidi="ar"/>
              </w:rPr>
            </w:pPr>
            <w:r>
              <w:rPr>
                <w:rFonts w:hint="eastAsia" w:ascii="宋体" w:hAnsi="宋体" w:eastAsia="宋体" w:cs="宋体"/>
                <w:b w:val="0"/>
                <w:color w:val="000000"/>
                <w:kern w:val="0"/>
                <w:sz w:val="15"/>
                <w:szCs w:val="15"/>
                <w:lang w:bidi="ar"/>
              </w:rPr>
              <w:t>仅高职填报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4"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553"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班主任人数</w:t>
            </w:r>
          </w:p>
        </w:tc>
        <w:tc>
          <w:tcPr>
            <w:tcW w:w="82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人</w:t>
            </w:r>
          </w:p>
        </w:tc>
        <w:tc>
          <w:tcPr>
            <w:tcW w:w="11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433</w:t>
            </w:r>
          </w:p>
        </w:tc>
        <w:tc>
          <w:tcPr>
            <w:tcW w:w="1169"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 w:bidi="ar"/>
              </w:rPr>
            </w:pPr>
            <w:r>
              <w:rPr>
                <w:rFonts w:hint="default" w:ascii="Times New Roman" w:hAnsi="Times New Roman" w:eastAsia="宋体" w:cs="宋体"/>
                <w:b w:val="0"/>
                <w:color w:val="000000"/>
                <w:kern w:val="0"/>
                <w:sz w:val="21"/>
                <w:szCs w:val="21"/>
                <w:lang w:val="en" w:bidi="ar"/>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4" w:type="dxa"/>
            <w:vMerge w:val="restart"/>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34" w:name="_Toc27074"/>
            <w:r>
              <w:rPr>
                <w:rFonts w:hint="eastAsia" w:ascii="宋体" w:hAnsi="宋体" w:eastAsia="宋体" w:cs="宋体"/>
                <w:b w:val="0"/>
                <w:color w:val="000000"/>
                <w:sz w:val="21"/>
                <w:szCs w:val="21"/>
              </w:rPr>
              <w:t>5</w:t>
            </w:r>
            <w:bookmarkEnd w:id="534"/>
          </w:p>
        </w:tc>
        <w:tc>
          <w:tcPr>
            <w:tcW w:w="4553"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参加国家学生体质健康标准测试人数</w:t>
            </w:r>
          </w:p>
        </w:tc>
        <w:tc>
          <w:tcPr>
            <w:tcW w:w="82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sz w:val="21"/>
                <w:szCs w:val="21"/>
              </w:rPr>
              <w:t>人</w:t>
            </w:r>
          </w:p>
        </w:tc>
        <w:tc>
          <w:tcPr>
            <w:tcW w:w="11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9292</w:t>
            </w:r>
          </w:p>
        </w:tc>
        <w:tc>
          <w:tcPr>
            <w:tcW w:w="1169"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 w:bidi="ar"/>
              </w:rPr>
            </w:pPr>
            <w:r>
              <w:rPr>
                <w:rFonts w:hint="default" w:ascii="Times New Roman" w:hAnsi="Times New Roman" w:eastAsia="宋体" w:cs="宋体"/>
                <w:b w:val="0"/>
                <w:color w:val="000000"/>
                <w:kern w:val="0"/>
                <w:sz w:val="21"/>
                <w:szCs w:val="21"/>
                <w:lang w:val="en" w:bidi="ar"/>
              </w:rPr>
              <w:t>9391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4"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553"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其中：学生体质测评合格率</w:t>
            </w:r>
          </w:p>
        </w:tc>
        <w:tc>
          <w:tcPr>
            <w:tcW w:w="82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sz w:val="21"/>
                <w:szCs w:val="21"/>
              </w:rPr>
              <w:t>%</w:t>
            </w:r>
          </w:p>
        </w:tc>
        <w:tc>
          <w:tcPr>
            <w:tcW w:w="11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99.68</w:t>
            </w:r>
          </w:p>
        </w:tc>
        <w:tc>
          <w:tcPr>
            <w:tcW w:w="1169"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 w:bidi="ar"/>
              </w:rPr>
            </w:pPr>
            <w:r>
              <w:rPr>
                <w:rFonts w:hint="default" w:ascii="Times New Roman" w:hAnsi="Times New Roman" w:eastAsia="宋体" w:cs="宋体"/>
                <w:b w:val="0"/>
                <w:color w:val="000000"/>
                <w:kern w:val="0"/>
                <w:sz w:val="21"/>
                <w:szCs w:val="21"/>
                <w:lang w:val="en" w:bidi="ar"/>
              </w:rPr>
              <w:t>99.71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35" w:name="_Toc14189"/>
            <w:r>
              <w:rPr>
                <w:rFonts w:hint="eastAsia" w:ascii="宋体" w:hAnsi="宋体" w:eastAsia="宋体" w:cs="宋体"/>
                <w:b w:val="0"/>
                <w:color w:val="000000"/>
                <w:sz w:val="21"/>
                <w:szCs w:val="21"/>
              </w:rPr>
              <w:t>6</w:t>
            </w:r>
            <w:bookmarkEnd w:id="535"/>
          </w:p>
        </w:tc>
        <w:tc>
          <w:tcPr>
            <w:tcW w:w="4553"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职业技能等级证书（含职业资格证书）获取人数</w:t>
            </w:r>
          </w:p>
        </w:tc>
        <w:tc>
          <w:tcPr>
            <w:tcW w:w="82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人</w:t>
            </w:r>
          </w:p>
        </w:tc>
        <w:tc>
          <w:tcPr>
            <w:tcW w:w="11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bidi="ar"/>
              </w:rPr>
              <w:t>1073</w:t>
            </w:r>
          </w:p>
        </w:tc>
        <w:tc>
          <w:tcPr>
            <w:tcW w:w="1169"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 w:bidi="ar"/>
              </w:rPr>
            </w:pPr>
            <w:r>
              <w:rPr>
                <w:rFonts w:hint="default" w:ascii="Times New Roman" w:hAnsi="Times New Roman" w:eastAsia="宋体" w:cs="宋体"/>
                <w:b w:val="0"/>
                <w:color w:val="000000"/>
                <w:kern w:val="0"/>
                <w:sz w:val="21"/>
                <w:szCs w:val="21"/>
                <w:lang w:val="en" w:bidi="ar"/>
              </w:rPr>
              <w:t>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36" w:name="_Toc8471"/>
            <w:r>
              <w:rPr>
                <w:rFonts w:hint="eastAsia" w:ascii="宋体" w:hAnsi="宋体" w:eastAsia="宋体" w:cs="宋体"/>
                <w:b w:val="0"/>
                <w:color w:val="000000"/>
                <w:sz w:val="21"/>
                <w:szCs w:val="21"/>
              </w:rPr>
              <w:t>7</w:t>
            </w:r>
            <w:bookmarkEnd w:id="536"/>
          </w:p>
        </w:tc>
        <w:tc>
          <w:tcPr>
            <w:tcW w:w="4553"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企业提供的校内实践教学设备值*</w:t>
            </w:r>
          </w:p>
        </w:tc>
        <w:tc>
          <w:tcPr>
            <w:tcW w:w="82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万元</w:t>
            </w:r>
          </w:p>
        </w:tc>
        <w:tc>
          <w:tcPr>
            <w:tcW w:w="11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bidi="ar"/>
              </w:rPr>
              <w:t>2809.5</w:t>
            </w:r>
            <w:r>
              <w:rPr>
                <w:rFonts w:hint="eastAsia" w:ascii="Times New Roman" w:hAnsi="Times New Roman" w:eastAsia="宋体" w:cs="宋体"/>
                <w:b w:val="0"/>
                <w:color w:val="000000"/>
                <w:kern w:val="0"/>
                <w:sz w:val="21"/>
                <w:szCs w:val="21"/>
                <w:lang w:val="en-US" w:eastAsia="zh-CN" w:bidi="ar"/>
              </w:rPr>
              <w:t>0</w:t>
            </w:r>
          </w:p>
        </w:tc>
        <w:tc>
          <w:tcPr>
            <w:tcW w:w="1169"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 w:bidi="ar"/>
              </w:rPr>
            </w:pPr>
            <w:r>
              <w:rPr>
                <w:rFonts w:hint="default" w:ascii="Times New Roman" w:hAnsi="Times New Roman" w:eastAsia="宋体" w:cs="宋体"/>
                <w:b w:val="0"/>
                <w:color w:val="000000"/>
                <w:kern w:val="0"/>
                <w:sz w:val="21"/>
                <w:szCs w:val="21"/>
                <w:lang w:val="en" w:bidi="ar"/>
              </w:rPr>
              <w:t>2815.20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4"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37" w:name="_Toc31885"/>
            <w:r>
              <w:rPr>
                <w:rFonts w:hint="eastAsia" w:ascii="宋体" w:hAnsi="宋体" w:eastAsia="宋体" w:cs="宋体"/>
                <w:b w:val="0"/>
                <w:color w:val="000000"/>
                <w:sz w:val="21"/>
                <w:szCs w:val="21"/>
              </w:rPr>
              <w:t>8</w:t>
            </w:r>
            <w:bookmarkEnd w:id="537"/>
          </w:p>
        </w:tc>
        <w:tc>
          <w:tcPr>
            <w:tcW w:w="4553"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与企业共建开放型区域产教融合实践中心数量</w:t>
            </w:r>
          </w:p>
        </w:tc>
        <w:tc>
          <w:tcPr>
            <w:tcW w:w="82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spacing w:line="360" w:lineRule="exact"/>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lang w:bidi="ar"/>
              </w:rPr>
              <w:t>个</w:t>
            </w:r>
          </w:p>
        </w:tc>
        <w:tc>
          <w:tcPr>
            <w:tcW w:w="11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12</w:t>
            </w:r>
          </w:p>
        </w:tc>
        <w:tc>
          <w:tcPr>
            <w:tcW w:w="1169"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 w:bidi="ar"/>
              </w:rPr>
            </w:pPr>
            <w:r>
              <w:rPr>
                <w:rFonts w:hint="default" w:ascii="Times New Roman" w:hAnsi="Times New Roman" w:eastAsia="宋体" w:cs="宋体"/>
                <w:b w:val="0"/>
                <w:color w:val="000000"/>
                <w:kern w:val="0"/>
                <w:sz w:val="21"/>
                <w:szCs w:val="21"/>
                <w:lang w:val="en"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4" w:type="dxa"/>
            <w:vMerge w:val="restart"/>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38" w:name="_Toc12158"/>
            <w:r>
              <w:rPr>
                <w:rFonts w:hint="eastAsia" w:ascii="宋体" w:hAnsi="宋体" w:eastAsia="宋体" w:cs="宋体"/>
                <w:b w:val="0"/>
                <w:color w:val="000000"/>
                <w:sz w:val="21"/>
                <w:szCs w:val="21"/>
              </w:rPr>
              <w:t>9</w:t>
            </w:r>
            <w:bookmarkEnd w:id="538"/>
          </w:p>
        </w:tc>
        <w:tc>
          <w:tcPr>
            <w:tcW w:w="4553"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聘请行业导师人数*</w:t>
            </w:r>
          </w:p>
        </w:tc>
        <w:tc>
          <w:tcPr>
            <w:tcW w:w="82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spacing w:line="360" w:lineRule="exact"/>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lang w:bidi="ar"/>
              </w:rPr>
              <w:t>人</w:t>
            </w:r>
          </w:p>
        </w:tc>
        <w:tc>
          <w:tcPr>
            <w:tcW w:w="11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134</w:t>
            </w:r>
          </w:p>
        </w:tc>
        <w:tc>
          <w:tcPr>
            <w:tcW w:w="1169"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 w:bidi="ar"/>
              </w:rPr>
            </w:pPr>
            <w:r>
              <w:rPr>
                <w:rFonts w:hint="default" w:ascii="Times New Roman" w:hAnsi="Times New Roman" w:eastAsia="宋体" w:cs="宋体"/>
                <w:b w:val="0"/>
                <w:color w:val="000000"/>
                <w:kern w:val="0"/>
                <w:sz w:val="21"/>
                <w:szCs w:val="21"/>
                <w:lang w:val="en" w:bidi="ar"/>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4"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553"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其中：聘请大国工匠、劳动模范人数</w:t>
            </w:r>
          </w:p>
        </w:tc>
        <w:tc>
          <w:tcPr>
            <w:tcW w:w="82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spacing w:line="360" w:lineRule="exact"/>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lang w:bidi="ar"/>
              </w:rPr>
              <w:t>人</w:t>
            </w:r>
          </w:p>
        </w:tc>
        <w:tc>
          <w:tcPr>
            <w:tcW w:w="11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2</w:t>
            </w:r>
          </w:p>
        </w:tc>
        <w:tc>
          <w:tcPr>
            <w:tcW w:w="1169"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 w:bidi="ar"/>
              </w:rPr>
            </w:pPr>
            <w:r>
              <w:rPr>
                <w:rFonts w:hint="default" w:ascii="Times New Roman" w:hAnsi="Times New Roman" w:eastAsia="宋体" w:cs="宋体"/>
                <w:b w:val="0"/>
                <w:color w:val="000000"/>
                <w:kern w:val="0"/>
                <w:sz w:val="21"/>
                <w:szCs w:val="21"/>
                <w:lang w:val="e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4"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553"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行业导师年课时总量*</w:t>
            </w:r>
          </w:p>
        </w:tc>
        <w:tc>
          <w:tcPr>
            <w:tcW w:w="82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spacing w:line="360" w:lineRule="exact"/>
              <w:jc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rPr>
              <w:t>课时</w:t>
            </w:r>
          </w:p>
        </w:tc>
        <w:tc>
          <w:tcPr>
            <w:tcW w:w="11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val="en-US" w:eastAsia="zh-CN" w:bidi="ar"/>
              </w:rPr>
              <w:t>5328</w:t>
            </w:r>
          </w:p>
        </w:tc>
        <w:tc>
          <w:tcPr>
            <w:tcW w:w="1169"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 w:bidi="ar"/>
              </w:rPr>
            </w:pPr>
            <w:r>
              <w:rPr>
                <w:rFonts w:hint="default" w:ascii="Times New Roman" w:hAnsi="Times New Roman" w:eastAsia="宋体" w:cs="宋体"/>
                <w:b w:val="0"/>
                <w:color w:val="000000"/>
                <w:kern w:val="0"/>
                <w:sz w:val="21"/>
                <w:szCs w:val="21"/>
                <w:lang w:val="en" w:bidi="ar"/>
              </w:rPr>
              <w:t>5628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4"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553"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年支付行业导师课酬</w:t>
            </w:r>
          </w:p>
        </w:tc>
        <w:tc>
          <w:tcPr>
            <w:tcW w:w="82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spacing w:line="360" w:lineRule="exact"/>
              <w:jc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rPr>
              <w:t>万元</w:t>
            </w:r>
          </w:p>
        </w:tc>
        <w:tc>
          <w:tcPr>
            <w:tcW w:w="11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bidi="ar"/>
              </w:rPr>
              <w:t>203.68</w:t>
            </w:r>
          </w:p>
        </w:tc>
        <w:tc>
          <w:tcPr>
            <w:tcW w:w="1169"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 w:bidi="ar"/>
              </w:rPr>
            </w:pPr>
            <w:r>
              <w:rPr>
                <w:rFonts w:hint="default" w:ascii="Times New Roman" w:hAnsi="Times New Roman" w:eastAsia="宋体" w:cs="宋体"/>
                <w:b w:val="0"/>
                <w:color w:val="000000"/>
                <w:kern w:val="0"/>
                <w:sz w:val="21"/>
                <w:szCs w:val="21"/>
                <w:lang w:val="en" w:bidi="ar"/>
              </w:rPr>
              <w:t>198.35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4" w:type="dxa"/>
            <w:vMerge w:val="restart"/>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bookmarkStart w:id="539" w:name="_Toc23198"/>
            <w:r>
              <w:rPr>
                <w:rFonts w:hint="eastAsia" w:ascii="宋体" w:hAnsi="宋体" w:eastAsia="宋体" w:cs="宋体"/>
                <w:b w:val="0"/>
                <w:color w:val="000000"/>
                <w:sz w:val="21"/>
                <w:szCs w:val="21"/>
              </w:rPr>
              <w:t>10</w:t>
            </w:r>
            <w:bookmarkEnd w:id="539"/>
          </w:p>
        </w:tc>
        <w:tc>
          <w:tcPr>
            <w:tcW w:w="4553"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年实习专项经费</w:t>
            </w:r>
          </w:p>
        </w:tc>
        <w:tc>
          <w:tcPr>
            <w:tcW w:w="82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spacing w:line="360" w:lineRule="exact"/>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万元</w:t>
            </w:r>
          </w:p>
        </w:tc>
        <w:tc>
          <w:tcPr>
            <w:tcW w:w="11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bidi="ar"/>
              </w:rPr>
              <w:t>70.43</w:t>
            </w:r>
          </w:p>
        </w:tc>
        <w:tc>
          <w:tcPr>
            <w:tcW w:w="1169"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 w:bidi="ar"/>
              </w:rPr>
            </w:pPr>
            <w:r>
              <w:rPr>
                <w:rFonts w:hint="default" w:ascii="Times New Roman" w:hAnsi="Times New Roman" w:eastAsia="宋体" w:cs="宋体"/>
                <w:b w:val="0"/>
                <w:color w:val="000000"/>
                <w:kern w:val="0"/>
                <w:sz w:val="21"/>
                <w:szCs w:val="21"/>
                <w:lang w:val="en" w:bidi="ar"/>
              </w:rPr>
              <w:t>68.26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4" w:type="dxa"/>
            <w:vMerge w:val="continue"/>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kinsoku/>
              <w:wordWrap/>
              <w:overflowPunct/>
              <w:topLinePunct w:val="0"/>
              <w:autoSpaceDE/>
              <w:autoSpaceDN/>
              <w:bidi w:val="0"/>
              <w:jc w:val="center"/>
              <w:outlineLvl w:val="9"/>
              <w:rPr>
                <w:rFonts w:hint="eastAsia" w:ascii="宋体" w:hAnsi="宋体" w:eastAsia="宋体" w:cs="宋体"/>
                <w:b w:val="0"/>
                <w:color w:val="000000"/>
                <w:sz w:val="21"/>
                <w:szCs w:val="21"/>
              </w:rPr>
            </w:pPr>
          </w:p>
        </w:tc>
        <w:tc>
          <w:tcPr>
            <w:tcW w:w="4553"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textAlignment w:val="center"/>
              <w:outlineLvl w:val="9"/>
              <w:rPr>
                <w:rFonts w:hint="eastAsia" w:ascii="宋体" w:hAnsi="宋体" w:eastAsia="宋体" w:cs="宋体"/>
                <w:b w:val="0"/>
                <w:color w:val="000000"/>
                <w:kern w:val="0"/>
                <w:sz w:val="21"/>
                <w:szCs w:val="21"/>
                <w:lang w:bidi="ar"/>
              </w:rPr>
            </w:pPr>
            <w:r>
              <w:rPr>
                <w:rFonts w:hint="eastAsia" w:ascii="宋体" w:hAnsi="宋体" w:eastAsia="宋体" w:cs="宋体"/>
                <w:b w:val="0"/>
                <w:color w:val="000000"/>
                <w:kern w:val="0"/>
                <w:sz w:val="21"/>
                <w:szCs w:val="21"/>
                <w:lang w:bidi="ar"/>
              </w:rPr>
              <w:t>其中：年实习责任保险经费</w:t>
            </w:r>
          </w:p>
        </w:tc>
        <w:tc>
          <w:tcPr>
            <w:tcW w:w="822"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spacing w:line="360" w:lineRule="exact"/>
              <w:jc w:val="center"/>
              <w:outlineLvl w:val="9"/>
              <w:rPr>
                <w:rFonts w:hint="eastAsia" w:ascii="宋体" w:hAnsi="宋体" w:eastAsia="宋体" w:cs="宋体"/>
                <w:b w:val="0"/>
                <w:color w:val="000000"/>
                <w:kern w:val="0"/>
                <w:sz w:val="21"/>
                <w:szCs w:val="21"/>
              </w:rPr>
            </w:pPr>
            <w:r>
              <w:rPr>
                <w:rFonts w:hint="eastAsia" w:ascii="宋体" w:hAnsi="宋体" w:eastAsia="宋体" w:cs="宋体"/>
                <w:b w:val="0"/>
                <w:color w:val="000000"/>
                <w:kern w:val="0"/>
                <w:sz w:val="21"/>
                <w:szCs w:val="21"/>
              </w:rPr>
              <w:t>万元</w:t>
            </w:r>
          </w:p>
        </w:tc>
        <w:tc>
          <w:tcPr>
            <w:tcW w:w="1156"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eastAsia" w:ascii="Times New Roman" w:hAnsi="Times New Roman" w:eastAsia="宋体" w:cs="宋体"/>
                <w:b w:val="0"/>
                <w:color w:val="000000"/>
                <w:kern w:val="0"/>
                <w:sz w:val="21"/>
                <w:szCs w:val="21"/>
                <w:lang w:val="en-US" w:eastAsia="zh-CN" w:bidi="ar"/>
              </w:rPr>
            </w:pPr>
            <w:r>
              <w:rPr>
                <w:rFonts w:hint="eastAsia" w:ascii="Times New Roman" w:hAnsi="Times New Roman" w:eastAsia="宋体" w:cs="宋体"/>
                <w:b w:val="0"/>
                <w:color w:val="000000"/>
                <w:kern w:val="0"/>
                <w:sz w:val="21"/>
                <w:szCs w:val="21"/>
                <w:lang w:bidi="ar"/>
              </w:rPr>
              <w:t>11.22</w:t>
            </w:r>
          </w:p>
        </w:tc>
        <w:tc>
          <w:tcPr>
            <w:tcW w:w="1169" w:type="dxa"/>
            <w:tcBorders>
              <w:top w:val="single" w:color="ED7D31" w:sz="4" w:space="0"/>
              <w:left w:val="single" w:color="ED7D31" w:sz="4" w:space="0"/>
              <w:bottom w:val="single" w:color="ED7D31" w:sz="4" w:space="0"/>
              <w:right w:val="single" w:color="ED7D31" w:sz="4" w:space="0"/>
            </w:tcBorders>
            <w:shd w:val="clear" w:color="auto" w:fill="FFFFFF"/>
            <w:vAlign w:val="center"/>
          </w:tcPr>
          <w:p>
            <w:pPr>
              <w:keepNext w:val="0"/>
              <w:keepLines w:val="0"/>
              <w:pageBreakBefore w:val="0"/>
              <w:widowControl/>
              <w:kinsoku/>
              <w:wordWrap/>
              <w:overflowPunct/>
              <w:topLinePunct w:val="0"/>
              <w:autoSpaceDE/>
              <w:autoSpaceDN/>
              <w:bidi w:val="0"/>
              <w:jc w:val="center"/>
              <w:textAlignment w:val="center"/>
              <w:outlineLvl w:val="9"/>
              <w:rPr>
                <w:rFonts w:hint="default" w:ascii="Times New Roman" w:hAnsi="Times New Roman" w:eastAsia="宋体" w:cs="宋体"/>
                <w:b w:val="0"/>
                <w:color w:val="000000"/>
                <w:kern w:val="0"/>
                <w:sz w:val="21"/>
                <w:szCs w:val="21"/>
                <w:lang w:val="en" w:bidi="ar"/>
              </w:rPr>
            </w:pPr>
            <w:r>
              <w:rPr>
                <w:rFonts w:hint="default" w:ascii="Times New Roman" w:hAnsi="Times New Roman" w:eastAsia="宋体" w:cs="宋体"/>
                <w:b w:val="0"/>
                <w:color w:val="000000"/>
                <w:kern w:val="0"/>
                <w:sz w:val="21"/>
                <w:szCs w:val="21"/>
                <w:lang w:val="en" w:bidi="ar"/>
              </w:rPr>
              <w:t>10.86</w:t>
            </w:r>
          </w:p>
        </w:tc>
      </w:tr>
    </w:tbl>
    <w:p>
      <w:pPr>
        <w:pStyle w:val="28"/>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default" w:ascii="黑体" w:hAnsi="黑体" w:eastAsia="黑体" w:cs="黑体"/>
          <w:b/>
          <w:bCs w:val="0"/>
          <w:kern w:val="44"/>
          <w:sz w:val="32"/>
          <w:szCs w:val="44"/>
          <w:lang w:val="en-US" w:eastAsia="zh-CN" w:bidi="ar-SA"/>
        </w:rPr>
        <w:sectPr>
          <w:footerReference r:id="rId10" w:type="default"/>
          <w:footnotePr>
            <w:numFmt w:val="decimalEnclosedCircleChinese"/>
          </w:footnote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widowControl/>
        <w:jc w:val="left"/>
        <w:rPr>
          <w:rFonts w:hint="eastAsia" w:ascii="Times New Roman" w:hAnsi="Times New Roman" w:eastAsia="宋体"/>
          <w:sz w:val="28"/>
          <w:szCs w:val="28"/>
          <w:lang w:eastAsia="zh-CN"/>
        </w:rPr>
      </w:pPr>
      <w:r>
        <w:rPr>
          <w:rFonts w:hint="eastAsia" w:ascii="Times New Roman" w:hAnsi="Times New Roman" w:eastAsia="宋体"/>
          <w:sz w:val="28"/>
          <w:szCs w:val="28"/>
          <w:lang w:eastAsia="zh-CN"/>
        </w:rPr>
        <w:drawing>
          <wp:anchor distT="0" distB="0" distL="114300" distR="114300" simplePos="0" relativeHeight="251661312" behindDoc="0" locked="0" layoutInCell="1" allowOverlap="1">
            <wp:simplePos x="0" y="0"/>
            <wp:positionH relativeFrom="column">
              <wp:posOffset>-1147445</wp:posOffset>
            </wp:positionH>
            <wp:positionV relativeFrom="paragraph">
              <wp:posOffset>-925830</wp:posOffset>
            </wp:positionV>
            <wp:extent cx="7570470" cy="10709275"/>
            <wp:effectExtent l="0" t="0" r="11430" b="9525"/>
            <wp:wrapNone/>
            <wp:docPr id="42" name="图片 42" descr="C:/Users/HUAWEI/Desktop/13.jpg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descr="C:/Users/HUAWEI/Desktop/13.jpg13"/>
                    <pic:cNvPicPr>
                      <a:picLocks noChangeAspect="true"/>
                    </pic:cNvPicPr>
                  </pic:nvPicPr>
                  <pic:blipFill>
                    <a:blip r:embed="rId74"/>
                    <a:srcRect l="12" r="12"/>
                    <a:stretch>
                      <a:fillRect/>
                    </a:stretch>
                  </pic:blipFill>
                  <pic:spPr>
                    <a:xfrm>
                      <a:off x="0" y="0"/>
                      <a:ext cx="7570470" cy="10709275"/>
                    </a:xfrm>
                    <a:prstGeom prst="rect">
                      <a:avLst/>
                    </a:prstGeom>
                  </pic:spPr>
                </pic:pic>
              </a:graphicData>
            </a:graphic>
          </wp:anchor>
        </w:drawing>
      </w:r>
    </w:p>
    <w:p>
      <w:pPr>
        <w:widowControl/>
        <w:jc w:val="left"/>
        <w:rPr>
          <w:rFonts w:ascii="Times New Roman" w:hAnsi="Times New Roman" w:eastAsia="宋体"/>
          <w:sz w:val="28"/>
          <w:szCs w:val="28"/>
        </w:rPr>
      </w:pPr>
    </w:p>
    <w:p>
      <w:pPr>
        <w:widowControl/>
        <w:jc w:val="left"/>
        <w:rPr>
          <w:rFonts w:ascii="Times New Roman" w:hAnsi="Times New Roman" w:eastAsia="宋体"/>
          <w:sz w:val="28"/>
          <w:szCs w:val="28"/>
        </w:rPr>
      </w:pPr>
    </w:p>
    <w:p>
      <w:pPr>
        <w:widowControl/>
        <w:jc w:val="left"/>
        <w:rPr>
          <w:rFonts w:ascii="Times New Roman" w:hAnsi="Times New Roman" w:eastAsia="宋体"/>
          <w:sz w:val="28"/>
          <w:szCs w:val="28"/>
        </w:rPr>
      </w:pPr>
    </w:p>
    <w:p>
      <w:pPr>
        <w:widowControl/>
        <w:jc w:val="left"/>
        <w:rPr>
          <w:rFonts w:ascii="Times New Roman" w:hAnsi="Times New Roman" w:eastAsia="宋体"/>
          <w:sz w:val="28"/>
          <w:szCs w:val="28"/>
        </w:rPr>
      </w:pPr>
    </w:p>
    <w:p>
      <w:pPr>
        <w:widowControl/>
        <w:jc w:val="left"/>
        <w:rPr>
          <w:rFonts w:ascii="Times New Roman" w:hAnsi="Times New Roman" w:eastAsia="宋体"/>
          <w:sz w:val="28"/>
          <w:szCs w:val="28"/>
        </w:rPr>
      </w:pPr>
    </w:p>
    <w:p>
      <w:pPr>
        <w:pStyle w:val="39"/>
        <w:ind w:firstLine="0" w:firstLineChars="0"/>
        <w:rPr>
          <w:rFonts w:ascii="Times New Roman" w:hAnsi="Times New Roman" w:eastAsia="宋体"/>
          <w:sz w:val="28"/>
          <w:szCs w:val="28"/>
        </w:rPr>
      </w:pPr>
    </w:p>
    <w:sectPr>
      <w:footnotePr>
        <w:numFmt w:val="decimalEnclosedCircleChinese"/>
      </w:footnote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汉仪中圆B5"/>
    <w:panose1 w:val="02010600030101010101"/>
    <w:charset w:val="86"/>
    <w:family w:val="auto"/>
    <w:pitch w:val="default"/>
    <w:sig w:usb0="00000000" w:usb1="00000000" w:usb2="00000016" w:usb3="00000000" w:csb0="0004000F" w:csb1="00000000"/>
  </w:font>
  <w:font w:name="等线 Light">
    <w:altName w:val="汉仪中圆B5"/>
    <w:panose1 w:val="02010600030101010101"/>
    <w:charset w:val="86"/>
    <w:family w:val="auto"/>
    <w:pitch w:val="default"/>
    <w:sig w:usb0="00000000" w:usb1="00000000" w:usb2="00000016" w:usb3="00000000" w:csb0="0004000F" w:csb1="00000000"/>
  </w:font>
  <w:font w:name="仿宋">
    <w:altName w:val="方正仿宋_GBK"/>
    <w:panose1 w:val="02010609060101010101"/>
    <w:charset w:val="86"/>
    <w:family w:val="modern"/>
    <w:pitch w:val="default"/>
    <w:sig w:usb0="00000000" w:usb1="00000000" w:usb2="00000016" w:usb3="00000000" w:csb0="00040001" w:csb1="00000000"/>
  </w:font>
  <w:font w:name="方正仿宋简体">
    <w:altName w:val="方正仿宋_GBK"/>
    <w:panose1 w:val="00000000000000000000"/>
    <w:charset w:val="86"/>
    <w:family w:val="auto"/>
    <w:pitch w:val="default"/>
    <w:sig w:usb0="00000000" w:usb1="00000000" w:usb2="00000012" w:usb3="00000000" w:csb0="00040001" w:csb1="00000000"/>
  </w:font>
  <w:font w:name="仿宋_GB2312">
    <w:altName w:val="方正仿宋_GBK"/>
    <w:panose1 w:val="02010609030101010101"/>
    <w:charset w:val="86"/>
    <w:family w:val="auto"/>
    <w:pitch w:val="default"/>
    <w:sig w:usb0="00000000" w:usb1="00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Arial Unicode MS">
    <w:altName w:val="DejaVu Sans"/>
    <w:panose1 w:val="020B0604020202020204"/>
    <w:charset w:val="86"/>
    <w:family w:val="swiss"/>
    <w:pitch w:val="default"/>
    <w:sig w:usb0="00000000" w:usb1="00000000" w:usb2="0000003F" w:usb3="00000000" w:csb0="603F01FF" w:csb1="FFFF0000"/>
  </w:font>
  <w:font w:name="微软雅黑">
    <w:altName w:val="方正黑体_GBK"/>
    <w:panose1 w:val="020B0503020204020204"/>
    <w:charset w:val="86"/>
    <w:family w:val="swiss"/>
    <w:pitch w:val="default"/>
    <w:sig w:usb0="00000000" w:usb1="00000000" w:usb2="00000016" w:usb3="00000000" w:csb0="0004001F" w:csb1="00000000"/>
  </w:font>
  <w:font w:name="Tahoma">
    <w:altName w:val="DejaVu Sans"/>
    <w:panose1 w:val="020B0604030504040204"/>
    <w:charset w:val="00"/>
    <w:family w:val="swiss"/>
    <w:pitch w:val="default"/>
    <w:sig w:usb0="00000000" w:usb1="00000000" w:usb2="00000029" w:usb3="00000000" w:csb0="200101FF" w:csb1="20280000"/>
  </w:font>
  <w:font w:name="FangSong_GB2312">
    <w:altName w:val="方正仿宋_GBK"/>
    <w:panose1 w:val="00000000000000000000"/>
    <w:charset w:val="00"/>
    <w:family w:val="auto"/>
    <w:pitch w:val="default"/>
    <w:sig w:usb0="00000000" w:usb1="00000000" w:usb2="00000000" w:usb3="00000000" w:csb0="00000000" w:csb1="00000000"/>
  </w:font>
  <w:font w:name="方正小标宋_GBK">
    <w:panose1 w:val="02000000000000000000"/>
    <w:charset w:val="86"/>
    <w:family w:val="script"/>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Segoe UI">
    <w:altName w:val="Noto Music"/>
    <w:panose1 w:val="020B0502040204020203"/>
    <w:charset w:val="00"/>
    <w:family w:val="auto"/>
    <w:pitch w:val="default"/>
    <w:sig w:usb0="00000000" w:usb1="00000000" w:usb2="00000009" w:usb3="00000000" w:csb0="200001FF" w:csb1="00000000"/>
  </w:font>
  <w:font w:name="CESI楷体-GB18030">
    <w:panose1 w:val="02000500000000000000"/>
    <w:charset w:val="86"/>
    <w:family w:val="auto"/>
    <w:pitch w:val="default"/>
    <w:sig w:usb0="A00002BF" w:usb1="38CF7CFA" w:usb2="00000016" w:usb3="00000000" w:csb0="0004000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文泉驿正黑">
    <w:panose1 w:val="02000603000000000000"/>
    <w:charset w:val="86"/>
    <w:family w:val="auto"/>
    <w:pitch w:val="default"/>
    <w:sig w:usb0="900002BF" w:usb1="2BDF7DFB" w:usb2="00000036" w:usb3="00000000" w:csb0="603E000D" w:csb1="D2D70000"/>
  </w:font>
  <w:font w:name="等线">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 w:name="方正黑体_GBK">
    <w:panose1 w:val="02000000000000000000"/>
    <w:charset w:val="86"/>
    <w:family w:val="auto"/>
    <w:pitch w:val="default"/>
    <w:sig w:usb0="00000001" w:usb1="08000000" w:usb2="00000000" w:usb3="00000000" w:csb0="00040000" w:csb1="00000000"/>
  </w:font>
  <w:font w:name="等线 Light">
    <w:altName w:val="汉仪仿宋S"/>
    <w:panose1 w:val="00000000000000000000"/>
    <w:charset w:val="00"/>
    <w:family w:val="auto"/>
    <w:pitch w:val="default"/>
    <w:sig w:usb0="00000000" w:usb1="00000000" w:usb2="00000000" w:usb3="00000000" w:csb0="00000000" w:csb1="00000000"/>
  </w:font>
  <w:font w:name="方正楷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汉仪中圆B5">
    <w:panose1 w:val="02010600000101010101"/>
    <w:charset w:val="88"/>
    <w:family w:val="auto"/>
    <w:pitch w:val="default"/>
    <w:sig w:usb0="00000001" w:usb1="080E0800" w:usb2="00000002" w:usb3="00000000" w:csb0="00100000" w:csb1="00000000"/>
  </w:font>
  <w:font w:name="Noto Music">
    <w:panose1 w:val="020B0502040504020204"/>
    <w:charset w:val="00"/>
    <w:family w:val="auto"/>
    <w:pitch w:val="default"/>
    <w:sig w:usb0="00000003" w:usb1="02006000" w:usb2="01000000" w:usb3="00000000" w:csb0="00000001" w:csb1="00000000"/>
  </w:font>
  <w:font w:name="Noto Sans Syriac Eastern">
    <w:panose1 w:val="02040503050306020203"/>
    <w:charset w:val="86"/>
    <w:family w:val="auto"/>
    <w:pitch w:val="default"/>
    <w:sig w:usb0="00000000" w:usb1="00000000" w:usb2="00000080" w:usb3="00000000" w:csb0="203E0161"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Times New Roman" w:hAnsi="Times New Roman"/>
      </w:rPr>
    </w:pPr>
    <w:sdt>
      <w:sdtPr>
        <w:rPr>
          <w:rFonts w:ascii="Times New Roman" w:hAnsi="Times New Roman"/>
        </w:rPr>
        <w:id w:val="-701248935"/>
      </w:sdtPr>
      <w:sdtEndPr>
        <w:rPr>
          <w:rFonts w:ascii="Times New Roman" w:hAnsi="Times New Roman"/>
        </w:rPr>
      </w:sdtEndPr>
      <w:sdtContent/>
    </w:sdt>
  </w:p>
  <w:p>
    <w:pPr>
      <w:pStyle w:val="2"/>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Times New Roman" w:hAnsi="Times New Roman"/>
      </w:rPr>
    </w:pPr>
  </w:p>
  <w:p>
    <w:pPr>
      <w:pStyle w:val="2"/>
      <w:jc w:val="cen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imes New Roman" w:hAnsi="Times New Roman"/>
      </w:rPr>
    </w:pPr>
  </w:p>
  <w:p>
    <w:pPr>
      <w:pStyle w:val="2"/>
      <w:jc w:val="center"/>
      <w:rPr>
        <w:rFonts w:ascii="Times New Roman" w:hAnsi="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ascii="Times New Roman" w:hAnsi="Times New Roma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DqUK9qHgIAACsEAAAOAAAAAAAAAAEAIAAAADUBAABkcnMvZTJvRG9jLnhtbFBL&#10;BQYAAAAABgAGAFkBAADF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w:t>
                    </w:r>
                    <w:r>
                      <w:fldChar w:fldCharType="end"/>
                    </w:r>
                  </w:p>
                </w:txbxContent>
              </v:textbox>
            </v:shape>
          </w:pict>
        </mc:Fallback>
      </mc:AlternateContent>
    </w:r>
  </w:p>
  <w:p>
    <w:pPr>
      <w:pStyle w:val="2"/>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footnote>
  <w:footnote w:type="continuationSeparator" w:id="9">
    <w:p/>
  </w:footnote>
  <w:footnote w:id="0">
    <w:p>
      <w:pPr>
        <w:pStyle w:val="16"/>
        <w:rPr>
          <w:rFonts w:ascii="Times New Roman" w:hAnsi="Times New Roman"/>
        </w:rPr>
      </w:pPr>
      <w:r>
        <w:rPr>
          <w:rFonts w:ascii="Times New Roman" w:hAnsi="Times New Roman"/>
        </w:rPr>
        <w:footnoteRef/>
      </w:r>
      <w:r>
        <w:rPr>
          <w:rFonts w:ascii="Times New Roman" w:hAnsi="Times New Roman"/>
        </w:rPr>
        <w:t xml:space="preserve"> </w:t>
      </w:r>
      <w:r>
        <w:rPr>
          <w:rFonts w:hint="eastAsia" w:ascii="Times New Roman" w:hAnsi="Times New Roman"/>
          <w:b/>
          <w:bCs/>
        </w:rPr>
        <w:t>占地面积：</w:t>
      </w:r>
      <w:r>
        <w:rPr>
          <w:rFonts w:hint="eastAsia" w:ascii="Times New Roman" w:hAnsi="Times New Roman"/>
        </w:rPr>
        <w:t>是指学校具有国家颁发的土地使用权证所占用的土地面积，包括学校体育场、绿化用地，不包括农场、林场的占地面积。中等职业学校生均学校占地面积（平方米</w:t>
      </w:r>
      <w:r>
        <w:rPr>
          <w:rFonts w:ascii="Times New Roman" w:hAnsi="Times New Roman"/>
        </w:rPr>
        <w:t>/生）=中等职业学校学校占地总面积/中等职业学校在校生总数。</w:t>
      </w:r>
    </w:p>
  </w:footnote>
  <w:footnote w:id="1">
    <w:p>
      <w:pPr>
        <w:pStyle w:val="16"/>
        <w:rPr>
          <w:rFonts w:ascii="Times New Roman" w:hAnsi="Times New Roman"/>
        </w:rPr>
      </w:pPr>
      <w:r>
        <w:rPr>
          <w:rFonts w:ascii="Times New Roman" w:hAnsi="Times New Roman"/>
        </w:rPr>
        <w:footnoteRef/>
      </w:r>
      <w:r>
        <w:rPr>
          <w:rFonts w:ascii="Times New Roman" w:hAnsi="Times New Roman"/>
          <w:b/>
          <w:bCs/>
        </w:rPr>
        <w:t xml:space="preserve"> </w:t>
      </w:r>
      <w:r>
        <w:rPr>
          <w:rFonts w:hint="eastAsia" w:ascii="Times New Roman" w:hAnsi="Times New Roman"/>
          <w:b/>
          <w:bCs/>
        </w:rPr>
        <w:t>校舍建筑面积：</w:t>
      </w:r>
      <w:r>
        <w:rPr>
          <w:rFonts w:hint="eastAsia" w:ascii="Times New Roman" w:hAnsi="Times New Roman"/>
        </w:rPr>
        <w:t>是指学校用于办学并可长期（一年以上）占有或使用校舍的建筑面积，包括政府、集体、个人专为办学提供的校舍和学校为办学租借的校舍，不包括尚未竣工的在建工程或已竣工未交付使用</w:t>
      </w:r>
      <w:r>
        <w:rPr>
          <w:rFonts w:hint="eastAsia" w:ascii="Times New Roman" w:hAnsi="Times New Roman"/>
          <w:lang w:val="en-US" w:eastAsia="zh-CN"/>
        </w:rPr>
        <w:t>的</w:t>
      </w:r>
      <w:r>
        <w:rPr>
          <w:rFonts w:hint="eastAsia" w:ascii="Times New Roman" w:hAnsi="Times New Roman"/>
        </w:rPr>
        <w:t>校舍、临时搭建棚舍。中等职业学校生均校舍建筑面积（平方米</w:t>
      </w:r>
      <w:r>
        <w:rPr>
          <w:rFonts w:ascii="Times New Roman" w:hAnsi="Times New Roman"/>
        </w:rPr>
        <w:t>/生）=中等职业学校校舍建筑总面积/中等职业学校在校生总数。</w:t>
      </w:r>
    </w:p>
  </w:footnote>
  <w:footnote w:id="2">
    <w:p>
      <w:pPr>
        <w:snapToGrid w:val="0"/>
        <w:jc w:val="left"/>
        <w:rPr>
          <w:rFonts w:ascii="Times New Roman" w:hAnsi="Times New Roman" w:eastAsia="仿宋_GB2312" w:cs="仿宋_GB2312"/>
          <w:sz w:val="18"/>
          <w:szCs w:val="22"/>
        </w:rPr>
      </w:pPr>
      <w:r>
        <w:rPr>
          <w:rFonts w:hint="eastAsia" w:ascii="Times New Roman" w:hAnsi="Times New Roman" w:eastAsia="仿宋_GB2312" w:cs="仿宋_GB2312"/>
          <w:sz w:val="18"/>
          <w:szCs w:val="22"/>
          <w:vertAlign w:val="superscript"/>
        </w:rPr>
        <w:footnoteRef/>
      </w:r>
      <w:r>
        <w:rPr>
          <w:rFonts w:hint="eastAsia" w:ascii="Times New Roman" w:hAnsi="Times New Roman" w:eastAsia="仿宋_GB2312" w:cs="仿宋_GB2312"/>
          <w:sz w:val="18"/>
          <w:szCs w:val="22"/>
        </w:rPr>
        <w:t xml:space="preserve"> 须逐一填写专业群名称、核心专业和对接产业，并上传平台，否则无效。</w:t>
      </w:r>
    </w:p>
  </w:footnote>
  <w:footnote w:id="3">
    <w:p>
      <w:pPr>
        <w:snapToGrid w:val="0"/>
        <w:jc w:val="left"/>
        <w:rPr>
          <w:rFonts w:ascii="Times New Roman" w:hAnsi="Times New Roman" w:eastAsia="仿宋_GB2312" w:cs="Times New Roman"/>
          <w:sz w:val="18"/>
          <w:szCs w:val="22"/>
        </w:rPr>
      </w:pPr>
      <w:r>
        <w:rPr>
          <w:rFonts w:ascii="Times New Roman" w:hAnsi="Times New Roman" w:eastAsia="仿宋_GB2312" w:cs="Times New Roman"/>
          <w:sz w:val="18"/>
          <w:szCs w:val="22"/>
          <w:vertAlign w:val="superscript"/>
        </w:rPr>
        <w:footnoteRef/>
      </w:r>
      <w:r>
        <w:rPr>
          <w:rFonts w:ascii="Times New Roman" w:hAnsi="Times New Roman" w:eastAsia="仿宋_GB2312" w:cs="Times New Roman"/>
          <w:sz w:val="18"/>
          <w:szCs w:val="22"/>
        </w:rPr>
        <w:t xml:space="preserve"> </w:t>
      </w:r>
      <w:r>
        <w:rPr>
          <w:rFonts w:hint="eastAsia" w:ascii="Times New Roman" w:hAnsi="Times New Roman" w:eastAsia="仿宋_GB2312" w:cs="Times New Roman"/>
          <w:sz w:val="18"/>
          <w:szCs w:val="22"/>
        </w:rPr>
        <w:t>须由受益方出具加盖财务章的证明，并上传平台，否则无效。</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Times New Roman" w:hAnsi="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rFonts w:ascii="Times New Roman" w:hAnsi="Times New Roman"/>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FF5419"/>
    <w:multiLevelType w:val="singleLevel"/>
    <w:tmpl w:val="28FF5419"/>
    <w:lvl w:ilvl="0" w:tentative="0">
      <w:start w:val="0"/>
      <w:numFmt w:val="none"/>
      <w:pStyle w:val="110"/>
      <w:lvlText w:val=""/>
      <w:lvlJc w:val="left"/>
      <w:pPr>
        <w:tabs>
          <w:tab w:val="left" w:pos="36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false"/>
  <w:bordersDoNotSurroundFooter w:val="false"/>
  <w:documentProtection w:enforcement="0"/>
  <w:defaultTabStop w:val="420"/>
  <w:drawingGridHorizontalSpacing w:val="105"/>
  <w:drawingGridVerticalSpacing w:val="156"/>
  <w:displayHorizontalDrawingGridEvery w:val="1"/>
  <w:displayVerticalDrawingGridEvery w:val="1"/>
  <w:noPunctuationKerning w:val="true"/>
  <w:characterSpacingControl w:val="compressPunctuation"/>
  <w:hdrShapeDefaults>
    <o:shapelayout v:ext="edit">
      <o:idmap v:ext="edit" data="3"/>
    </o:shapelayout>
  </w:hdrShapeDefaults>
  <w:footnotePr>
    <w:numFmt w:val="decimalEnclosedCircleChinese"/>
    <w:footnote w:id="8"/>
    <w:footnote w:id="9"/>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E0NmNhYjg2NmUzYmUzNjQxYmZhODQ5NTJkM2M4ZGUifQ=="/>
  </w:docVars>
  <w:rsids>
    <w:rsidRoot w:val="00B504EC"/>
    <w:rsid w:val="00006426"/>
    <w:rsid w:val="000101AD"/>
    <w:rsid w:val="0001041D"/>
    <w:rsid w:val="00012276"/>
    <w:rsid w:val="0001312D"/>
    <w:rsid w:val="00013D5C"/>
    <w:rsid w:val="00014C61"/>
    <w:rsid w:val="00016D7E"/>
    <w:rsid w:val="000206DE"/>
    <w:rsid w:val="00022CA9"/>
    <w:rsid w:val="000231FC"/>
    <w:rsid w:val="0002526C"/>
    <w:rsid w:val="0003094E"/>
    <w:rsid w:val="00031704"/>
    <w:rsid w:val="00034C64"/>
    <w:rsid w:val="000363B4"/>
    <w:rsid w:val="000378AA"/>
    <w:rsid w:val="00043B6A"/>
    <w:rsid w:val="00043C89"/>
    <w:rsid w:val="00044E39"/>
    <w:rsid w:val="00047BFF"/>
    <w:rsid w:val="000509C8"/>
    <w:rsid w:val="00051E6F"/>
    <w:rsid w:val="00052A18"/>
    <w:rsid w:val="0005382B"/>
    <w:rsid w:val="00054171"/>
    <w:rsid w:val="00054CCD"/>
    <w:rsid w:val="0005580F"/>
    <w:rsid w:val="0005589D"/>
    <w:rsid w:val="00055CDB"/>
    <w:rsid w:val="00056D10"/>
    <w:rsid w:val="00060167"/>
    <w:rsid w:val="00060CD6"/>
    <w:rsid w:val="00062496"/>
    <w:rsid w:val="000628C9"/>
    <w:rsid w:val="000635C6"/>
    <w:rsid w:val="00064718"/>
    <w:rsid w:val="00064EBD"/>
    <w:rsid w:val="00065231"/>
    <w:rsid w:val="000658D1"/>
    <w:rsid w:val="00065E64"/>
    <w:rsid w:val="0006623E"/>
    <w:rsid w:val="00066EBC"/>
    <w:rsid w:val="00067E9B"/>
    <w:rsid w:val="00070C19"/>
    <w:rsid w:val="00070D12"/>
    <w:rsid w:val="00071F98"/>
    <w:rsid w:val="000720F6"/>
    <w:rsid w:val="000740C2"/>
    <w:rsid w:val="000745FD"/>
    <w:rsid w:val="000749E3"/>
    <w:rsid w:val="00076E64"/>
    <w:rsid w:val="00080918"/>
    <w:rsid w:val="00083382"/>
    <w:rsid w:val="000850AC"/>
    <w:rsid w:val="00086916"/>
    <w:rsid w:val="00091C14"/>
    <w:rsid w:val="00092509"/>
    <w:rsid w:val="0009356C"/>
    <w:rsid w:val="000969AD"/>
    <w:rsid w:val="000A05E7"/>
    <w:rsid w:val="000A187C"/>
    <w:rsid w:val="000A27D2"/>
    <w:rsid w:val="000A698A"/>
    <w:rsid w:val="000B03E5"/>
    <w:rsid w:val="000B1EBE"/>
    <w:rsid w:val="000B43CD"/>
    <w:rsid w:val="000B44D3"/>
    <w:rsid w:val="000B77AE"/>
    <w:rsid w:val="000C024B"/>
    <w:rsid w:val="000C1B87"/>
    <w:rsid w:val="000C3C68"/>
    <w:rsid w:val="000C65AC"/>
    <w:rsid w:val="000D1268"/>
    <w:rsid w:val="000D2EC7"/>
    <w:rsid w:val="000D363D"/>
    <w:rsid w:val="000D3A12"/>
    <w:rsid w:val="000D4C14"/>
    <w:rsid w:val="000D71C2"/>
    <w:rsid w:val="000E04BA"/>
    <w:rsid w:val="000E0C22"/>
    <w:rsid w:val="000E0E4B"/>
    <w:rsid w:val="000E2638"/>
    <w:rsid w:val="000E3C5C"/>
    <w:rsid w:val="000E63F3"/>
    <w:rsid w:val="000F047B"/>
    <w:rsid w:val="000F184B"/>
    <w:rsid w:val="000F2D61"/>
    <w:rsid w:val="000F3620"/>
    <w:rsid w:val="000F614E"/>
    <w:rsid w:val="000F6F08"/>
    <w:rsid w:val="000F7902"/>
    <w:rsid w:val="000F79FE"/>
    <w:rsid w:val="00101A89"/>
    <w:rsid w:val="00101AE9"/>
    <w:rsid w:val="00103897"/>
    <w:rsid w:val="001061BA"/>
    <w:rsid w:val="001077B6"/>
    <w:rsid w:val="00110D45"/>
    <w:rsid w:val="001113BD"/>
    <w:rsid w:val="00112F01"/>
    <w:rsid w:val="00113437"/>
    <w:rsid w:val="0011522F"/>
    <w:rsid w:val="00115D6A"/>
    <w:rsid w:val="00121F04"/>
    <w:rsid w:val="00122098"/>
    <w:rsid w:val="00124553"/>
    <w:rsid w:val="00124D53"/>
    <w:rsid w:val="0012557F"/>
    <w:rsid w:val="0012634D"/>
    <w:rsid w:val="001265AA"/>
    <w:rsid w:val="00126C3F"/>
    <w:rsid w:val="0013490C"/>
    <w:rsid w:val="0013574F"/>
    <w:rsid w:val="00136B47"/>
    <w:rsid w:val="00137A1A"/>
    <w:rsid w:val="0014022A"/>
    <w:rsid w:val="00141EC9"/>
    <w:rsid w:val="00142441"/>
    <w:rsid w:val="0014434E"/>
    <w:rsid w:val="00145489"/>
    <w:rsid w:val="001528A5"/>
    <w:rsid w:val="00153F91"/>
    <w:rsid w:val="00154543"/>
    <w:rsid w:val="00155B3A"/>
    <w:rsid w:val="00157164"/>
    <w:rsid w:val="00164523"/>
    <w:rsid w:val="00164932"/>
    <w:rsid w:val="00166932"/>
    <w:rsid w:val="001669D4"/>
    <w:rsid w:val="0017107E"/>
    <w:rsid w:val="00172459"/>
    <w:rsid w:val="00176603"/>
    <w:rsid w:val="0017794A"/>
    <w:rsid w:val="00177CCD"/>
    <w:rsid w:val="001802AC"/>
    <w:rsid w:val="00181F9C"/>
    <w:rsid w:val="00182B07"/>
    <w:rsid w:val="0018388F"/>
    <w:rsid w:val="00183D59"/>
    <w:rsid w:val="00184684"/>
    <w:rsid w:val="00184F0D"/>
    <w:rsid w:val="0019232A"/>
    <w:rsid w:val="00193CED"/>
    <w:rsid w:val="00195D3E"/>
    <w:rsid w:val="00196208"/>
    <w:rsid w:val="001973BC"/>
    <w:rsid w:val="001A01CB"/>
    <w:rsid w:val="001A0D96"/>
    <w:rsid w:val="001A37CD"/>
    <w:rsid w:val="001A66C0"/>
    <w:rsid w:val="001B1C3E"/>
    <w:rsid w:val="001B3DA7"/>
    <w:rsid w:val="001B47D3"/>
    <w:rsid w:val="001B6732"/>
    <w:rsid w:val="001B683F"/>
    <w:rsid w:val="001B7F4C"/>
    <w:rsid w:val="001C0C48"/>
    <w:rsid w:val="001C2434"/>
    <w:rsid w:val="001C429D"/>
    <w:rsid w:val="001C4D84"/>
    <w:rsid w:val="001C5205"/>
    <w:rsid w:val="001C5755"/>
    <w:rsid w:val="001C5DE7"/>
    <w:rsid w:val="001C6AC4"/>
    <w:rsid w:val="001C7C71"/>
    <w:rsid w:val="001D0464"/>
    <w:rsid w:val="001D2245"/>
    <w:rsid w:val="001D27E1"/>
    <w:rsid w:val="001D3373"/>
    <w:rsid w:val="001D781C"/>
    <w:rsid w:val="001E10BD"/>
    <w:rsid w:val="001E2563"/>
    <w:rsid w:val="001E5F63"/>
    <w:rsid w:val="001E6851"/>
    <w:rsid w:val="001E74B6"/>
    <w:rsid w:val="001E7C61"/>
    <w:rsid w:val="001F0E27"/>
    <w:rsid w:val="001F5717"/>
    <w:rsid w:val="00201ADA"/>
    <w:rsid w:val="0020273E"/>
    <w:rsid w:val="00202859"/>
    <w:rsid w:val="002045AE"/>
    <w:rsid w:val="00204661"/>
    <w:rsid w:val="00204D8C"/>
    <w:rsid w:val="00207852"/>
    <w:rsid w:val="00207C26"/>
    <w:rsid w:val="00210A3B"/>
    <w:rsid w:val="002146F1"/>
    <w:rsid w:val="00215D1C"/>
    <w:rsid w:val="00216392"/>
    <w:rsid w:val="00217662"/>
    <w:rsid w:val="00220A76"/>
    <w:rsid w:val="002211A6"/>
    <w:rsid w:val="002219FA"/>
    <w:rsid w:val="002222F7"/>
    <w:rsid w:val="00222852"/>
    <w:rsid w:val="00223B70"/>
    <w:rsid w:val="00223DFD"/>
    <w:rsid w:val="002240F0"/>
    <w:rsid w:val="00225378"/>
    <w:rsid w:val="00226AB7"/>
    <w:rsid w:val="00230709"/>
    <w:rsid w:val="00234888"/>
    <w:rsid w:val="00235D6C"/>
    <w:rsid w:val="00237258"/>
    <w:rsid w:val="002401D5"/>
    <w:rsid w:val="00240E6C"/>
    <w:rsid w:val="002410CA"/>
    <w:rsid w:val="00242AE6"/>
    <w:rsid w:val="002447CF"/>
    <w:rsid w:val="00244B1B"/>
    <w:rsid w:val="00245594"/>
    <w:rsid w:val="00245B10"/>
    <w:rsid w:val="00247405"/>
    <w:rsid w:val="00251CEB"/>
    <w:rsid w:val="0025542C"/>
    <w:rsid w:val="0025596C"/>
    <w:rsid w:val="00256AF1"/>
    <w:rsid w:val="00256D01"/>
    <w:rsid w:val="0025713B"/>
    <w:rsid w:val="002577C1"/>
    <w:rsid w:val="00260067"/>
    <w:rsid w:val="0026119A"/>
    <w:rsid w:val="00263B7A"/>
    <w:rsid w:val="00264E69"/>
    <w:rsid w:val="002664E2"/>
    <w:rsid w:val="0026750B"/>
    <w:rsid w:val="00267B51"/>
    <w:rsid w:val="00271C73"/>
    <w:rsid w:val="00272585"/>
    <w:rsid w:val="00273BD8"/>
    <w:rsid w:val="002742C9"/>
    <w:rsid w:val="00274AE9"/>
    <w:rsid w:val="00275BD6"/>
    <w:rsid w:val="00277C7C"/>
    <w:rsid w:val="0028097B"/>
    <w:rsid w:val="002843A5"/>
    <w:rsid w:val="00284F31"/>
    <w:rsid w:val="00285F04"/>
    <w:rsid w:val="00290858"/>
    <w:rsid w:val="00290B5A"/>
    <w:rsid w:val="00292A65"/>
    <w:rsid w:val="00293573"/>
    <w:rsid w:val="002936E2"/>
    <w:rsid w:val="00294E78"/>
    <w:rsid w:val="00295C80"/>
    <w:rsid w:val="002961E0"/>
    <w:rsid w:val="002975A9"/>
    <w:rsid w:val="0029798E"/>
    <w:rsid w:val="002A1E82"/>
    <w:rsid w:val="002A46A8"/>
    <w:rsid w:val="002A515B"/>
    <w:rsid w:val="002A5559"/>
    <w:rsid w:val="002B0057"/>
    <w:rsid w:val="002B1442"/>
    <w:rsid w:val="002B19C2"/>
    <w:rsid w:val="002B37E0"/>
    <w:rsid w:val="002B3BBC"/>
    <w:rsid w:val="002B5178"/>
    <w:rsid w:val="002B6816"/>
    <w:rsid w:val="002B7E64"/>
    <w:rsid w:val="002C512F"/>
    <w:rsid w:val="002C7C9F"/>
    <w:rsid w:val="002D1046"/>
    <w:rsid w:val="002D1338"/>
    <w:rsid w:val="002D262E"/>
    <w:rsid w:val="002D2892"/>
    <w:rsid w:val="002D2CE5"/>
    <w:rsid w:val="002D3F3C"/>
    <w:rsid w:val="002D438C"/>
    <w:rsid w:val="002D4756"/>
    <w:rsid w:val="002E01C1"/>
    <w:rsid w:val="002E04AD"/>
    <w:rsid w:val="002E19D5"/>
    <w:rsid w:val="002E1BFE"/>
    <w:rsid w:val="002E3148"/>
    <w:rsid w:val="002E3B4C"/>
    <w:rsid w:val="002E4105"/>
    <w:rsid w:val="002E52B9"/>
    <w:rsid w:val="002E5D46"/>
    <w:rsid w:val="002E6C14"/>
    <w:rsid w:val="002E7A37"/>
    <w:rsid w:val="002F1268"/>
    <w:rsid w:val="002F1519"/>
    <w:rsid w:val="002F1A22"/>
    <w:rsid w:val="002F4204"/>
    <w:rsid w:val="002F4565"/>
    <w:rsid w:val="002F66EE"/>
    <w:rsid w:val="0030257A"/>
    <w:rsid w:val="00303B5D"/>
    <w:rsid w:val="00303CAD"/>
    <w:rsid w:val="00304169"/>
    <w:rsid w:val="00307E1D"/>
    <w:rsid w:val="00310B0A"/>
    <w:rsid w:val="00311235"/>
    <w:rsid w:val="003124C9"/>
    <w:rsid w:val="00320ADB"/>
    <w:rsid w:val="00321465"/>
    <w:rsid w:val="003229AE"/>
    <w:rsid w:val="00324F2D"/>
    <w:rsid w:val="00326E58"/>
    <w:rsid w:val="00335423"/>
    <w:rsid w:val="003357D8"/>
    <w:rsid w:val="00336A1E"/>
    <w:rsid w:val="0034052C"/>
    <w:rsid w:val="0034457E"/>
    <w:rsid w:val="003454AE"/>
    <w:rsid w:val="003456A8"/>
    <w:rsid w:val="00345E9C"/>
    <w:rsid w:val="00347A53"/>
    <w:rsid w:val="0035064D"/>
    <w:rsid w:val="00351550"/>
    <w:rsid w:val="00351608"/>
    <w:rsid w:val="003536F9"/>
    <w:rsid w:val="00354EBC"/>
    <w:rsid w:val="003550AC"/>
    <w:rsid w:val="00355253"/>
    <w:rsid w:val="00356256"/>
    <w:rsid w:val="003563E4"/>
    <w:rsid w:val="00356E8A"/>
    <w:rsid w:val="0035745D"/>
    <w:rsid w:val="00357D2D"/>
    <w:rsid w:val="00360AAA"/>
    <w:rsid w:val="00361AE3"/>
    <w:rsid w:val="00363AB8"/>
    <w:rsid w:val="003650C2"/>
    <w:rsid w:val="003705FB"/>
    <w:rsid w:val="003756D7"/>
    <w:rsid w:val="0037632B"/>
    <w:rsid w:val="00377AEC"/>
    <w:rsid w:val="0038215D"/>
    <w:rsid w:val="00382618"/>
    <w:rsid w:val="00384B61"/>
    <w:rsid w:val="0038526E"/>
    <w:rsid w:val="003920A4"/>
    <w:rsid w:val="00392404"/>
    <w:rsid w:val="003927A5"/>
    <w:rsid w:val="00392B81"/>
    <w:rsid w:val="003942EA"/>
    <w:rsid w:val="00395454"/>
    <w:rsid w:val="00395FE4"/>
    <w:rsid w:val="00396FC0"/>
    <w:rsid w:val="003975CE"/>
    <w:rsid w:val="003A02EE"/>
    <w:rsid w:val="003A1F86"/>
    <w:rsid w:val="003A2208"/>
    <w:rsid w:val="003A29A9"/>
    <w:rsid w:val="003A3D29"/>
    <w:rsid w:val="003A64FA"/>
    <w:rsid w:val="003A7750"/>
    <w:rsid w:val="003B07D2"/>
    <w:rsid w:val="003B1AE1"/>
    <w:rsid w:val="003B3167"/>
    <w:rsid w:val="003B35F2"/>
    <w:rsid w:val="003B4D59"/>
    <w:rsid w:val="003B6374"/>
    <w:rsid w:val="003B643A"/>
    <w:rsid w:val="003B792A"/>
    <w:rsid w:val="003B7EB2"/>
    <w:rsid w:val="003C0DBB"/>
    <w:rsid w:val="003C2460"/>
    <w:rsid w:val="003C3820"/>
    <w:rsid w:val="003C3F54"/>
    <w:rsid w:val="003C498F"/>
    <w:rsid w:val="003C504C"/>
    <w:rsid w:val="003C603D"/>
    <w:rsid w:val="003C6648"/>
    <w:rsid w:val="003C74A8"/>
    <w:rsid w:val="003C7BF9"/>
    <w:rsid w:val="003C7E46"/>
    <w:rsid w:val="003D1D0A"/>
    <w:rsid w:val="003D2D31"/>
    <w:rsid w:val="003D30B7"/>
    <w:rsid w:val="003D33DA"/>
    <w:rsid w:val="003D3BFB"/>
    <w:rsid w:val="003D3F58"/>
    <w:rsid w:val="003D5E3C"/>
    <w:rsid w:val="003D6656"/>
    <w:rsid w:val="003D670B"/>
    <w:rsid w:val="003E0C43"/>
    <w:rsid w:val="003E140C"/>
    <w:rsid w:val="003E1C61"/>
    <w:rsid w:val="003E3491"/>
    <w:rsid w:val="003E45B2"/>
    <w:rsid w:val="003F2CAB"/>
    <w:rsid w:val="003F417C"/>
    <w:rsid w:val="003F67BE"/>
    <w:rsid w:val="003F7488"/>
    <w:rsid w:val="00400DD3"/>
    <w:rsid w:val="00401293"/>
    <w:rsid w:val="00403EF5"/>
    <w:rsid w:val="004047AB"/>
    <w:rsid w:val="0040527E"/>
    <w:rsid w:val="00407EF7"/>
    <w:rsid w:val="0041007B"/>
    <w:rsid w:val="00410985"/>
    <w:rsid w:val="00414F7A"/>
    <w:rsid w:val="004246B9"/>
    <w:rsid w:val="0042505B"/>
    <w:rsid w:val="00426513"/>
    <w:rsid w:val="004267D5"/>
    <w:rsid w:val="0042709F"/>
    <w:rsid w:val="0042777A"/>
    <w:rsid w:val="00432DB8"/>
    <w:rsid w:val="0043455E"/>
    <w:rsid w:val="00434E81"/>
    <w:rsid w:val="004353A9"/>
    <w:rsid w:val="0043756D"/>
    <w:rsid w:val="00437A1D"/>
    <w:rsid w:val="00437F0D"/>
    <w:rsid w:val="00441B81"/>
    <w:rsid w:val="00442E4F"/>
    <w:rsid w:val="0045013F"/>
    <w:rsid w:val="00451DF9"/>
    <w:rsid w:val="0045319D"/>
    <w:rsid w:val="00454586"/>
    <w:rsid w:val="00456030"/>
    <w:rsid w:val="00457FAB"/>
    <w:rsid w:val="0046375D"/>
    <w:rsid w:val="00464269"/>
    <w:rsid w:val="00470CA7"/>
    <w:rsid w:val="00470D37"/>
    <w:rsid w:val="00471D9C"/>
    <w:rsid w:val="00472B63"/>
    <w:rsid w:val="0047486C"/>
    <w:rsid w:val="004752EA"/>
    <w:rsid w:val="00480E87"/>
    <w:rsid w:val="004811B6"/>
    <w:rsid w:val="00481283"/>
    <w:rsid w:val="004829A7"/>
    <w:rsid w:val="00483053"/>
    <w:rsid w:val="00485657"/>
    <w:rsid w:val="00485C17"/>
    <w:rsid w:val="00486BBF"/>
    <w:rsid w:val="00487736"/>
    <w:rsid w:val="0048777E"/>
    <w:rsid w:val="0049018A"/>
    <w:rsid w:val="004906CD"/>
    <w:rsid w:val="00490F82"/>
    <w:rsid w:val="004943E5"/>
    <w:rsid w:val="004A3E9D"/>
    <w:rsid w:val="004A6A8C"/>
    <w:rsid w:val="004B0C4E"/>
    <w:rsid w:val="004B186E"/>
    <w:rsid w:val="004B4AFE"/>
    <w:rsid w:val="004B54A7"/>
    <w:rsid w:val="004B54CB"/>
    <w:rsid w:val="004B71C7"/>
    <w:rsid w:val="004B7254"/>
    <w:rsid w:val="004B76CC"/>
    <w:rsid w:val="004B7F79"/>
    <w:rsid w:val="004C0099"/>
    <w:rsid w:val="004C0AB4"/>
    <w:rsid w:val="004C3A33"/>
    <w:rsid w:val="004C4EC3"/>
    <w:rsid w:val="004C642C"/>
    <w:rsid w:val="004C6DCE"/>
    <w:rsid w:val="004C72DA"/>
    <w:rsid w:val="004D39C0"/>
    <w:rsid w:val="004D3EA1"/>
    <w:rsid w:val="004D5A9E"/>
    <w:rsid w:val="004E12BE"/>
    <w:rsid w:val="004E2135"/>
    <w:rsid w:val="004E46C9"/>
    <w:rsid w:val="004E4A94"/>
    <w:rsid w:val="004E4F96"/>
    <w:rsid w:val="004E5E99"/>
    <w:rsid w:val="004E616D"/>
    <w:rsid w:val="004F0C15"/>
    <w:rsid w:val="004F1665"/>
    <w:rsid w:val="004F2790"/>
    <w:rsid w:val="004F3010"/>
    <w:rsid w:val="004F412D"/>
    <w:rsid w:val="004F4E69"/>
    <w:rsid w:val="004F60EB"/>
    <w:rsid w:val="004F703F"/>
    <w:rsid w:val="00501655"/>
    <w:rsid w:val="00501EE6"/>
    <w:rsid w:val="0050238C"/>
    <w:rsid w:val="00505D92"/>
    <w:rsid w:val="005060B0"/>
    <w:rsid w:val="005079B6"/>
    <w:rsid w:val="005109DC"/>
    <w:rsid w:val="0051418B"/>
    <w:rsid w:val="005150D9"/>
    <w:rsid w:val="0051615A"/>
    <w:rsid w:val="00517E89"/>
    <w:rsid w:val="00521DCD"/>
    <w:rsid w:val="00523E59"/>
    <w:rsid w:val="00524043"/>
    <w:rsid w:val="00524629"/>
    <w:rsid w:val="00524689"/>
    <w:rsid w:val="00524B0D"/>
    <w:rsid w:val="00524D91"/>
    <w:rsid w:val="00524E39"/>
    <w:rsid w:val="00525160"/>
    <w:rsid w:val="00526513"/>
    <w:rsid w:val="00527D4D"/>
    <w:rsid w:val="00532AB7"/>
    <w:rsid w:val="005365D1"/>
    <w:rsid w:val="00536BD4"/>
    <w:rsid w:val="00537C28"/>
    <w:rsid w:val="005412CF"/>
    <w:rsid w:val="00542717"/>
    <w:rsid w:val="00542B9B"/>
    <w:rsid w:val="0054352E"/>
    <w:rsid w:val="0054471B"/>
    <w:rsid w:val="005463DB"/>
    <w:rsid w:val="00547702"/>
    <w:rsid w:val="00550A76"/>
    <w:rsid w:val="00552429"/>
    <w:rsid w:val="00553DD8"/>
    <w:rsid w:val="005543D6"/>
    <w:rsid w:val="00555EC9"/>
    <w:rsid w:val="00557C4C"/>
    <w:rsid w:val="00560DA3"/>
    <w:rsid w:val="0056167F"/>
    <w:rsid w:val="0056297B"/>
    <w:rsid w:val="00562A8C"/>
    <w:rsid w:val="0056355A"/>
    <w:rsid w:val="00563C87"/>
    <w:rsid w:val="00564039"/>
    <w:rsid w:val="005657E9"/>
    <w:rsid w:val="005659DB"/>
    <w:rsid w:val="00573213"/>
    <w:rsid w:val="0057443D"/>
    <w:rsid w:val="00574E92"/>
    <w:rsid w:val="005758B3"/>
    <w:rsid w:val="005758F6"/>
    <w:rsid w:val="0057639E"/>
    <w:rsid w:val="00580CE4"/>
    <w:rsid w:val="00581601"/>
    <w:rsid w:val="00582735"/>
    <w:rsid w:val="00585914"/>
    <w:rsid w:val="00586FEC"/>
    <w:rsid w:val="00591E12"/>
    <w:rsid w:val="0059256B"/>
    <w:rsid w:val="0059266F"/>
    <w:rsid w:val="0059354F"/>
    <w:rsid w:val="00597BD4"/>
    <w:rsid w:val="005A0465"/>
    <w:rsid w:val="005A2D64"/>
    <w:rsid w:val="005A3DFC"/>
    <w:rsid w:val="005A63C0"/>
    <w:rsid w:val="005A6830"/>
    <w:rsid w:val="005A6AE9"/>
    <w:rsid w:val="005A6CF7"/>
    <w:rsid w:val="005A7208"/>
    <w:rsid w:val="005B1086"/>
    <w:rsid w:val="005B2018"/>
    <w:rsid w:val="005B3558"/>
    <w:rsid w:val="005B40A2"/>
    <w:rsid w:val="005B423F"/>
    <w:rsid w:val="005B541C"/>
    <w:rsid w:val="005B68AA"/>
    <w:rsid w:val="005B715E"/>
    <w:rsid w:val="005B7396"/>
    <w:rsid w:val="005C0B3D"/>
    <w:rsid w:val="005C1150"/>
    <w:rsid w:val="005C1B88"/>
    <w:rsid w:val="005C62E4"/>
    <w:rsid w:val="005C6F57"/>
    <w:rsid w:val="005C7203"/>
    <w:rsid w:val="005C7F9A"/>
    <w:rsid w:val="005D298B"/>
    <w:rsid w:val="005D6D18"/>
    <w:rsid w:val="005D71EF"/>
    <w:rsid w:val="005D7FAF"/>
    <w:rsid w:val="005E1FA2"/>
    <w:rsid w:val="005E7622"/>
    <w:rsid w:val="005F12E9"/>
    <w:rsid w:val="005F1DC6"/>
    <w:rsid w:val="005F437E"/>
    <w:rsid w:val="005F481F"/>
    <w:rsid w:val="005F66E9"/>
    <w:rsid w:val="0060172A"/>
    <w:rsid w:val="00602087"/>
    <w:rsid w:val="0060252E"/>
    <w:rsid w:val="00603E68"/>
    <w:rsid w:val="00604D6E"/>
    <w:rsid w:val="00606647"/>
    <w:rsid w:val="00606ECE"/>
    <w:rsid w:val="006102CE"/>
    <w:rsid w:val="00610B05"/>
    <w:rsid w:val="00610CC8"/>
    <w:rsid w:val="0061246F"/>
    <w:rsid w:val="00612B8A"/>
    <w:rsid w:val="006132D3"/>
    <w:rsid w:val="00613451"/>
    <w:rsid w:val="00613B5D"/>
    <w:rsid w:val="0061473D"/>
    <w:rsid w:val="0061736E"/>
    <w:rsid w:val="006177B6"/>
    <w:rsid w:val="00624055"/>
    <w:rsid w:val="00626181"/>
    <w:rsid w:val="00626A18"/>
    <w:rsid w:val="00631262"/>
    <w:rsid w:val="00631525"/>
    <w:rsid w:val="00632453"/>
    <w:rsid w:val="00633B50"/>
    <w:rsid w:val="00633FB0"/>
    <w:rsid w:val="00634901"/>
    <w:rsid w:val="006375BE"/>
    <w:rsid w:val="006376A5"/>
    <w:rsid w:val="00637978"/>
    <w:rsid w:val="00641484"/>
    <w:rsid w:val="00642019"/>
    <w:rsid w:val="00643483"/>
    <w:rsid w:val="0064421A"/>
    <w:rsid w:val="00644EF7"/>
    <w:rsid w:val="0064634D"/>
    <w:rsid w:val="00646412"/>
    <w:rsid w:val="00651349"/>
    <w:rsid w:val="00651479"/>
    <w:rsid w:val="006514EF"/>
    <w:rsid w:val="006525D6"/>
    <w:rsid w:val="00655C5B"/>
    <w:rsid w:val="00656F52"/>
    <w:rsid w:val="00660FC1"/>
    <w:rsid w:val="0066264E"/>
    <w:rsid w:val="0066349C"/>
    <w:rsid w:val="00665039"/>
    <w:rsid w:val="0066585A"/>
    <w:rsid w:val="0067092F"/>
    <w:rsid w:val="00672408"/>
    <w:rsid w:val="0067303E"/>
    <w:rsid w:val="00673A64"/>
    <w:rsid w:val="00674FB1"/>
    <w:rsid w:val="00675D3A"/>
    <w:rsid w:val="00676DF5"/>
    <w:rsid w:val="00682C38"/>
    <w:rsid w:val="0068465E"/>
    <w:rsid w:val="00686683"/>
    <w:rsid w:val="00686999"/>
    <w:rsid w:val="00686A54"/>
    <w:rsid w:val="0069035D"/>
    <w:rsid w:val="00690D61"/>
    <w:rsid w:val="00693764"/>
    <w:rsid w:val="0069468A"/>
    <w:rsid w:val="006A03FB"/>
    <w:rsid w:val="006A1AEE"/>
    <w:rsid w:val="006A35AE"/>
    <w:rsid w:val="006A4172"/>
    <w:rsid w:val="006A5AE3"/>
    <w:rsid w:val="006B007F"/>
    <w:rsid w:val="006B1152"/>
    <w:rsid w:val="006B215E"/>
    <w:rsid w:val="006B38C5"/>
    <w:rsid w:val="006B3F41"/>
    <w:rsid w:val="006B5964"/>
    <w:rsid w:val="006B68E1"/>
    <w:rsid w:val="006C10B0"/>
    <w:rsid w:val="006C2A45"/>
    <w:rsid w:val="006C2CE3"/>
    <w:rsid w:val="006C40DF"/>
    <w:rsid w:val="006C5CC4"/>
    <w:rsid w:val="006D18A7"/>
    <w:rsid w:val="006D24FD"/>
    <w:rsid w:val="006D6F3B"/>
    <w:rsid w:val="006E0135"/>
    <w:rsid w:val="006E05BE"/>
    <w:rsid w:val="006E0F07"/>
    <w:rsid w:val="006E41ED"/>
    <w:rsid w:val="006E436C"/>
    <w:rsid w:val="006E4A62"/>
    <w:rsid w:val="006E4F0C"/>
    <w:rsid w:val="006E5D8A"/>
    <w:rsid w:val="006E6643"/>
    <w:rsid w:val="006F0315"/>
    <w:rsid w:val="006F050B"/>
    <w:rsid w:val="006F1491"/>
    <w:rsid w:val="006F483E"/>
    <w:rsid w:val="006F4A71"/>
    <w:rsid w:val="006F4E3F"/>
    <w:rsid w:val="007004D6"/>
    <w:rsid w:val="00701197"/>
    <w:rsid w:val="007025A6"/>
    <w:rsid w:val="0070422E"/>
    <w:rsid w:val="00705CFE"/>
    <w:rsid w:val="00705FAC"/>
    <w:rsid w:val="00706019"/>
    <w:rsid w:val="00706EB4"/>
    <w:rsid w:val="007073FA"/>
    <w:rsid w:val="007079D2"/>
    <w:rsid w:val="00712B53"/>
    <w:rsid w:val="00712F6B"/>
    <w:rsid w:val="00715B1F"/>
    <w:rsid w:val="00715CFC"/>
    <w:rsid w:val="00720269"/>
    <w:rsid w:val="00720735"/>
    <w:rsid w:val="0072318A"/>
    <w:rsid w:val="00724381"/>
    <w:rsid w:val="007256BE"/>
    <w:rsid w:val="00726300"/>
    <w:rsid w:val="007270C0"/>
    <w:rsid w:val="00727D5D"/>
    <w:rsid w:val="0073005C"/>
    <w:rsid w:val="007304B6"/>
    <w:rsid w:val="00730D99"/>
    <w:rsid w:val="00732C35"/>
    <w:rsid w:val="0073403C"/>
    <w:rsid w:val="00734DFF"/>
    <w:rsid w:val="007357D7"/>
    <w:rsid w:val="007368DD"/>
    <w:rsid w:val="00740517"/>
    <w:rsid w:val="00741A2A"/>
    <w:rsid w:val="007423BB"/>
    <w:rsid w:val="00742D7C"/>
    <w:rsid w:val="0074395C"/>
    <w:rsid w:val="00747419"/>
    <w:rsid w:val="007523C9"/>
    <w:rsid w:val="00752B70"/>
    <w:rsid w:val="00757F61"/>
    <w:rsid w:val="00760A06"/>
    <w:rsid w:val="00760BBA"/>
    <w:rsid w:val="007638D8"/>
    <w:rsid w:val="00763B06"/>
    <w:rsid w:val="00763BD8"/>
    <w:rsid w:val="00764187"/>
    <w:rsid w:val="00764BB0"/>
    <w:rsid w:val="0076534C"/>
    <w:rsid w:val="00766F94"/>
    <w:rsid w:val="0077184D"/>
    <w:rsid w:val="00773229"/>
    <w:rsid w:val="00773D60"/>
    <w:rsid w:val="00773FD1"/>
    <w:rsid w:val="007748B5"/>
    <w:rsid w:val="00775859"/>
    <w:rsid w:val="00775AEA"/>
    <w:rsid w:val="007764AB"/>
    <w:rsid w:val="00777050"/>
    <w:rsid w:val="00783A9C"/>
    <w:rsid w:val="00787468"/>
    <w:rsid w:val="0078768E"/>
    <w:rsid w:val="00790134"/>
    <w:rsid w:val="0079063D"/>
    <w:rsid w:val="007921D8"/>
    <w:rsid w:val="007923DE"/>
    <w:rsid w:val="007926EB"/>
    <w:rsid w:val="007942E8"/>
    <w:rsid w:val="0079498B"/>
    <w:rsid w:val="0079517C"/>
    <w:rsid w:val="0079768F"/>
    <w:rsid w:val="007A259C"/>
    <w:rsid w:val="007A348F"/>
    <w:rsid w:val="007A419C"/>
    <w:rsid w:val="007B56BA"/>
    <w:rsid w:val="007C04DA"/>
    <w:rsid w:val="007C0F82"/>
    <w:rsid w:val="007C36D7"/>
    <w:rsid w:val="007C3A9B"/>
    <w:rsid w:val="007C5169"/>
    <w:rsid w:val="007C5988"/>
    <w:rsid w:val="007C5F1A"/>
    <w:rsid w:val="007C6DD4"/>
    <w:rsid w:val="007D2316"/>
    <w:rsid w:val="007D4C8C"/>
    <w:rsid w:val="007D7AB8"/>
    <w:rsid w:val="007E075D"/>
    <w:rsid w:val="007E0F17"/>
    <w:rsid w:val="007E2EF7"/>
    <w:rsid w:val="007E3762"/>
    <w:rsid w:val="007E4C2A"/>
    <w:rsid w:val="007E728A"/>
    <w:rsid w:val="007F0D1B"/>
    <w:rsid w:val="007F1C0D"/>
    <w:rsid w:val="007F3E35"/>
    <w:rsid w:val="007F3FA9"/>
    <w:rsid w:val="00801B59"/>
    <w:rsid w:val="00801DED"/>
    <w:rsid w:val="00802C33"/>
    <w:rsid w:val="00803B4B"/>
    <w:rsid w:val="008064A0"/>
    <w:rsid w:val="00814746"/>
    <w:rsid w:val="00814795"/>
    <w:rsid w:val="008165CE"/>
    <w:rsid w:val="00816D11"/>
    <w:rsid w:val="0082754A"/>
    <w:rsid w:val="0082796B"/>
    <w:rsid w:val="00827A7A"/>
    <w:rsid w:val="008355D5"/>
    <w:rsid w:val="00835F6E"/>
    <w:rsid w:val="00836544"/>
    <w:rsid w:val="00836E2F"/>
    <w:rsid w:val="0083794D"/>
    <w:rsid w:val="00840684"/>
    <w:rsid w:val="008415A4"/>
    <w:rsid w:val="008429B3"/>
    <w:rsid w:val="008435D2"/>
    <w:rsid w:val="008442CF"/>
    <w:rsid w:val="00844F8C"/>
    <w:rsid w:val="008474EF"/>
    <w:rsid w:val="00847ECE"/>
    <w:rsid w:val="00847FEB"/>
    <w:rsid w:val="00851E83"/>
    <w:rsid w:val="00855EA7"/>
    <w:rsid w:val="00857455"/>
    <w:rsid w:val="0085798A"/>
    <w:rsid w:val="00861B9F"/>
    <w:rsid w:val="00865001"/>
    <w:rsid w:val="008661C1"/>
    <w:rsid w:val="0086767A"/>
    <w:rsid w:val="0086768E"/>
    <w:rsid w:val="00867B53"/>
    <w:rsid w:val="00870552"/>
    <w:rsid w:val="008710FC"/>
    <w:rsid w:val="008717BC"/>
    <w:rsid w:val="00871E25"/>
    <w:rsid w:val="00872398"/>
    <w:rsid w:val="00873138"/>
    <w:rsid w:val="00873B39"/>
    <w:rsid w:val="00873DB7"/>
    <w:rsid w:val="00873E6D"/>
    <w:rsid w:val="00874432"/>
    <w:rsid w:val="008749AA"/>
    <w:rsid w:val="00874DF8"/>
    <w:rsid w:val="008802B1"/>
    <w:rsid w:val="00881383"/>
    <w:rsid w:val="0088237E"/>
    <w:rsid w:val="00883807"/>
    <w:rsid w:val="00883E2C"/>
    <w:rsid w:val="00884E0C"/>
    <w:rsid w:val="00887148"/>
    <w:rsid w:val="008902B4"/>
    <w:rsid w:val="00890601"/>
    <w:rsid w:val="00892D9D"/>
    <w:rsid w:val="00894BA5"/>
    <w:rsid w:val="00894F90"/>
    <w:rsid w:val="00895AE2"/>
    <w:rsid w:val="008A0A27"/>
    <w:rsid w:val="008A13D3"/>
    <w:rsid w:val="008A25E2"/>
    <w:rsid w:val="008A585E"/>
    <w:rsid w:val="008B0465"/>
    <w:rsid w:val="008B18AF"/>
    <w:rsid w:val="008B23C7"/>
    <w:rsid w:val="008B3F8E"/>
    <w:rsid w:val="008B4A42"/>
    <w:rsid w:val="008B4B4B"/>
    <w:rsid w:val="008B5614"/>
    <w:rsid w:val="008C14AD"/>
    <w:rsid w:val="008C62FA"/>
    <w:rsid w:val="008C6E17"/>
    <w:rsid w:val="008D05B6"/>
    <w:rsid w:val="008D1823"/>
    <w:rsid w:val="008D1F09"/>
    <w:rsid w:val="008D2A61"/>
    <w:rsid w:val="008D3324"/>
    <w:rsid w:val="008D3AAA"/>
    <w:rsid w:val="008D4093"/>
    <w:rsid w:val="008D458E"/>
    <w:rsid w:val="008D4EE8"/>
    <w:rsid w:val="008D5882"/>
    <w:rsid w:val="008E040B"/>
    <w:rsid w:val="008E234E"/>
    <w:rsid w:val="008E2F3A"/>
    <w:rsid w:val="008E3AA3"/>
    <w:rsid w:val="008E5226"/>
    <w:rsid w:val="008E5778"/>
    <w:rsid w:val="008E7503"/>
    <w:rsid w:val="008E75D9"/>
    <w:rsid w:val="008E7758"/>
    <w:rsid w:val="008F0CFE"/>
    <w:rsid w:val="008F46CE"/>
    <w:rsid w:val="008F4C48"/>
    <w:rsid w:val="008F629B"/>
    <w:rsid w:val="009011A7"/>
    <w:rsid w:val="009020A9"/>
    <w:rsid w:val="00903104"/>
    <w:rsid w:val="00903B89"/>
    <w:rsid w:val="00905341"/>
    <w:rsid w:val="0090534D"/>
    <w:rsid w:val="009074D4"/>
    <w:rsid w:val="009079A3"/>
    <w:rsid w:val="0091001F"/>
    <w:rsid w:val="00910C11"/>
    <w:rsid w:val="0091455A"/>
    <w:rsid w:val="00915CDF"/>
    <w:rsid w:val="009166B4"/>
    <w:rsid w:val="009232B6"/>
    <w:rsid w:val="00924A1E"/>
    <w:rsid w:val="00925F82"/>
    <w:rsid w:val="00931061"/>
    <w:rsid w:val="009320D6"/>
    <w:rsid w:val="00936A9B"/>
    <w:rsid w:val="0093792A"/>
    <w:rsid w:val="00942641"/>
    <w:rsid w:val="009435DD"/>
    <w:rsid w:val="00943DD0"/>
    <w:rsid w:val="00944A83"/>
    <w:rsid w:val="0095699E"/>
    <w:rsid w:val="0095717C"/>
    <w:rsid w:val="0096094A"/>
    <w:rsid w:val="00962296"/>
    <w:rsid w:val="0096355A"/>
    <w:rsid w:val="00963F6A"/>
    <w:rsid w:val="009671E3"/>
    <w:rsid w:val="009674A3"/>
    <w:rsid w:val="009679D6"/>
    <w:rsid w:val="009703AA"/>
    <w:rsid w:val="009704AC"/>
    <w:rsid w:val="00972BE0"/>
    <w:rsid w:val="009739B7"/>
    <w:rsid w:val="009741C0"/>
    <w:rsid w:val="0097432D"/>
    <w:rsid w:val="00974405"/>
    <w:rsid w:val="009767A0"/>
    <w:rsid w:val="0097723E"/>
    <w:rsid w:val="009856D7"/>
    <w:rsid w:val="00986FB8"/>
    <w:rsid w:val="00987552"/>
    <w:rsid w:val="0098782D"/>
    <w:rsid w:val="0099009B"/>
    <w:rsid w:val="009913C6"/>
    <w:rsid w:val="0099382D"/>
    <w:rsid w:val="00993AC4"/>
    <w:rsid w:val="00993C07"/>
    <w:rsid w:val="00994E2A"/>
    <w:rsid w:val="00997092"/>
    <w:rsid w:val="009A39F2"/>
    <w:rsid w:val="009A56FB"/>
    <w:rsid w:val="009A5F20"/>
    <w:rsid w:val="009A667A"/>
    <w:rsid w:val="009A66E2"/>
    <w:rsid w:val="009A6F58"/>
    <w:rsid w:val="009A72B8"/>
    <w:rsid w:val="009B065A"/>
    <w:rsid w:val="009B310D"/>
    <w:rsid w:val="009B5C89"/>
    <w:rsid w:val="009B7A1F"/>
    <w:rsid w:val="009B7AB7"/>
    <w:rsid w:val="009C14C7"/>
    <w:rsid w:val="009C25A2"/>
    <w:rsid w:val="009C2C02"/>
    <w:rsid w:val="009C347C"/>
    <w:rsid w:val="009C49F7"/>
    <w:rsid w:val="009C4A9F"/>
    <w:rsid w:val="009C5039"/>
    <w:rsid w:val="009C5D2A"/>
    <w:rsid w:val="009C71EA"/>
    <w:rsid w:val="009D029A"/>
    <w:rsid w:val="009D0F37"/>
    <w:rsid w:val="009D1299"/>
    <w:rsid w:val="009D1B09"/>
    <w:rsid w:val="009D3291"/>
    <w:rsid w:val="009D5A2A"/>
    <w:rsid w:val="009E0F87"/>
    <w:rsid w:val="009E1B20"/>
    <w:rsid w:val="009E1C13"/>
    <w:rsid w:val="009E2EB7"/>
    <w:rsid w:val="009E64C2"/>
    <w:rsid w:val="009E70DD"/>
    <w:rsid w:val="009E70F5"/>
    <w:rsid w:val="009F0B13"/>
    <w:rsid w:val="009F1510"/>
    <w:rsid w:val="009F3281"/>
    <w:rsid w:val="009F4B91"/>
    <w:rsid w:val="009F54D9"/>
    <w:rsid w:val="009F7427"/>
    <w:rsid w:val="00A0034C"/>
    <w:rsid w:val="00A00722"/>
    <w:rsid w:val="00A01312"/>
    <w:rsid w:val="00A018EE"/>
    <w:rsid w:val="00A03DEC"/>
    <w:rsid w:val="00A040D0"/>
    <w:rsid w:val="00A051C2"/>
    <w:rsid w:val="00A05B26"/>
    <w:rsid w:val="00A0662A"/>
    <w:rsid w:val="00A11955"/>
    <w:rsid w:val="00A1383C"/>
    <w:rsid w:val="00A164DF"/>
    <w:rsid w:val="00A16ED6"/>
    <w:rsid w:val="00A20A42"/>
    <w:rsid w:val="00A21DA5"/>
    <w:rsid w:val="00A22A9F"/>
    <w:rsid w:val="00A2384A"/>
    <w:rsid w:val="00A25903"/>
    <w:rsid w:val="00A25B4F"/>
    <w:rsid w:val="00A2609F"/>
    <w:rsid w:val="00A277B0"/>
    <w:rsid w:val="00A27BEC"/>
    <w:rsid w:val="00A301C6"/>
    <w:rsid w:val="00A31218"/>
    <w:rsid w:val="00A3235D"/>
    <w:rsid w:val="00A32467"/>
    <w:rsid w:val="00A327CF"/>
    <w:rsid w:val="00A3295D"/>
    <w:rsid w:val="00A336EA"/>
    <w:rsid w:val="00A40439"/>
    <w:rsid w:val="00A42231"/>
    <w:rsid w:val="00A43685"/>
    <w:rsid w:val="00A43F88"/>
    <w:rsid w:val="00A47823"/>
    <w:rsid w:val="00A514C7"/>
    <w:rsid w:val="00A52650"/>
    <w:rsid w:val="00A540E5"/>
    <w:rsid w:val="00A54A0C"/>
    <w:rsid w:val="00A54C04"/>
    <w:rsid w:val="00A54E15"/>
    <w:rsid w:val="00A55651"/>
    <w:rsid w:val="00A60F4B"/>
    <w:rsid w:val="00A61892"/>
    <w:rsid w:val="00A62ADF"/>
    <w:rsid w:val="00A64133"/>
    <w:rsid w:val="00A66713"/>
    <w:rsid w:val="00A72B34"/>
    <w:rsid w:val="00A73904"/>
    <w:rsid w:val="00A741FB"/>
    <w:rsid w:val="00A7455D"/>
    <w:rsid w:val="00A767FC"/>
    <w:rsid w:val="00A77C61"/>
    <w:rsid w:val="00A81B0D"/>
    <w:rsid w:val="00A86E6F"/>
    <w:rsid w:val="00A90AA9"/>
    <w:rsid w:val="00A91CAF"/>
    <w:rsid w:val="00A926BD"/>
    <w:rsid w:val="00A92B9D"/>
    <w:rsid w:val="00A934C0"/>
    <w:rsid w:val="00A9422E"/>
    <w:rsid w:val="00A950DE"/>
    <w:rsid w:val="00A96755"/>
    <w:rsid w:val="00A96846"/>
    <w:rsid w:val="00AA2777"/>
    <w:rsid w:val="00AA2EEE"/>
    <w:rsid w:val="00AA5111"/>
    <w:rsid w:val="00AA534D"/>
    <w:rsid w:val="00AA596F"/>
    <w:rsid w:val="00AA7E7E"/>
    <w:rsid w:val="00AB62CF"/>
    <w:rsid w:val="00AB6925"/>
    <w:rsid w:val="00AB6DB2"/>
    <w:rsid w:val="00AC018F"/>
    <w:rsid w:val="00AC07B5"/>
    <w:rsid w:val="00AC2DEC"/>
    <w:rsid w:val="00AC5214"/>
    <w:rsid w:val="00AC777D"/>
    <w:rsid w:val="00AD0298"/>
    <w:rsid w:val="00AD2DC0"/>
    <w:rsid w:val="00AD4778"/>
    <w:rsid w:val="00AD5583"/>
    <w:rsid w:val="00AD60C5"/>
    <w:rsid w:val="00AD76C1"/>
    <w:rsid w:val="00AE1DE3"/>
    <w:rsid w:val="00AE4E5E"/>
    <w:rsid w:val="00AE745D"/>
    <w:rsid w:val="00AF02F1"/>
    <w:rsid w:val="00AF0600"/>
    <w:rsid w:val="00AF1F04"/>
    <w:rsid w:val="00AF4601"/>
    <w:rsid w:val="00AF4DFE"/>
    <w:rsid w:val="00B007AB"/>
    <w:rsid w:val="00B00FAA"/>
    <w:rsid w:val="00B0443C"/>
    <w:rsid w:val="00B056A0"/>
    <w:rsid w:val="00B104EE"/>
    <w:rsid w:val="00B11055"/>
    <w:rsid w:val="00B110C4"/>
    <w:rsid w:val="00B13F3F"/>
    <w:rsid w:val="00B1412D"/>
    <w:rsid w:val="00B14CA3"/>
    <w:rsid w:val="00B16419"/>
    <w:rsid w:val="00B169AD"/>
    <w:rsid w:val="00B16FD5"/>
    <w:rsid w:val="00B1734A"/>
    <w:rsid w:val="00B2051C"/>
    <w:rsid w:val="00B20C70"/>
    <w:rsid w:val="00B20DE8"/>
    <w:rsid w:val="00B2146F"/>
    <w:rsid w:val="00B21F6C"/>
    <w:rsid w:val="00B221C8"/>
    <w:rsid w:val="00B237D0"/>
    <w:rsid w:val="00B246CF"/>
    <w:rsid w:val="00B2685D"/>
    <w:rsid w:val="00B27B98"/>
    <w:rsid w:val="00B27CA9"/>
    <w:rsid w:val="00B301F1"/>
    <w:rsid w:val="00B31181"/>
    <w:rsid w:val="00B31846"/>
    <w:rsid w:val="00B31CD6"/>
    <w:rsid w:val="00B32474"/>
    <w:rsid w:val="00B3343D"/>
    <w:rsid w:val="00B33AA7"/>
    <w:rsid w:val="00B33F44"/>
    <w:rsid w:val="00B355C0"/>
    <w:rsid w:val="00B41905"/>
    <w:rsid w:val="00B41F6B"/>
    <w:rsid w:val="00B4442E"/>
    <w:rsid w:val="00B4560E"/>
    <w:rsid w:val="00B47AD1"/>
    <w:rsid w:val="00B504EC"/>
    <w:rsid w:val="00B50ECD"/>
    <w:rsid w:val="00B52033"/>
    <w:rsid w:val="00B52690"/>
    <w:rsid w:val="00B53FAA"/>
    <w:rsid w:val="00B55367"/>
    <w:rsid w:val="00B564D9"/>
    <w:rsid w:val="00B61E6E"/>
    <w:rsid w:val="00B63580"/>
    <w:rsid w:val="00B63BD0"/>
    <w:rsid w:val="00B651D0"/>
    <w:rsid w:val="00B67E42"/>
    <w:rsid w:val="00B7010E"/>
    <w:rsid w:val="00B70CB6"/>
    <w:rsid w:val="00B712D8"/>
    <w:rsid w:val="00B7144F"/>
    <w:rsid w:val="00B73E60"/>
    <w:rsid w:val="00B73F97"/>
    <w:rsid w:val="00B75025"/>
    <w:rsid w:val="00B76409"/>
    <w:rsid w:val="00B771DF"/>
    <w:rsid w:val="00B7736E"/>
    <w:rsid w:val="00B820FA"/>
    <w:rsid w:val="00B82F75"/>
    <w:rsid w:val="00B83395"/>
    <w:rsid w:val="00B83B9D"/>
    <w:rsid w:val="00B866DD"/>
    <w:rsid w:val="00B87A8B"/>
    <w:rsid w:val="00B90336"/>
    <w:rsid w:val="00B9061E"/>
    <w:rsid w:val="00B92C89"/>
    <w:rsid w:val="00B938E3"/>
    <w:rsid w:val="00B94410"/>
    <w:rsid w:val="00B95810"/>
    <w:rsid w:val="00B9743A"/>
    <w:rsid w:val="00BA015F"/>
    <w:rsid w:val="00BA0172"/>
    <w:rsid w:val="00BA1787"/>
    <w:rsid w:val="00BA2AB4"/>
    <w:rsid w:val="00BA2F83"/>
    <w:rsid w:val="00BA4652"/>
    <w:rsid w:val="00BA4B87"/>
    <w:rsid w:val="00BA56FF"/>
    <w:rsid w:val="00BA604D"/>
    <w:rsid w:val="00BB0A50"/>
    <w:rsid w:val="00BB1BA2"/>
    <w:rsid w:val="00BB2CC0"/>
    <w:rsid w:val="00BB3DF5"/>
    <w:rsid w:val="00BB3F97"/>
    <w:rsid w:val="00BB439C"/>
    <w:rsid w:val="00BB4437"/>
    <w:rsid w:val="00BB68AD"/>
    <w:rsid w:val="00BB6AF4"/>
    <w:rsid w:val="00BB6E09"/>
    <w:rsid w:val="00BB78E8"/>
    <w:rsid w:val="00BC30A0"/>
    <w:rsid w:val="00BC382A"/>
    <w:rsid w:val="00BC38F6"/>
    <w:rsid w:val="00BC4721"/>
    <w:rsid w:val="00BC4BD3"/>
    <w:rsid w:val="00BC57CD"/>
    <w:rsid w:val="00BC58FD"/>
    <w:rsid w:val="00BD0F52"/>
    <w:rsid w:val="00BD242C"/>
    <w:rsid w:val="00BD4A2F"/>
    <w:rsid w:val="00BD69D5"/>
    <w:rsid w:val="00BD7E6C"/>
    <w:rsid w:val="00BE4710"/>
    <w:rsid w:val="00BE75FD"/>
    <w:rsid w:val="00BF044C"/>
    <w:rsid w:val="00BF0E19"/>
    <w:rsid w:val="00BF52BD"/>
    <w:rsid w:val="00BF5F4C"/>
    <w:rsid w:val="00C00AA0"/>
    <w:rsid w:val="00C01E2B"/>
    <w:rsid w:val="00C02A8D"/>
    <w:rsid w:val="00C04E39"/>
    <w:rsid w:val="00C05EAC"/>
    <w:rsid w:val="00C067D6"/>
    <w:rsid w:val="00C069A4"/>
    <w:rsid w:val="00C073CF"/>
    <w:rsid w:val="00C12DE3"/>
    <w:rsid w:val="00C15EB8"/>
    <w:rsid w:val="00C2127D"/>
    <w:rsid w:val="00C22A2F"/>
    <w:rsid w:val="00C25236"/>
    <w:rsid w:val="00C25248"/>
    <w:rsid w:val="00C257EA"/>
    <w:rsid w:val="00C31D88"/>
    <w:rsid w:val="00C36D07"/>
    <w:rsid w:val="00C4172A"/>
    <w:rsid w:val="00C42BC1"/>
    <w:rsid w:val="00C431DE"/>
    <w:rsid w:val="00C456FC"/>
    <w:rsid w:val="00C4655F"/>
    <w:rsid w:val="00C50505"/>
    <w:rsid w:val="00C50F71"/>
    <w:rsid w:val="00C54B84"/>
    <w:rsid w:val="00C60406"/>
    <w:rsid w:val="00C6471A"/>
    <w:rsid w:val="00C67899"/>
    <w:rsid w:val="00C7009B"/>
    <w:rsid w:val="00C70415"/>
    <w:rsid w:val="00C70F96"/>
    <w:rsid w:val="00C73FBA"/>
    <w:rsid w:val="00C75894"/>
    <w:rsid w:val="00C80986"/>
    <w:rsid w:val="00C817A9"/>
    <w:rsid w:val="00C81D2D"/>
    <w:rsid w:val="00C8348D"/>
    <w:rsid w:val="00C85578"/>
    <w:rsid w:val="00C85FFB"/>
    <w:rsid w:val="00C865D9"/>
    <w:rsid w:val="00C86622"/>
    <w:rsid w:val="00C87412"/>
    <w:rsid w:val="00C93499"/>
    <w:rsid w:val="00C93D4B"/>
    <w:rsid w:val="00C947E0"/>
    <w:rsid w:val="00CA08B8"/>
    <w:rsid w:val="00CA25EF"/>
    <w:rsid w:val="00CA408E"/>
    <w:rsid w:val="00CA7279"/>
    <w:rsid w:val="00CA7B51"/>
    <w:rsid w:val="00CB1E0D"/>
    <w:rsid w:val="00CB2D6C"/>
    <w:rsid w:val="00CB377A"/>
    <w:rsid w:val="00CB6E1B"/>
    <w:rsid w:val="00CB73F8"/>
    <w:rsid w:val="00CC3C96"/>
    <w:rsid w:val="00CC6DE1"/>
    <w:rsid w:val="00CD04AC"/>
    <w:rsid w:val="00CD127B"/>
    <w:rsid w:val="00CD1482"/>
    <w:rsid w:val="00CD1788"/>
    <w:rsid w:val="00CD259E"/>
    <w:rsid w:val="00CD39C1"/>
    <w:rsid w:val="00CD439A"/>
    <w:rsid w:val="00CD4498"/>
    <w:rsid w:val="00CD52AE"/>
    <w:rsid w:val="00CD74C4"/>
    <w:rsid w:val="00CE02E9"/>
    <w:rsid w:val="00CE0631"/>
    <w:rsid w:val="00CE1D96"/>
    <w:rsid w:val="00CE2A69"/>
    <w:rsid w:val="00CE46D9"/>
    <w:rsid w:val="00CE6452"/>
    <w:rsid w:val="00CF101E"/>
    <w:rsid w:val="00CF1704"/>
    <w:rsid w:val="00CF1A08"/>
    <w:rsid w:val="00CF26E4"/>
    <w:rsid w:val="00CF2D74"/>
    <w:rsid w:val="00CF3752"/>
    <w:rsid w:val="00CF445C"/>
    <w:rsid w:val="00CF52EE"/>
    <w:rsid w:val="00CF5319"/>
    <w:rsid w:val="00D01278"/>
    <w:rsid w:val="00D0395F"/>
    <w:rsid w:val="00D12B07"/>
    <w:rsid w:val="00D144BC"/>
    <w:rsid w:val="00D14932"/>
    <w:rsid w:val="00D15503"/>
    <w:rsid w:val="00D15BAB"/>
    <w:rsid w:val="00D21C9D"/>
    <w:rsid w:val="00D228EA"/>
    <w:rsid w:val="00D25C99"/>
    <w:rsid w:val="00D27814"/>
    <w:rsid w:val="00D315E2"/>
    <w:rsid w:val="00D31DC8"/>
    <w:rsid w:val="00D32899"/>
    <w:rsid w:val="00D3395F"/>
    <w:rsid w:val="00D341BC"/>
    <w:rsid w:val="00D341F9"/>
    <w:rsid w:val="00D35AF4"/>
    <w:rsid w:val="00D407AB"/>
    <w:rsid w:val="00D41797"/>
    <w:rsid w:val="00D432BC"/>
    <w:rsid w:val="00D43C3D"/>
    <w:rsid w:val="00D44043"/>
    <w:rsid w:val="00D451DF"/>
    <w:rsid w:val="00D4749E"/>
    <w:rsid w:val="00D47BEB"/>
    <w:rsid w:val="00D51647"/>
    <w:rsid w:val="00D52398"/>
    <w:rsid w:val="00D52C26"/>
    <w:rsid w:val="00D52D18"/>
    <w:rsid w:val="00D55FDF"/>
    <w:rsid w:val="00D63701"/>
    <w:rsid w:val="00D65BBD"/>
    <w:rsid w:val="00D70783"/>
    <w:rsid w:val="00D7292D"/>
    <w:rsid w:val="00D743B5"/>
    <w:rsid w:val="00D74870"/>
    <w:rsid w:val="00D75A9B"/>
    <w:rsid w:val="00D76415"/>
    <w:rsid w:val="00D766F6"/>
    <w:rsid w:val="00D82125"/>
    <w:rsid w:val="00D84381"/>
    <w:rsid w:val="00D86469"/>
    <w:rsid w:val="00D87C6A"/>
    <w:rsid w:val="00D90CE9"/>
    <w:rsid w:val="00D92237"/>
    <w:rsid w:val="00D94208"/>
    <w:rsid w:val="00D952E1"/>
    <w:rsid w:val="00D955E4"/>
    <w:rsid w:val="00DA0AA0"/>
    <w:rsid w:val="00DA1512"/>
    <w:rsid w:val="00DA161A"/>
    <w:rsid w:val="00DA1B66"/>
    <w:rsid w:val="00DA4DF6"/>
    <w:rsid w:val="00DB0EAE"/>
    <w:rsid w:val="00DB1FFF"/>
    <w:rsid w:val="00DB3F07"/>
    <w:rsid w:val="00DB57CE"/>
    <w:rsid w:val="00DC5E6F"/>
    <w:rsid w:val="00DC5F1B"/>
    <w:rsid w:val="00DC694A"/>
    <w:rsid w:val="00DC77D5"/>
    <w:rsid w:val="00DD2047"/>
    <w:rsid w:val="00DD4626"/>
    <w:rsid w:val="00DD4A92"/>
    <w:rsid w:val="00DD6571"/>
    <w:rsid w:val="00DE09C3"/>
    <w:rsid w:val="00DE16DC"/>
    <w:rsid w:val="00DE1BE7"/>
    <w:rsid w:val="00DE1D2B"/>
    <w:rsid w:val="00DE2987"/>
    <w:rsid w:val="00DE2BA9"/>
    <w:rsid w:val="00DE4345"/>
    <w:rsid w:val="00DE59BE"/>
    <w:rsid w:val="00DE74EF"/>
    <w:rsid w:val="00DF14BB"/>
    <w:rsid w:val="00DF1545"/>
    <w:rsid w:val="00DF4860"/>
    <w:rsid w:val="00DF5C60"/>
    <w:rsid w:val="00DF7AEF"/>
    <w:rsid w:val="00E015CF"/>
    <w:rsid w:val="00E0372C"/>
    <w:rsid w:val="00E03DED"/>
    <w:rsid w:val="00E04509"/>
    <w:rsid w:val="00E0492C"/>
    <w:rsid w:val="00E0567C"/>
    <w:rsid w:val="00E06F39"/>
    <w:rsid w:val="00E07793"/>
    <w:rsid w:val="00E105FA"/>
    <w:rsid w:val="00E11D14"/>
    <w:rsid w:val="00E12F59"/>
    <w:rsid w:val="00E1338C"/>
    <w:rsid w:val="00E17A62"/>
    <w:rsid w:val="00E20432"/>
    <w:rsid w:val="00E2196C"/>
    <w:rsid w:val="00E2278C"/>
    <w:rsid w:val="00E2366F"/>
    <w:rsid w:val="00E279EA"/>
    <w:rsid w:val="00E30FAC"/>
    <w:rsid w:val="00E3393D"/>
    <w:rsid w:val="00E339D7"/>
    <w:rsid w:val="00E340A1"/>
    <w:rsid w:val="00E35AFE"/>
    <w:rsid w:val="00E40835"/>
    <w:rsid w:val="00E40F1A"/>
    <w:rsid w:val="00E42160"/>
    <w:rsid w:val="00E47652"/>
    <w:rsid w:val="00E47FBB"/>
    <w:rsid w:val="00E5005A"/>
    <w:rsid w:val="00E50DC2"/>
    <w:rsid w:val="00E51DEE"/>
    <w:rsid w:val="00E56FDC"/>
    <w:rsid w:val="00E57028"/>
    <w:rsid w:val="00E60A9C"/>
    <w:rsid w:val="00E60B8D"/>
    <w:rsid w:val="00E647CA"/>
    <w:rsid w:val="00E65F84"/>
    <w:rsid w:val="00E66AE0"/>
    <w:rsid w:val="00E67903"/>
    <w:rsid w:val="00E6792B"/>
    <w:rsid w:val="00E70C03"/>
    <w:rsid w:val="00E7474F"/>
    <w:rsid w:val="00E74D9B"/>
    <w:rsid w:val="00E74F90"/>
    <w:rsid w:val="00E75B60"/>
    <w:rsid w:val="00E76FD2"/>
    <w:rsid w:val="00E81140"/>
    <w:rsid w:val="00E82BE3"/>
    <w:rsid w:val="00E848C1"/>
    <w:rsid w:val="00E85801"/>
    <w:rsid w:val="00E86099"/>
    <w:rsid w:val="00E94E2E"/>
    <w:rsid w:val="00EA5FB7"/>
    <w:rsid w:val="00EA7CAD"/>
    <w:rsid w:val="00EA7CF0"/>
    <w:rsid w:val="00EB0BDC"/>
    <w:rsid w:val="00EB111D"/>
    <w:rsid w:val="00EB2986"/>
    <w:rsid w:val="00EB60B2"/>
    <w:rsid w:val="00EC1541"/>
    <w:rsid w:val="00ED087C"/>
    <w:rsid w:val="00ED09D1"/>
    <w:rsid w:val="00ED0BE0"/>
    <w:rsid w:val="00ED1E2A"/>
    <w:rsid w:val="00ED2C32"/>
    <w:rsid w:val="00ED36DC"/>
    <w:rsid w:val="00ED38FB"/>
    <w:rsid w:val="00ED473C"/>
    <w:rsid w:val="00ED4CB3"/>
    <w:rsid w:val="00ED5454"/>
    <w:rsid w:val="00ED5F8A"/>
    <w:rsid w:val="00ED6C57"/>
    <w:rsid w:val="00EE4E9D"/>
    <w:rsid w:val="00EE52BA"/>
    <w:rsid w:val="00EE56F9"/>
    <w:rsid w:val="00EE6D7D"/>
    <w:rsid w:val="00EE7959"/>
    <w:rsid w:val="00EE79E1"/>
    <w:rsid w:val="00EF1486"/>
    <w:rsid w:val="00EF391C"/>
    <w:rsid w:val="00EF403F"/>
    <w:rsid w:val="00EF488F"/>
    <w:rsid w:val="00EF5E99"/>
    <w:rsid w:val="00F00FAF"/>
    <w:rsid w:val="00F02E54"/>
    <w:rsid w:val="00F03266"/>
    <w:rsid w:val="00F05A02"/>
    <w:rsid w:val="00F10E9E"/>
    <w:rsid w:val="00F11D21"/>
    <w:rsid w:val="00F131E4"/>
    <w:rsid w:val="00F133E3"/>
    <w:rsid w:val="00F173DA"/>
    <w:rsid w:val="00F17719"/>
    <w:rsid w:val="00F271BF"/>
    <w:rsid w:val="00F308B9"/>
    <w:rsid w:val="00F34899"/>
    <w:rsid w:val="00F35923"/>
    <w:rsid w:val="00F4101C"/>
    <w:rsid w:val="00F41B72"/>
    <w:rsid w:val="00F453D3"/>
    <w:rsid w:val="00F4687B"/>
    <w:rsid w:val="00F46D15"/>
    <w:rsid w:val="00F50518"/>
    <w:rsid w:val="00F51092"/>
    <w:rsid w:val="00F51A28"/>
    <w:rsid w:val="00F57D68"/>
    <w:rsid w:val="00F61442"/>
    <w:rsid w:val="00F61D1A"/>
    <w:rsid w:val="00F62EE4"/>
    <w:rsid w:val="00F63E30"/>
    <w:rsid w:val="00F646CE"/>
    <w:rsid w:val="00F64E9C"/>
    <w:rsid w:val="00F65EA4"/>
    <w:rsid w:val="00F663A2"/>
    <w:rsid w:val="00F66569"/>
    <w:rsid w:val="00F66F31"/>
    <w:rsid w:val="00F671C1"/>
    <w:rsid w:val="00F67336"/>
    <w:rsid w:val="00F6785B"/>
    <w:rsid w:val="00F71DF3"/>
    <w:rsid w:val="00F73956"/>
    <w:rsid w:val="00F7449D"/>
    <w:rsid w:val="00F7484D"/>
    <w:rsid w:val="00F75EAE"/>
    <w:rsid w:val="00F80FC6"/>
    <w:rsid w:val="00F823FA"/>
    <w:rsid w:val="00F84428"/>
    <w:rsid w:val="00F86064"/>
    <w:rsid w:val="00F91246"/>
    <w:rsid w:val="00F91CD8"/>
    <w:rsid w:val="00F94865"/>
    <w:rsid w:val="00FA00A3"/>
    <w:rsid w:val="00FA00F8"/>
    <w:rsid w:val="00FA1CEF"/>
    <w:rsid w:val="00FA21C9"/>
    <w:rsid w:val="00FA4C70"/>
    <w:rsid w:val="00FB05C1"/>
    <w:rsid w:val="00FB35EE"/>
    <w:rsid w:val="00FB481D"/>
    <w:rsid w:val="00FB4FE0"/>
    <w:rsid w:val="00FB513A"/>
    <w:rsid w:val="00FB7DC8"/>
    <w:rsid w:val="00FC2E71"/>
    <w:rsid w:val="00FC2F76"/>
    <w:rsid w:val="00FC391C"/>
    <w:rsid w:val="00FC4A26"/>
    <w:rsid w:val="00FC5EA0"/>
    <w:rsid w:val="00FC62F8"/>
    <w:rsid w:val="00FC685A"/>
    <w:rsid w:val="00FC6D8C"/>
    <w:rsid w:val="00FC76E9"/>
    <w:rsid w:val="00FC775D"/>
    <w:rsid w:val="00FD059E"/>
    <w:rsid w:val="00FD1B9E"/>
    <w:rsid w:val="00FD5878"/>
    <w:rsid w:val="00FD5926"/>
    <w:rsid w:val="00FD6367"/>
    <w:rsid w:val="00FE27B8"/>
    <w:rsid w:val="00FE2B4E"/>
    <w:rsid w:val="00FE3791"/>
    <w:rsid w:val="00FE52CF"/>
    <w:rsid w:val="00FE5AA5"/>
    <w:rsid w:val="00FE71A3"/>
    <w:rsid w:val="00FF26B0"/>
    <w:rsid w:val="00FF32FB"/>
    <w:rsid w:val="00FF56BA"/>
    <w:rsid w:val="0103164E"/>
    <w:rsid w:val="01053AA4"/>
    <w:rsid w:val="01062FB0"/>
    <w:rsid w:val="010943E6"/>
    <w:rsid w:val="010A6538"/>
    <w:rsid w:val="010B405F"/>
    <w:rsid w:val="010D7DD7"/>
    <w:rsid w:val="010F1DA1"/>
    <w:rsid w:val="01111616"/>
    <w:rsid w:val="011164C1"/>
    <w:rsid w:val="01141165"/>
    <w:rsid w:val="011C626C"/>
    <w:rsid w:val="011C648D"/>
    <w:rsid w:val="011E3D92"/>
    <w:rsid w:val="01207B0A"/>
    <w:rsid w:val="01253372"/>
    <w:rsid w:val="01284C10"/>
    <w:rsid w:val="012D0479"/>
    <w:rsid w:val="012F1F9A"/>
    <w:rsid w:val="01303AC5"/>
    <w:rsid w:val="01323CE1"/>
    <w:rsid w:val="013D290D"/>
    <w:rsid w:val="013E4434"/>
    <w:rsid w:val="014063FE"/>
    <w:rsid w:val="01437C9C"/>
    <w:rsid w:val="014A754B"/>
    <w:rsid w:val="014D5458"/>
    <w:rsid w:val="01502BE8"/>
    <w:rsid w:val="01515B9E"/>
    <w:rsid w:val="01521C8D"/>
    <w:rsid w:val="015679D0"/>
    <w:rsid w:val="015B3238"/>
    <w:rsid w:val="015C48BA"/>
    <w:rsid w:val="01640BBE"/>
    <w:rsid w:val="01644D0C"/>
    <w:rsid w:val="016E2F6B"/>
    <w:rsid w:val="016F45ED"/>
    <w:rsid w:val="01710365"/>
    <w:rsid w:val="01730582"/>
    <w:rsid w:val="01770883"/>
    <w:rsid w:val="01791910"/>
    <w:rsid w:val="017D7640"/>
    <w:rsid w:val="01802811"/>
    <w:rsid w:val="01802C9E"/>
    <w:rsid w:val="0183453D"/>
    <w:rsid w:val="018362EB"/>
    <w:rsid w:val="01852063"/>
    <w:rsid w:val="018A7679"/>
    <w:rsid w:val="018C1643"/>
    <w:rsid w:val="018F6A3E"/>
    <w:rsid w:val="01910A08"/>
    <w:rsid w:val="01932FA3"/>
    <w:rsid w:val="019404F8"/>
    <w:rsid w:val="01944054"/>
    <w:rsid w:val="01987B2B"/>
    <w:rsid w:val="019B53E2"/>
    <w:rsid w:val="01A050EF"/>
    <w:rsid w:val="01A3073B"/>
    <w:rsid w:val="01A47B77"/>
    <w:rsid w:val="01A55F55"/>
    <w:rsid w:val="01A85D51"/>
    <w:rsid w:val="01AA1AC9"/>
    <w:rsid w:val="01AB3B71"/>
    <w:rsid w:val="01AD5116"/>
    <w:rsid w:val="01B42948"/>
    <w:rsid w:val="01BD7A4F"/>
    <w:rsid w:val="01BF37C7"/>
    <w:rsid w:val="01C0309B"/>
    <w:rsid w:val="01C25065"/>
    <w:rsid w:val="01CC5EE4"/>
    <w:rsid w:val="01D34B7C"/>
    <w:rsid w:val="01D6466C"/>
    <w:rsid w:val="01D6608B"/>
    <w:rsid w:val="01D803E5"/>
    <w:rsid w:val="01DB6127"/>
    <w:rsid w:val="01DD481D"/>
    <w:rsid w:val="01DF5C17"/>
    <w:rsid w:val="01E21263"/>
    <w:rsid w:val="01E54211"/>
    <w:rsid w:val="01F66ABD"/>
    <w:rsid w:val="01FB2325"/>
    <w:rsid w:val="01FE5971"/>
    <w:rsid w:val="01FF1E15"/>
    <w:rsid w:val="02056D00"/>
    <w:rsid w:val="02063FCB"/>
    <w:rsid w:val="02063FDA"/>
    <w:rsid w:val="020A2568"/>
    <w:rsid w:val="020B6A0C"/>
    <w:rsid w:val="020D35F3"/>
    <w:rsid w:val="020E2058"/>
    <w:rsid w:val="021138F7"/>
    <w:rsid w:val="02151639"/>
    <w:rsid w:val="02160F0D"/>
    <w:rsid w:val="02181129"/>
    <w:rsid w:val="02186A33"/>
    <w:rsid w:val="021D673F"/>
    <w:rsid w:val="02223D56"/>
    <w:rsid w:val="0224187C"/>
    <w:rsid w:val="02247ACE"/>
    <w:rsid w:val="022913D4"/>
    <w:rsid w:val="02296E92"/>
    <w:rsid w:val="022B2C0A"/>
    <w:rsid w:val="022B3571"/>
    <w:rsid w:val="022E14F4"/>
    <w:rsid w:val="022E6257"/>
    <w:rsid w:val="02300221"/>
    <w:rsid w:val="02317AF5"/>
    <w:rsid w:val="023A4BFB"/>
    <w:rsid w:val="023C4E17"/>
    <w:rsid w:val="023D6EF5"/>
    <w:rsid w:val="024134CF"/>
    <w:rsid w:val="02443CCC"/>
    <w:rsid w:val="02445A7A"/>
    <w:rsid w:val="02447828"/>
    <w:rsid w:val="02494C6C"/>
    <w:rsid w:val="024C0DD3"/>
    <w:rsid w:val="024E06A7"/>
    <w:rsid w:val="024E68F9"/>
    <w:rsid w:val="02521689"/>
    <w:rsid w:val="02540C1C"/>
    <w:rsid w:val="0256755B"/>
    <w:rsid w:val="025832D3"/>
    <w:rsid w:val="025D6B3C"/>
    <w:rsid w:val="02624152"/>
    <w:rsid w:val="026254DF"/>
    <w:rsid w:val="026305F6"/>
    <w:rsid w:val="02641C78"/>
    <w:rsid w:val="02685C0C"/>
    <w:rsid w:val="026B1259"/>
    <w:rsid w:val="026C6D7F"/>
    <w:rsid w:val="026D5C3B"/>
    <w:rsid w:val="026E2AF7"/>
    <w:rsid w:val="0270061D"/>
    <w:rsid w:val="02704AC1"/>
    <w:rsid w:val="027520D7"/>
    <w:rsid w:val="02754146"/>
    <w:rsid w:val="027D71DE"/>
    <w:rsid w:val="027E531A"/>
    <w:rsid w:val="027F6AB2"/>
    <w:rsid w:val="0284056C"/>
    <w:rsid w:val="0284231A"/>
    <w:rsid w:val="028820E8"/>
    <w:rsid w:val="02894562"/>
    <w:rsid w:val="02954528"/>
    <w:rsid w:val="029C7664"/>
    <w:rsid w:val="02A12ECC"/>
    <w:rsid w:val="02A4476B"/>
    <w:rsid w:val="02A46519"/>
    <w:rsid w:val="02A91D81"/>
    <w:rsid w:val="02AD33AE"/>
    <w:rsid w:val="02AD7AC3"/>
    <w:rsid w:val="02AF7D72"/>
    <w:rsid w:val="02B1270D"/>
    <w:rsid w:val="02B16219"/>
    <w:rsid w:val="02B349AE"/>
    <w:rsid w:val="02B46B13"/>
    <w:rsid w:val="02BE7F94"/>
    <w:rsid w:val="02C1531D"/>
    <w:rsid w:val="02C23AB1"/>
    <w:rsid w:val="02C32E43"/>
    <w:rsid w:val="02C40969"/>
    <w:rsid w:val="02C62933"/>
    <w:rsid w:val="02C67048"/>
    <w:rsid w:val="02C95F7F"/>
    <w:rsid w:val="02CB619B"/>
    <w:rsid w:val="02D05560"/>
    <w:rsid w:val="02DC4582"/>
    <w:rsid w:val="02DD1A2B"/>
    <w:rsid w:val="02E44199"/>
    <w:rsid w:val="02E917C6"/>
    <w:rsid w:val="02ED7EC0"/>
    <w:rsid w:val="02F72AEC"/>
    <w:rsid w:val="02FA0513"/>
    <w:rsid w:val="03004097"/>
    <w:rsid w:val="0301396B"/>
    <w:rsid w:val="03065425"/>
    <w:rsid w:val="030671D3"/>
    <w:rsid w:val="030B4732"/>
    <w:rsid w:val="030B661C"/>
    <w:rsid w:val="030E245F"/>
    <w:rsid w:val="03101E00"/>
    <w:rsid w:val="031418F0"/>
    <w:rsid w:val="03142153"/>
    <w:rsid w:val="03157416"/>
    <w:rsid w:val="03177F30"/>
    <w:rsid w:val="03195159"/>
    <w:rsid w:val="032064E7"/>
    <w:rsid w:val="0321400D"/>
    <w:rsid w:val="03265180"/>
    <w:rsid w:val="032722C7"/>
    <w:rsid w:val="03303D4C"/>
    <w:rsid w:val="03307E6C"/>
    <w:rsid w:val="0337738D"/>
    <w:rsid w:val="03391357"/>
    <w:rsid w:val="033E361C"/>
    <w:rsid w:val="0348159A"/>
    <w:rsid w:val="03491238"/>
    <w:rsid w:val="034A3564"/>
    <w:rsid w:val="034F0B7A"/>
    <w:rsid w:val="035166A0"/>
    <w:rsid w:val="03567D8D"/>
    <w:rsid w:val="035A6DB6"/>
    <w:rsid w:val="035B751F"/>
    <w:rsid w:val="0361265C"/>
    <w:rsid w:val="0365214C"/>
    <w:rsid w:val="03685798"/>
    <w:rsid w:val="036A7762"/>
    <w:rsid w:val="036E6466"/>
    <w:rsid w:val="03795BF7"/>
    <w:rsid w:val="037B54CB"/>
    <w:rsid w:val="03812796"/>
    <w:rsid w:val="038C592B"/>
    <w:rsid w:val="038F541B"/>
    <w:rsid w:val="03922815"/>
    <w:rsid w:val="03990EF8"/>
    <w:rsid w:val="03991DF6"/>
    <w:rsid w:val="039C5442"/>
    <w:rsid w:val="039F048C"/>
    <w:rsid w:val="03A2514E"/>
    <w:rsid w:val="03A30597"/>
    <w:rsid w:val="03A55980"/>
    <w:rsid w:val="03A964DC"/>
    <w:rsid w:val="03AA7B5F"/>
    <w:rsid w:val="03AF1619"/>
    <w:rsid w:val="03AF786B"/>
    <w:rsid w:val="03B24C65"/>
    <w:rsid w:val="03B45B24"/>
    <w:rsid w:val="03B70C87"/>
    <w:rsid w:val="03BD3D36"/>
    <w:rsid w:val="03C055D4"/>
    <w:rsid w:val="03C15D32"/>
    <w:rsid w:val="03C30C20"/>
    <w:rsid w:val="03C350C4"/>
    <w:rsid w:val="03C926DB"/>
    <w:rsid w:val="03CC21CB"/>
    <w:rsid w:val="03D63674"/>
    <w:rsid w:val="03D8291E"/>
    <w:rsid w:val="03DD709E"/>
    <w:rsid w:val="03DD7F34"/>
    <w:rsid w:val="03E5503B"/>
    <w:rsid w:val="03F35447"/>
    <w:rsid w:val="03F60B8C"/>
    <w:rsid w:val="03F84D6E"/>
    <w:rsid w:val="03FB03BA"/>
    <w:rsid w:val="03FB485E"/>
    <w:rsid w:val="03FF434E"/>
    <w:rsid w:val="04021749"/>
    <w:rsid w:val="0402799B"/>
    <w:rsid w:val="04090D29"/>
    <w:rsid w:val="04096F7B"/>
    <w:rsid w:val="040A2CF3"/>
    <w:rsid w:val="040C7417"/>
    <w:rsid w:val="040D00EE"/>
    <w:rsid w:val="0410030A"/>
    <w:rsid w:val="04111891"/>
    <w:rsid w:val="041A0E66"/>
    <w:rsid w:val="041A3F51"/>
    <w:rsid w:val="041B0A5C"/>
    <w:rsid w:val="041B0FFD"/>
    <w:rsid w:val="04206073"/>
    <w:rsid w:val="042518DB"/>
    <w:rsid w:val="042711AF"/>
    <w:rsid w:val="04287D4C"/>
    <w:rsid w:val="04294F27"/>
    <w:rsid w:val="04333FF8"/>
    <w:rsid w:val="04357D70"/>
    <w:rsid w:val="04363AE8"/>
    <w:rsid w:val="043A5387"/>
    <w:rsid w:val="043B10FF"/>
    <w:rsid w:val="043B4C5B"/>
    <w:rsid w:val="04402271"/>
    <w:rsid w:val="04434C1C"/>
    <w:rsid w:val="04446205"/>
    <w:rsid w:val="04461F7D"/>
    <w:rsid w:val="04473600"/>
    <w:rsid w:val="044B5C73"/>
    <w:rsid w:val="044B7594"/>
    <w:rsid w:val="044D5773"/>
    <w:rsid w:val="045201B4"/>
    <w:rsid w:val="04526F15"/>
    <w:rsid w:val="04553F6E"/>
    <w:rsid w:val="045727C7"/>
    <w:rsid w:val="04583A5F"/>
    <w:rsid w:val="045A1585"/>
    <w:rsid w:val="045B52FD"/>
    <w:rsid w:val="045D2E23"/>
    <w:rsid w:val="045D3C98"/>
    <w:rsid w:val="045F4DED"/>
    <w:rsid w:val="04620439"/>
    <w:rsid w:val="046248DD"/>
    <w:rsid w:val="0463522E"/>
    <w:rsid w:val="046C12B8"/>
    <w:rsid w:val="046E3282"/>
    <w:rsid w:val="04702B56"/>
    <w:rsid w:val="04715C4B"/>
    <w:rsid w:val="04796E49"/>
    <w:rsid w:val="047B371E"/>
    <w:rsid w:val="047D34C5"/>
    <w:rsid w:val="047D5273"/>
    <w:rsid w:val="04806B11"/>
    <w:rsid w:val="0483670F"/>
    <w:rsid w:val="0484450C"/>
    <w:rsid w:val="048B3E34"/>
    <w:rsid w:val="049251C3"/>
    <w:rsid w:val="04926F71"/>
    <w:rsid w:val="04932CE9"/>
    <w:rsid w:val="0495080F"/>
    <w:rsid w:val="049727D9"/>
    <w:rsid w:val="049820AD"/>
    <w:rsid w:val="049F168E"/>
    <w:rsid w:val="04A40C4E"/>
    <w:rsid w:val="04A445DD"/>
    <w:rsid w:val="04A62A1C"/>
    <w:rsid w:val="04B30C95"/>
    <w:rsid w:val="04B769D7"/>
    <w:rsid w:val="04BC58FF"/>
    <w:rsid w:val="04C410F4"/>
    <w:rsid w:val="04C759C7"/>
    <w:rsid w:val="04C80BE4"/>
    <w:rsid w:val="04C8291C"/>
    <w:rsid w:val="04C865CE"/>
    <w:rsid w:val="04CA4554"/>
    <w:rsid w:val="04CA4DE0"/>
    <w:rsid w:val="04CC1D57"/>
    <w:rsid w:val="04CD7FA9"/>
    <w:rsid w:val="04CE479F"/>
    <w:rsid w:val="04CE5ACF"/>
    <w:rsid w:val="04D05CEB"/>
    <w:rsid w:val="04D07A99"/>
    <w:rsid w:val="04D23811"/>
    <w:rsid w:val="04D31337"/>
    <w:rsid w:val="04D56E5D"/>
    <w:rsid w:val="04D8694E"/>
    <w:rsid w:val="04D877EA"/>
    <w:rsid w:val="04DA26C6"/>
    <w:rsid w:val="04E35A1E"/>
    <w:rsid w:val="04EA6DAD"/>
    <w:rsid w:val="04EB042F"/>
    <w:rsid w:val="04EC2697"/>
    <w:rsid w:val="04EF06D3"/>
    <w:rsid w:val="04F03C97"/>
    <w:rsid w:val="04F632B0"/>
    <w:rsid w:val="05017C52"/>
    <w:rsid w:val="050229F9"/>
    <w:rsid w:val="050339CA"/>
    <w:rsid w:val="05087233"/>
    <w:rsid w:val="05093C04"/>
    <w:rsid w:val="05136426"/>
    <w:rsid w:val="05145BD8"/>
    <w:rsid w:val="051756C8"/>
    <w:rsid w:val="051931EE"/>
    <w:rsid w:val="052027CE"/>
    <w:rsid w:val="05257DE5"/>
    <w:rsid w:val="05281683"/>
    <w:rsid w:val="052B1173"/>
    <w:rsid w:val="052B2F21"/>
    <w:rsid w:val="05300538"/>
    <w:rsid w:val="053578FC"/>
    <w:rsid w:val="053633C4"/>
    <w:rsid w:val="053718C6"/>
    <w:rsid w:val="053D4696"/>
    <w:rsid w:val="053D6A42"/>
    <w:rsid w:val="053E0EA6"/>
    <w:rsid w:val="053F077B"/>
    <w:rsid w:val="05412745"/>
    <w:rsid w:val="05432019"/>
    <w:rsid w:val="05465FAD"/>
    <w:rsid w:val="0548177D"/>
    <w:rsid w:val="054A15F9"/>
    <w:rsid w:val="054B35C3"/>
    <w:rsid w:val="05532D28"/>
    <w:rsid w:val="05596955"/>
    <w:rsid w:val="055A0FC0"/>
    <w:rsid w:val="055A55B4"/>
    <w:rsid w:val="055B464A"/>
    <w:rsid w:val="055C757F"/>
    <w:rsid w:val="056106F1"/>
    <w:rsid w:val="056401E1"/>
    <w:rsid w:val="05685F23"/>
    <w:rsid w:val="05697135"/>
    <w:rsid w:val="056A57F8"/>
    <w:rsid w:val="056C5A14"/>
    <w:rsid w:val="056F4ECB"/>
    <w:rsid w:val="056F6570"/>
    <w:rsid w:val="057116B7"/>
    <w:rsid w:val="05744738"/>
    <w:rsid w:val="05776166"/>
    <w:rsid w:val="05793C8D"/>
    <w:rsid w:val="057A0167"/>
    <w:rsid w:val="057E74F5"/>
    <w:rsid w:val="0580501B"/>
    <w:rsid w:val="05812B41"/>
    <w:rsid w:val="05816FE5"/>
    <w:rsid w:val="05850883"/>
    <w:rsid w:val="05856AD5"/>
    <w:rsid w:val="05883ED0"/>
    <w:rsid w:val="058C1C12"/>
    <w:rsid w:val="058D598A"/>
    <w:rsid w:val="058F34B0"/>
    <w:rsid w:val="059705B7"/>
    <w:rsid w:val="05976809"/>
    <w:rsid w:val="05997E8B"/>
    <w:rsid w:val="059C5BCD"/>
    <w:rsid w:val="059C797B"/>
    <w:rsid w:val="059F47CA"/>
    <w:rsid w:val="05A01219"/>
    <w:rsid w:val="05A30D0A"/>
    <w:rsid w:val="05A76A4C"/>
    <w:rsid w:val="05AE5212"/>
    <w:rsid w:val="05AF3B52"/>
    <w:rsid w:val="05B2719F"/>
    <w:rsid w:val="05B9677F"/>
    <w:rsid w:val="05BB24F7"/>
    <w:rsid w:val="05C23886"/>
    <w:rsid w:val="05C56ED2"/>
    <w:rsid w:val="05C72C4A"/>
    <w:rsid w:val="05CC5343"/>
    <w:rsid w:val="05D15877"/>
    <w:rsid w:val="05D25154"/>
    <w:rsid w:val="05D435B9"/>
    <w:rsid w:val="05D60786"/>
    <w:rsid w:val="05D62E8D"/>
    <w:rsid w:val="05D76C05"/>
    <w:rsid w:val="05D830A9"/>
    <w:rsid w:val="05DB04A3"/>
    <w:rsid w:val="05DC421B"/>
    <w:rsid w:val="05DD06BF"/>
    <w:rsid w:val="05E41A4E"/>
    <w:rsid w:val="05EE6367"/>
    <w:rsid w:val="05F11A75"/>
    <w:rsid w:val="05F477B7"/>
    <w:rsid w:val="05FB435B"/>
    <w:rsid w:val="05FE0636"/>
    <w:rsid w:val="05FE23E4"/>
    <w:rsid w:val="0600615C"/>
    <w:rsid w:val="06011DE3"/>
    <w:rsid w:val="06020126"/>
    <w:rsid w:val="060D7854"/>
    <w:rsid w:val="060E01ED"/>
    <w:rsid w:val="060E0879"/>
    <w:rsid w:val="061232F7"/>
    <w:rsid w:val="061439B5"/>
    <w:rsid w:val="06147E59"/>
    <w:rsid w:val="061834A6"/>
    <w:rsid w:val="061F2A86"/>
    <w:rsid w:val="062260D2"/>
    <w:rsid w:val="0627193B"/>
    <w:rsid w:val="062B48CF"/>
    <w:rsid w:val="063672F8"/>
    <w:rsid w:val="06397120"/>
    <w:rsid w:val="063A78C0"/>
    <w:rsid w:val="063D2F0C"/>
    <w:rsid w:val="063D4CBA"/>
    <w:rsid w:val="063E0A32"/>
    <w:rsid w:val="06420522"/>
    <w:rsid w:val="064222D0"/>
    <w:rsid w:val="064C5477"/>
    <w:rsid w:val="06562220"/>
    <w:rsid w:val="06581AF4"/>
    <w:rsid w:val="06587D46"/>
    <w:rsid w:val="06652463"/>
    <w:rsid w:val="066606B5"/>
    <w:rsid w:val="066C37F1"/>
    <w:rsid w:val="066C559F"/>
    <w:rsid w:val="066D7E49"/>
    <w:rsid w:val="067526A6"/>
    <w:rsid w:val="0678353E"/>
    <w:rsid w:val="067D59FE"/>
    <w:rsid w:val="067E5A44"/>
    <w:rsid w:val="067F1777"/>
    <w:rsid w:val="0682267A"/>
    <w:rsid w:val="0689271A"/>
    <w:rsid w:val="068943A3"/>
    <w:rsid w:val="068D1BAD"/>
    <w:rsid w:val="06922615"/>
    <w:rsid w:val="069A3EBB"/>
    <w:rsid w:val="069D25A4"/>
    <w:rsid w:val="069E22EC"/>
    <w:rsid w:val="06A20FC1"/>
    <w:rsid w:val="06A56B48"/>
    <w:rsid w:val="06A64F55"/>
    <w:rsid w:val="06A74829"/>
    <w:rsid w:val="06A92350"/>
    <w:rsid w:val="06AC1E40"/>
    <w:rsid w:val="06B31420"/>
    <w:rsid w:val="06B50CF4"/>
    <w:rsid w:val="06B56F46"/>
    <w:rsid w:val="06B84C89"/>
    <w:rsid w:val="06BD3E7C"/>
    <w:rsid w:val="06C70A28"/>
    <w:rsid w:val="06C76C7A"/>
    <w:rsid w:val="06CD5C52"/>
    <w:rsid w:val="06D0125C"/>
    <w:rsid w:val="06D01D3C"/>
    <w:rsid w:val="06D25D4A"/>
    <w:rsid w:val="06D75FD1"/>
    <w:rsid w:val="06DC2725"/>
    <w:rsid w:val="06DD649D"/>
    <w:rsid w:val="06DE4549"/>
    <w:rsid w:val="06E31D05"/>
    <w:rsid w:val="06E45A7E"/>
    <w:rsid w:val="06E67100"/>
    <w:rsid w:val="06E72E78"/>
    <w:rsid w:val="06E81582"/>
    <w:rsid w:val="06E93094"/>
    <w:rsid w:val="06EC66E0"/>
    <w:rsid w:val="06EE06AA"/>
    <w:rsid w:val="06EE2458"/>
    <w:rsid w:val="06EE64D1"/>
    <w:rsid w:val="06F15928"/>
    <w:rsid w:val="06F25AE6"/>
    <w:rsid w:val="06F51A39"/>
    <w:rsid w:val="06F86E33"/>
    <w:rsid w:val="06FD2D84"/>
    <w:rsid w:val="07013F3A"/>
    <w:rsid w:val="07035F04"/>
    <w:rsid w:val="070677A2"/>
    <w:rsid w:val="070715F3"/>
    <w:rsid w:val="07077B4E"/>
    <w:rsid w:val="070D0B30"/>
    <w:rsid w:val="070F4A54"/>
    <w:rsid w:val="0721282E"/>
    <w:rsid w:val="072145DC"/>
    <w:rsid w:val="072639A0"/>
    <w:rsid w:val="07274F25"/>
    <w:rsid w:val="072D11D3"/>
    <w:rsid w:val="07300CC3"/>
    <w:rsid w:val="07302A71"/>
    <w:rsid w:val="0730481F"/>
    <w:rsid w:val="07312DBB"/>
    <w:rsid w:val="07322345"/>
    <w:rsid w:val="0735779B"/>
    <w:rsid w:val="073A55AE"/>
    <w:rsid w:val="073C1416"/>
    <w:rsid w:val="073E2A5E"/>
    <w:rsid w:val="073F4A62"/>
    <w:rsid w:val="07486471"/>
    <w:rsid w:val="07487DBA"/>
    <w:rsid w:val="07493C2F"/>
    <w:rsid w:val="0749768F"/>
    <w:rsid w:val="074E2EF7"/>
    <w:rsid w:val="07520ECA"/>
    <w:rsid w:val="0757624F"/>
    <w:rsid w:val="07585B24"/>
    <w:rsid w:val="075B5D40"/>
    <w:rsid w:val="075C1AB8"/>
    <w:rsid w:val="075C5614"/>
    <w:rsid w:val="075C73C2"/>
    <w:rsid w:val="07610E7C"/>
    <w:rsid w:val="07632E46"/>
    <w:rsid w:val="07666493"/>
    <w:rsid w:val="07684714"/>
    <w:rsid w:val="076A5F83"/>
    <w:rsid w:val="07702E6D"/>
    <w:rsid w:val="07723089"/>
    <w:rsid w:val="07726BE5"/>
    <w:rsid w:val="0774295E"/>
    <w:rsid w:val="077A2583"/>
    <w:rsid w:val="077E558A"/>
    <w:rsid w:val="077F1302"/>
    <w:rsid w:val="0781151E"/>
    <w:rsid w:val="0781507A"/>
    <w:rsid w:val="07832BA1"/>
    <w:rsid w:val="07846919"/>
    <w:rsid w:val="07854B6B"/>
    <w:rsid w:val="07857CEB"/>
    <w:rsid w:val="07857D22"/>
    <w:rsid w:val="07893F2F"/>
    <w:rsid w:val="078A03D3"/>
    <w:rsid w:val="078A2181"/>
    <w:rsid w:val="078F7797"/>
    <w:rsid w:val="07911761"/>
    <w:rsid w:val="07923CB4"/>
    <w:rsid w:val="07960AD9"/>
    <w:rsid w:val="07996868"/>
    <w:rsid w:val="07A0475C"/>
    <w:rsid w:val="07A62D33"/>
    <w:rsid w:val="07A82607"/>
    <w:rsid w:val="07A86AAB"/>
    <w:rsid w:val="07B12513"/>
    <w:rsid w:val="07B216D8"/>
    <w:rsid w:val="07B5055B"/>
    <w:rsid w:val="07B52BC5"/>
    <w:rsid w:val="07B54D24"/>
    <w:rsid w:val="07B55965"/>
    <w:rsid w:val="07B611C8"/>
    <w:rsid w:val="07B70A9C"/>
    <w:rsid w:val="07B90CB8"/>
    <w:rsid w:val="07BE62CF"/>
    <w:rsid w:val="07BE74DF"/>
    <w:rsid w:val="07C338E5"/>
    <w:rsid w:val="07C80EFB"/>
    <w:rsid w:val="07CE3736"/>
    <w:rsid w:val="07CF5DE6"/>
    <w:rsid w:val="07D258D6"/>
    <w:rsid w:val="07D4164E"/>
    <w:rsid w:val="07D433FC"/>
    <w:rsid w:val="07D548E7"/>
    <w:rsid w:val="07D57174"/>
    <w:rsid w:val="07DA10C6"/>
    <w:rsid w:val="07DB6894"/>
    <w:rsid w:val="07E15B19"/>
    <w:rsid w:val="07E6312F"/>
    <w:rsid w:val="07E850FA"/>
    <w:rsid w:val="07F43A9E"/>
    <w:rsid w:val="07F4584C"/>
    <w:rsid w:val="07F601E3"/>
    <w:rsid w:val="07F968F9"/>
    <w:rsid w:val="07FA6AEB"/>
    <w:rsid w:val="07FB6BDB"/>
    <w:rsid w:val="07FC0BA5"/>
    <w:rsid w:val="08000695"/>
    <w:rsid w:val="0802440D"/>
    <w:rsid w:val="08055CAB"/>
    <w:rsid w:val="08071A24"/>
    <w:rsid w:val="081040EA"/>
    <w:rsid w:val="08114650"/>
    <w:rsid w:val="081544AB"/>
    <w:rsid w:val="08167EB9"/>
    <w:rsid w:val="081938A8"/>
    <w:rsid w:val="0819641E"/>
    <w:rsid w:val="081C3C76"/>
    <w:rsid w:val="081C4DA3"/>
    <w:rsid w:val="081E6B3E"/>
    <w:rsid w:val="0825634E"/>
    <w:rsid w:val="082734C4"/>
    <w:rsid w:val="08275C22"/>
    <w:rsid w:val="082C1F58"/>
    <w:rsid w:val="082C4FE6"/>
    <w:rsid w:val="08332819"/>
    <w:rsid w:val="08397703"/>
    <w:rsid w:val="083D3697"/>
    <w:rsid w:val="08406CE4"/>
    <w:rsid w:val="0842480A"/>
    <w:rsid w:val="08424816"/>
    <w:rsid w:val="084542FA"/>
    <w:rsid w:val="084560A8"/>
    <w:rsid w:val="08470072"/>
    <w:rsid w:val="0849203C"/>
    <w:rsid w:val="084A5DB4"/>
    <w:rsid w:val="084C38DA"/>
    <w:rsid w:val="084F09BE"/>
    <w:rsid w:val="0858402D"/>
    <w:rsid w:val="085D5AE7"/>
    <w:rsid w:val="08601134"/>
    <w:rsid w:val="08602EE2"/>
    <w:rsid w:val="08621489"/>
    <w:rsid w:val="08646E76"/>
    <w:rsid w:val="08670714"/>
    <w:rsid w:val="08674270"/>
    <w:rsid w:val="0869448C"/>
    <w:rsid w:val="086A1FB2"/>
    <w:rsid w:val="086E55FF"/>
    <w:rsid w:val="086F4203"/>
    <w:rsid w:val="087150EF"/>
    <w:rsid w:val="08767256"/>
    <w:rsid w:val="087B5F6E"/>
    <w:rsid w:val="087D3DBB"/>
    <w:rsid w:val="087E15BA"/>
    <w:rsid w:val="087F5A5E"/>
    <w:rsid w:val="08803584"/>
    <w:rsid w:val="08823BDE"/>
    <w:rsid w:val="088272FC"/>
    <w:rsid w:val="08840D3E"/>
    <w:rsid w:val="088A25F0"/>
    <w:rsid w:val="088E3EF3"/>
    <w:rsid w:val="08932B62"/>
    <w:rsid w:val="08940DDD"/>
    <w:rsid w:val="08983102"/>
    <w:rsid w:val="08986B20"/>
    <w:rsid w:val="089F1C5C"/>
    <w:rsid w:val="08A76D63"/>
    <w:rsid w:val="08A96637"/>
    <w:rsid w:val="08AC4379"/>
    <w:rsid w:val="08AE1E9F"/>
    <w:rsid w:val="08B3524C"/>
    <w:rsid w:val="08B55590"/>
    <w:rsid w:val="08B84ACC"/>
    <w:rsid w:val="08BD0334"/>
    <w:rsid w:val="08C90A87"/>
    <w:rsid w:val="08D15B8E"/>
    <w:rsid w:val="08D4742C"/>
    <w:rsid w:val="08D764F5"/>
    <w:rsid w:val="08DC4C5E"/>
    <w:rsid w:val="08DD09D6"/>
    <w:rsid w:val="08DD79B5"/>
    <w:rsid w:val="08E27D9B"/>
    <w:rsid w:val="08E63868"/>
    <w:rsid w:val="08E9737B"/>
    <w:rsid w:val="08EA2DA0"/>
    <w:rsid w:val="08EB6C4F"/>
    <w:rsid w:val="08EE4992"/>
    <w:rsid w:val="08EF250F"/>
    <w:rsid w:val="08F04266"/>
    <w:rsid w:val="08F301FA"/>
    <w:rsid w:val="08F509AC"/>
    <w:rsid w:val="08F8136C"/>
    <w:rsid w:val="08F875BE"/>
    <w:rsid w:val="08FA69D7"/>
    <w:rsid w:val="08FA6E92"/>
    <w:rsid w:val="08FD2E27"/>
    <w:rsid w:val="08FF094D"/>
    <w:rsid w:val="08FF6B9F"/>
    <w:rsid w:val="090047F2"/>
    <w:rsid w:val="09012917"/>
    <w:rsid w:val="090369F3"/>
    <w:rsid w:val="09077801"/>
    <w:rsid w:val="090A6E1F"/>
    <w:rsid w:val="090E7E8D"/>
    <w:rsid w:val="09164338"/>
    <w:rsid w:val="091F0FEF"/>
    <w:rsid w:val="091F4B4B"/>
    <w:rsid w:val="09271C52"/>
    <w:rsid w:val="09293C1C"/>
    <w:rsid w:val="092B3DDC"/>
    <w:rsid w:val="09304FAA"/>
    <w:rsid w:val="093518E5"/>
    <w:rsid w:val="093525C0"/>
    <w:rsid w:val="09360570"/>
    <w:rsid w:val="093A7CE0"/>
    <w:rsid w:val="093F0D49"/>
    <w:rsid w:val="094620D8"/>
    <w:rsid w:val="09491BC8"/>
    <w:rsid w:val="09497E1A"/>
    <w:rsid w:val="094D790A"/>
    <w:rsid w:val="09526CCE"/>
    <w:rsid w:val="09554A11"/>
    <w:rsid w:val="09570789"/>
    <w:rsid w:val="09594501"/>
    <w:rsid w:val="095C7B4D"/>
    <w:rsid w:val="09615163"/>
    <w:rsid w:val="0963211F"/>
    <w:rsid w:val="09644C54"/>
    <w:rsid w:val="09646A02"/>
    <w:rsid w:val="0966371F"/>
    <w:rsid w:val="09676302"/>
    <w:rsid w:val="096802A0"/>
    <w:rsid w:val="097C3D4B"/>
    <w:rsid w:val="097F3079"/>
    <w:rsid w:val="09811362"/>
    <w:rsid w:val="0985327E"/>
    <w:rsid w:val="098A290C"/>
    <w:rsid w:val="098A46BA"/>
    <w:rsid w:val="098D703C"/>
    <w:rsid w:val="09905A49"/>
    <w:rsid w:val="0992356F"/>
    <w:rsid w:val="09931095"/>
    <w:rsid w:val="09951FC3"/>
    <w:rsid w:val="099671E8"/>
    <w:rsid w:val="099866AB"/>
    <w:rsid w:val="09A17C56"/>
    <w:rsid w:val="09A339CE"/>
    <w:rsid w:val="09A3577C"/>
    <w:rsid w:val="09A6526C"/>
    <w:rsid w:val="09B01C47"/>
    <w:rsid w:val="09B07E99"/>
    <w:rsid w:val="09B259BF"/>
    <w:rsid w:val="09B41737"/>
    <w:rsid w:val="09B832C1"/>
    <w:rsid w:val="09BC37D4"/>
    <w:rsid w:val="09BD395B"/>
    <w:rsid w:val="09C33728"/>
    <w:rsid w:val="09C676BC"/>
    <w:rsid w:val="09C82713"/>
    <w:rsid w:val="09CA0F5B"/>
    <w:rsid w:val="09CF30E0"/>
    <w:rsid w:val="09D73678"/>
    <w:rsid w:val="09D771D4"/>
    <w:rsid w:val="09DA5642"/>
    <w:rsid w:val="09E244F6"/>
    <w:rsid w:val="09EF451D"/>
    <w:rsid w:val="09F61D50"/>
    <w:rsid w:val="09FB1F0D"/>
    <w:rsid w:val="0A002BCE"/>
    <w:rsid w:val="0A014251"/>
    <w:rsid w:val="0A026946"/>
    <w:rsid w:val="0A03621B"/>
    <w:rsid w:val="0A047FD7"/>
    <w:rsid w:val="0A0F4BBF"/>
    <w:rsid w:val="0A122902"/>
    <w:rsid w:val="0A1246B0"/>
    <w:rsid w:val="0A132C02"/>
    <w:rsid w:val="0A133292"/>
    <w:rsid w:val="0A1421D6"/>
    <w:rsid w:val="0A1719A5"/>
    <w:rsid w:val="0A1E12A6"/>
    <w:rsid w:val="0A2148F3"/>
    <w:rsid w:val="0A237BDA"/>
    <w:rsid w:val="0A261F09"/>
    <w:rsid w:val="0A2C751F"/>
    <w:rsid w:val="0A2D3298"/>
    <w:rsid w:val="0A2D5046"/>
    <w:rsid w:val="0A2D780A"/>
    <w:rsid w:val="0A314B36"/>
    <w:rsid w:val="0A375EC4"/>
    <w:rsid w:val="0A3B0B30"/>
    <w:rsid w:val="0A3D6BA8"/>
    <w:rsid w:val="0A432204"/>
    <w:rsid w:val="0A442EC0"/>
    <w:rsid w:val="0A4505E1"/>
    <w:rsid w:val="0A4C1970"/>
    <w:rsid w:val="0A4E56B3"/>
    <w:rsid w:val="0A5627EE"/>
    <w:rsid w:val="0A5B1BB3"/>
    <w:rsid w:val="0A5C79E2"/>
    <w:rsid w:val="0A5E5103"/>
    <w:rsid w:val="0A5F5B47"/>
    <w:rsid w:val="0A624FB9"/>
    <w:rsid w:val="0A637F69"/>
    <w:rsid w:val="0A6E6ABA"/>
    <w:rsid w:val="0A6F38B0"/>
    <w:rsid w:val="0A71462E"/>
    <w:rsid w:val="0A717B8A"/>
    <w:rsid w:val="0A822C71"/>
    <w:rsid w:val="0A851326"/>
    <w:rsid w:val="0A854E82"/>
    <w:rsid w:val="0A870BFA"/>
    <w:rsid w:val="0A8D3D36"/>
    <w:rsid w:val="0A92134D"/>
    <w:rsid w:val="0A9450C5"/>
    <w:rsid w:val="0A9926DB"/>
    <w:rsid w:val="0A9A6B7F"/>
    <w:rsid w:val="0AA25A34"/>
    <w:rsid w:val="0AA277E2"/>
    <w:rsid w:val="0AA6225D"/>
    <w:rsid w:val="0AA7304A"/>
    <w:rsid w:val="0AA90B70"/>
    <w:rsid w:val="0AAF0151"/>
    <w:rsid w:val="0AC07B05"/>
    <w:rsid w:val="0AC260D6"/>
    <w:rsid w:val="0AC41E4E"/>
    <w:rsid w:val="0AC97464"/>
    <w:rsid w:val="0ACD6B49"/>
    <w:rsid w:val="0AD1677C"/>
    <w:rsid w:val="0AD35BED"/>
    <w:rsid w:val="0AD64CF1"/>
    <w:rsid w:val="0AD73699"/>
    <w:rsid w:val="0AD876A7"/>
    <w:rsid w:val="0ADA341F"/>
    <w:rsid w:val="0ADA657C"/>
    <w:rsid w:val="0ADC75C7"/>
    <w:rsid w:val="0ADD6A6C"/>
    <w:rsid w:val="0AE20526"/>
    <w:rsid w:val="0AE222D4"/>
    <w:rsid w:val="0AE32F83"/>
    <w:rsid w:val="0AE41BA8"/>
    <w:rsid w:val="0AE42A46"/>
    <w:rsid w:val="0AE90BBA"/>
    <w:rsid w:val="0AE918B4"/>
    <w:rsid w:val="0AF0679F"/>
    <w:rsid w:val="0AF10769"/>
    <w:rsid w:val="0AF27259"/>
    <w:rsid w:val="0AF618DB"/>
    <w:rsid w:val="0AF73FD1"/>
    <w:rsid w:val="0AF838A6"/>
    <w:rsid w:val="0AFA13CC"/>
    <w:rsid w:val="0AFD2C6A"/>
    <w:rsid w:val="0B065FC2"/>
    <w:rsid w:val="0B07016A"/>
    <w:rsid w:val="0B077F8D"/>
    <w:rsid w:val="0B0B35D9"/>
    <w:rsid w:val="0B0C10FF"/>
    <w:rsid w:val="0B0C7351"/>
    <w:rsid w:val="0B0E131B"/>
    <w:rsid w:val="0B131E24"/>
    <w:rsid w:val="0B154457"/>
    <w:rsid w:val="0B161F7E"/>
    <w:rsid w:val="0B187AA4"/>
    <w:rsid w:val="0B1B1342"/>
    <w:rsid w:val="0B1D50BA"/>
    <w:rsid w:val="0B2621C1"/>
    <w:rsid w:val="0B2A5DD3"/>
    <w:rsid w:val="0B31173B"/>
    <w:rsid w:val="0B322488"/>
    <w:rsid w:val="0B3F7726"/>
    <w:rsid w:val="0B41349E"/>
    <w:rsid w:val="0B472137"/>
    <w:rsid w:val="0B4B7E79"/>
    <w:rsid w:val="0B4D1E43"/>
    <w:rsid w:val="0B4D290E"/>
    <w:rsid w:val="0B4E5E90"/>
    <w:rsid w:val="0B4E7969"/>
    <w:rsid w:val="0B50723E"/>
    <w:rsid w:val="0B540E2B"/>
    <w:rsid w:val="0B6449A6"/>
    <w:rsid w:val="0B672BEE"/>
    <w:rsid w:val="0B6947A3"/>
    <w:rsid w:val="0B6B051B"/>
    <w:rsid w:val="0B6D6042"/>
    <w:rsid w:val="0B6D619D"/>
    <w:rsid w:val="0B6E5916"/>
    <w:rsid w:val="0B720E7E"/>
    <w:rsid w:val="0B731A1D"/>
    <w:rsid w:val="0B7A075E"/>
    <w:rsid w:val="0B7A250D"/>
    <w:rsid w:val="0B7C6285"/>
    <w:rsid w:val="0B7D1FFD"/>
    <w:rsid w:val="0B820788"/>
    <w:rsid w:val="0B896BF3"/>
    <w:rsid w:val="0B8C49B6"/>
    <w:rsid w:val="0B8C524A"/>
    <w:rsid w:val="0B8D2240"/>
    <w:rsid w:val="0B8E5FB8"/>
    <w:rsid w:val="0B902DE8"/>
    <w:rsid w:val="0B903ADE"/>
    <w:rsid w:val="0B9510F4"/>
    <w:rsid w:val="0B955598"/>
    <w:rsid w:val="0B957346"/>
    <w:rsid w:val="0B9C6927"/>
    <w:rsid w:val="0B9D61FB"/>
    <w:rsid w:val="0B9F6417"/>
    <w:rsid w:val="0BA457DB"/>
    <w:rsid w:val="0BA634CA"/>
    <w:rsid w:val="0BA80E28"/>
    <w:rsid w:val="0BA83509"/>
    <w:rsid w:val="0BAC2AF2"/>
    <w:rsid w:val="0BAD4690"/>
    <w:rsid w:val="0BB21CA6"/>
    <w:rsid w:val="0BB53545"/>
    <w:rsid w:val="0BB7585C"/>
    <w:rsid w:val="0BBA0B5B"/>
    <w:rsid w:val="0BC11EE9"/>
    <w:rsid w:val="0BC32105"/>
    <w:rsid w:val="0BC83278"/>
    <w:rsid w:val="0BD04822"/>
    <w:rsid w:val="0BD47E6F"/>
    <w:rsid w:val="0BD51E39"/>
    <w:rsid w:val="0BD7795F"/>
    <w:rsid w:val="0BD936D7"/>
    <w:rsid w:val="0BD95485"/>
    <w:rsid w:val="0BDB744F"/>
    <w:rsid w:val="0BDD2148"/>
    <w:rsid w:val="0BE55893"/>
    <w:rsid w:val="0BE62945"/>
    <w:rsid w:val="0BE81B6C"/>
    <w:rsid w:val="0BE8391A"/>
    <w:rsid w:val="0BE906EB"/>
    <w:rsid w:val="0BEA7692"/>
    <w:rsid w:val="0BEC661A"/>
    <w:rsid w:val="0BED0F30"/>
    <w:rsid w:val="0BF202F5"/>
    <w:rsid w:val="0BF64289"/>
    <w:rsid w:val="0BF70001"/>
    <w:rsid w:val="0BF95B27"/>
    <w:rsid w:val="0BF978D5"/>
    <w:rsid w:val="0BFB189F"/>
    <w:rsid w:val="0BFC1173"/>
    <w:rsid w:val="0BFE6C9A"/>
    <w:rsid w:val="0C012C2E"/>
    <w:rsid w:val="0C0A1165"/>
    <w:rsid w:val="0C0B585A"/>
    <w:rsid w:val="0C0C6656"/>
    <w:rsid w:val="0C0F0EA7"/>
    <w:rsid w:val="0C177D5B"/>
    <w:rsid w:val="0C1B3CF0"/>
    <w:rsid w:val="0C1D79B6"/>
    <w:rsid w:val="0C216E2C"/>
    <w:rsid w:val="0C272694"/>
    <w:rsid w:val="0C2801BA"/>
    <w:rsid w:val="0C2B3807"/>
    <w:rsid w:val="0C2D2A37"/>
    <w:rsid w:val="0C2D757F"/>
    <w:rsid w:val="0C315A51"/>
    <w:rsid w:val="0C321039"/>
    <w:rsid w:val="0C344DB1"/>
    <w:rsid w:val="0C345A3E"/>
    <w:rsid w:val="0C37664F"/>
    <w:rsid w:val="0C3A397A"/>
    <w:rsid w:val="0C3C3C66"/>
    <w:rsid w:val="0C3E353A"/>
    <w:rsid w:val="0C403756"/>
    <w:rsid w:val="0C405504"/>
    <w:rsid w:val="0C430B50"/>
    <w:rsid w:val="0C460641"/>
    <w:rsid w:val="0C47044D"/>
    <w:rsid w:val="0C474AE5"/>
    <w:rsid w:val="0C4A0131"/>
    <w:rsid w:val="0C4B18C7"/>
    <w:rsid w:val="0C523489"/>
    <w:rsid w:val="0C526FE5"/>
    <w:rsid w:val="0C547201"/>
    <w:rsid w:val="0C566AD6"/>
    <w:rsid w:val="0C5C3582"/>
    <w:rsid w:val="0C5D194A"/>
    <w:rsid w:val="0C5E3BDC"/>
    <w:rsid w:val="0C692CAD"/>
    <w:rsid w:val="0C6B50DD"/>
    <w:rsid w:val="0C6C454B"/>
    <w:rsid w:val="0C6D3E1F"/>
    <w:rsid w:val="0C6F7B97"/>
    <w:rsid w:val="0C760F26"/>
    <w:rsid w:val="0C767178"/>
    <w:rsid w:val="0C776A4C"/>
    <w:rsid w:val="0C7927C4"/>
    <w:rsid w:val="0C825B1D"/>
    <w:rsid w:val="0C8278CB"/>
    <w:rsid w:val="0C831895"/>
    <w:rsid w:val="0C836789"/>
    <w:rsid w:val="0C851169"/>
    <w:rsid w:val="0C87510A"/>
    <w:rsid w:val="0C8931F4"/>
    <w:rsid w:val="0C8D626F"/>
    <w:rsid w:val="0C8F1FE8"/>
    <w:rsid w:val="0C9471CB"/>
    <w:rsid w:val="0C965124"/>
    <w:rsid w:val="0C994C14"/>
    <w:rsid w:val="0C9A3369"/>
    <w:rsid w:val="0C9B273A"/>
    <w:rsid w:val="0CA248E3"/>
    <w:rsid w:val="0CA37841"/>
    <w:rsid w:val="0CA75583"/>
    <w:rsid w:val="0CAF1744"/>
    <w:rsid w:val="0CAF4438"/>
    <w:rsid w:val="0CB101B0"/>
    <w:rsid w:val="0CB42817"/>
    <w:rsid w:val="0CB67574"/>
    <w:rsid w:val="0CB87790"/>
    <w:rsid w:val="0CBD4DA7"/>
    <w:rsid w:val="0CC021A1"/>
    <w:rsid w:val="0CC0529A"/>
    <w:rsid w:val="0CC2416B"/>
    <w:rsid w:val="0CC47EE3"/>
    <w:rsid w:val="0CCE0D62"/>
    <w:rsid w:val="0CD12600"/>
    <w:rsid w:val="0CD345CA"/>
    <w:rsid w:val="0CD45C4C"/>
    <w:rsid w:val="0CD65E68"/>
    <w:rsid w:val="0CD67C16"/>
    <w:rsid w:val="0CDB7AD3"/>
    <w:rsid w:val="0CDD0FA5"/>
    <w:rsid w:val="0CDD71F7"/>
    <w:rsid w:val="0CE23F47"/>
    <w:rsid w:val="0CE36034"/>
    <w:rsid w:val="0CEB1997"/>
    <w:rsid w:val="0CEC2F96"/>
    <w:rsid w:val="0CEE31B2"/>
    <w:rsid w:val="0CEF5715"/>
    <w:rsid w:val="0CF166D7"/>
    <w:rsid w:val="0CF167FE"/>
    <w:rsid w:val="0CF307C8"/>
    <w:rsid w:val="0CF35E5E"/>
    <w:rsid w:val="0CF54408"/>
    <w:rsid w:val="0CF56CBB"/>
    <w:rsid w:val="0CF602B9"/>
    <w:rsid w:val="0CFB58CF"/>
    <w:rsid w:val="0CFD33F5"/>
    <w:rsid w:val="0CFD51A3"/>
    <w:rsid w:val="0D026C5D"/>
    <w:rsid w:val="0D0C3638"/>
    <w:rsid w:val="0D0C69FE"/>
    <w:rsid w:val="0D0E5602"/>
    <w:rsid w:val="0D10137A"/>
    <w:rsid w:val="0D104B6F"/>
    <w:rsid w:val="0D1129FD"/>
    <w:rsid w:val="0D2546FA"/>
    <w:rsid w:val="0D292DC9"/>
    <w:rsid w:val="0D2B61B4"/>
    <w:rsid w:val="0D2D2A09"/>
    <w:rsid w:val="0D307327"/>
    <w:rsid w:val="0D321838"/>
    <w:rsid w:val="0D350DE1"/>
    <w:rsid w:val="0D366907"/>
    <w:rsid w:val="0D3716C6"/>
    <w:rsid w:val="0D3A1F53"/>
    <w:rsid w:val="0D3F756A"/>
    <w:rsid w:val="0D447276"/>
    <w:rsid w:val="0D463014"/>
    <w:rsid w:val="0D470B14"/>
    <w:rsid w:val="0D474670"/>
    <w:rsid w:val="0D4E0A83"/>
    <w:rsid w:val="0D521FD5"/>
    <w:rsid w:val="0D523741"/>
    <w:rsid w:val="0D554FDF"/>
    <w:rsid w:val="0D576FA9"/>
    <w:rsid w:val="0D584ACF"/>
    <w:rsid w:val="0D5F5E5E"/>
    <w:rsid w:val="0D5F7C0C"/>
    <w:rsid w:val="0D6214AA"/>
    <w:rsid w:val="0D646C9B"/>
    <w:rsid w:val="0D674D12"/>
    <w:rsid w:val="0D682F64"/>
    <w:rsid w:val="0D690A8B"/>
    <w:rsid w:val="0D692839"/>
    <w:rsid w:val="0D696CDD"/>
    <w:rsid w:val="0D723E37"/>
    <w:rsid w:val="0D7D0092"/>
    <w:rsid w:val="0D7F3E0A"/>
    <w:rsid w:val="0D814026"/>
    <w:rsid w:val="0D847289"/>
    <w:rsid w:val="0D8B27AF"/>
    <w:rsid w:val="0D8E6743"/>
    <w:rsid w:val="0D93464C"/>
    <w:rsid w:val="0D95362E"/>
    <w:rsid w:val="0D9773A6"/>
    <w:rsid w:val="0D992BA9"/>
    <w:rsid w:val="0D9C180D"/>
    <w:rsid w:val="0D9D24E2"/>
    <w:rsid w:val="0DA00367"/>
    <w:rsid w:val="0DA10224"/>
    <w:rsid w:val="0DA63A8D"/>
    <w:rsid w:val="0DA675E9"/>
    <w:rsid w:val="0DA770AD"/>
    <w:rsid w:val="0DA90E87"/>
    <w:rsid w:val="0DA9532B"/>
    <w:rsid w:val="0DB25F8E"/>
    <w:rsid w:val="0DB5782C"/>
    <w:rsid w:val="0DB717F6"/>
    <w:rsid w:val="0DB77A48"/>
    <w:rsid w:val="0DBA12E6"/>
    <w:rsid w:val="0DBA3094"/>
    <w:rsid w:val="0DBE38B4"/>
    <w:rsid w:val="0DCD1019"/>
    <w:rsid w:val="0DCD2DC7"/>
    <w:rsid w:val="0DCD726B"/>
    <w:rsid w:val="0DD143AC"/>
    <w:rsid w:val="0DDC74AE"/>
    <w:rsid w:val="0DE10621"/>
    <w:rsid w:val="0DE620DB"/>
    <w:rsid w:val="0DEB5944"/>
    <w:rsid w:val="0DED346A"/>
    <w:rsid w:val="0DF04D08"/>
    <w:rsid w:val="0DF20A80"/>
    <w:rsid w:val="0DF26CD2"/>
    <w:rsid w:val="0DF447F8"/>
    <w:rsid w:val="0DF61125"/>
    <w:rsid w:val="0DFE11D3"/>
    <w:rsid w:val="0DFFFE96"/>
    <w:rsid w:val="0E042561"/>
    <w:rsid w:val="0E06277D"/>
    <w:rsid w:val="0E0A5DCA"/>
    <w:rsid w:val="0E122ED0"/>
    <w:rsid w:val="0E1409F6"/>
    <w:rsid w:val="0E184392"/>
    <w:rsid w:val="0E216CB2"/>
    <w:rsid w:val="0E2350DD"/>
    <w:rsid w:val="0E316E3E"/>
    <w:rsid w:val="0E323572"/>
    <w:rsid w:val="0E344BF5"/>
    <w:rsid w:val="0E3C7F4D"/>
    <w:rsid w:val="0E4312DC"/>
    <w:rsid w:val="0E440BB0"/>
    <w:rsid w:val="0E4A4418"/>
    <w:rsid w:val="0E4B1F3E"/>
    <w:rsid w:val="0E4C14A6"/>
    <w:rsid w:val="0E4C33AE"/>
    <w:rsid w:val="0E4D3F08"/>
    <w:rsid w:val="0E4F1A2E"/>
    <w:rsid w:val="0E5139F9"/>
    <w:rsid w:val="0E5232CD"/>
    <w:rsid w:val="0E527220"/>
    <w:rsid w:val="0E5434E9"/>
    <w:rsid w:val="0E550ABC"/>
    <w:rsid w:val="0E567261"/>
    <w:rsid w:val="0E5928AD"/>
    <w:rsid w:val="0E5A1604"/>
    <w:rsid w:val="0E5E6115"/>
    <w:rsid w:val="0E601E8E"/>
    <w:rsid w:val="0E6059EA"/>
    <w:rsid w:val="0E6179B4"/>
    <w:rsid w:val="0E6269B9"/>
    <w:rsid w:val="0E6A2D0C"/>
    <w:rsid w:val="0E6D0107"/>
    <w:rsid w:val="0E6D3790"/>
    <w:rsid w:val="0E6D45AA"/>
    <w:rsid w:val="0E792F4F"/>
    <w:rsid w:val="0E796AAB"/>
    <w:rsid w:val="0E7B2823"/>
    <w:rsid w:val="0E7B6CC7"/>
    <w:rsid w:val="0E8076CD"/>
    <w:rsid w:val="0E8255FF"/>
    <w:rsid w:val="0E8813E4"/>
    <w:rsid w:val="0E892FAD"/>
    <w:rsid w:val="0E8A515C"/>
    <w:rsid w:val="0E8C64B8"/>
    <w:rsid w:val="0E8D2557"/>
    <w:rsid w:val="0E96765D"/>
    <w:rsid w:val="0E971AE4"/>
    <w:rsid w:val="0E9733D5"/>
    <w:rsid w:val="0E99714E"/>
    <w:rsid w:val="0E9E4764"/>
    <w:rsid w:val="0EA37FCC"/>
    <w:rsid w:val="0EA50285"/>
    <w:rsid w:val="0EAE0F74"/>
    <w:rsid w:val="0EAE3A1D"/>
    <w:rsid w:val="0EB21FBD"/>
    <w:rsid w:val="0EB75826"/>
    <w:rsid w:val="0EB977F0"/>
    <w:rsid w:val="0EBB3568"/>
    <w:rsid w:val="0EBC4BEA"/>
    <w:rsid w:val="0EBE6BB4"/>
    <w:rsid w:val="0EC00B7E"/>
    <w:rsid w:val="0EC248F6"/>
    <w:rsid w:val="0EC56195"/>
    <w:rsid w:val="0EC817E1"/>
    <w:rsid w:val="0EC87A33"/>
    <w:rsid w:val="0ECC7523"/>
    <w:rsid w:val="0ED4233E"/>
    <w:rsid w:val="0ED4462A"/>
    <w:rsid w:val="0ED71A24"/>
    <w:rsid w:val="0ED97418"/>
    <w:rsid w:val="0EDE2DB2"/>
    <w:rsid w:val="0EE24651"/>
    <w:rsid w:val="0EE60F49"/>
    <w:rsid w:val="0EEE56EB"/>
    <w:rsid w:val="0EF15D55"/>
    <w:rsid w:val="0EF82120"/>
    <w:rsid w:val="0EFB5712"/>
    <w:rsid w:val="0EFF06CE"/>
    <w:rsid w:val="0F015417"/>
    <w:rsid w:val="0F046CBD"/>
    <w:rsid w:val="0F065E65"/>
    <w:rsid w:val="0F0767AD"/>
    <w:rsid w:val="0F0942D3"/>
    <w:rsid w:val="0F0B095E"/>
    <w:rsid w:val="0F0C3DC3"/>
    <w:rsid w:val="0F1113DA"/>
    <w:rsid w:val="0F1862C4"/>
    <w:rsid w:val="0F1B5DB5"/>
    <w:rsid w:val="0F1F3E3B"/>
    <w:rsid w:val="0F2033CB"/>
    <w:rsid w:val="0F20786F"/>
    <w:rsid w:val="0F2234EA"/>
    <w:rsid w:val="0F226DE0"/>
    <w:rsid w:val="0F234C69"/>
    <w:rsid w:val="0F23730A"/>
    <w:rsid w:val="0F24110D"/>
    <w:rsid w:val="0F2509E1"/>
    <w:rsid w:val="0F276507"/>
    <w:rsid w:val="0F287F62"/>
    <w:rsid w:val="0F2C6214"/>
    <w:rsid w:val="0F317386"/>
    <w:rsid w:val="0F3A0931"/>
    <w:rsid w:val="0F3C7675"/>
    <w:rsid w:val="0F421593"/>
    <w:rsid w:val="0F44355D"/>
    <w:rsid w:val="0F491C79"/>
    <w:rsid w:val="0F492922"/>
    <w:rsid w:val="0F4A3788"/>
    <w:rsid w:val="0F4C5F6E"/>
    <w:rsid w:val="0F543075"/>
    <w:rsid w:val="0F574044"/>
    <w:rsid w:val="0F593FDE"/>
    <w:rsid w:val="0F5B4FA9"/>
    <w:rsid w:val="0F5E7B4C"/>
    <w:rsid w:val="0F5F0397"/>
    <w:rsid w:val="0F6150BD"/>
    <w:rsid w:val="0F62050A"/>
    <w:rsid w:val="0F6239E3"/>
    <w:rsid w:val="0F632048"/>
    <w:rsid w:val="0F661726"/>
    <w:rsid w:val="0F6634D4"/>
    <w:rsid w:val="0F670559"/>
    <w:rsid w:val="0F6C6610"/>
    <w:rsid w:val="0F705837"/>
    <w:rsid w:val="0F713C26"/>
    <w:rsid w:val="0F7337A5"/>
    <w:rsid w:val="0F76748F"/>
    <w:rsid w:val="0F7A0D2D"/>
    <w:rsid w:val="0F7D4857"/>
    <w:rsid w:val="0F7D6A6F"/>
    <w:rsid w:val="0F8120BC"/>
    <w:rsid w:val="0F851480"/>
    <w:rsid w:val="0F857177"/>
    <w:rsid w:val="0F890F70"/>
    <w:rsid w:val="0F8A6E5B"/>
    <w:rsid w:val="0F8B4AB8"/>
    <w:rsid w:val="0F8C280E"/>
    <w:rsid w:val="0F952A2F"/>
    <w:rsid w:val="0F9718DF"/>
    <w:rsid w:val="0F9811B3"/>
    <w:rsid w:val="0F985657"/>
    <w:rsid w:val="0F9931F2"/>
    <w:rsid w:val="0F9B4231"/>
    <w:rsid w:val="0F9D0EBF"/>
    <w:rsid w:val="0F9D4A1B"/>
    <w:rsid w:val="0F9E7EA2"/>
    <w:rsid w:val="0F9F2542"/>
    <w:rsid w:val="0FA062BA"/>
    <w:rsid w:val="0FA45DAA"/>
    <w:rsid w:val="0FA551A3"/>
    <w:rsid w:val="0FA638D0"/>
    <w:rsid w:val="0FA67D74"/>
    <w:rsid w:val="0FA702CA"/>
    <w:rsid w:val="0FA7589A"/>
    <w:rsid w:val="0FAD21F4"/>
    <w:rsid w:val="0FAE4E7B"/>
    <w:rsid w:val="0FAE6C29"/>
    <w:rsid w:val="0FB83603"/>
    <w:rsid w:val="0FBA737B"/>
    <w:rsid w:val="0FBB1896"/>
    <w:rsid w:val="0FBC7598"/>
    <w:rsid w:val="0FC01DAB"/>
    <w:rsid w:val="0FC86DFC"/>
    <w:rsid w:val="0FC95811"/>
    <w:rsid w:val="0FCD3553"/>
    <w:rsid w:val="0FD3668F"/>
    <w:rsid w:val="0FD7617F"/>
    <w:rsid w:val="0FD87189"/>
    <w:rsid w:val="0FDF43EB"/>
    <w:rsid w:val="0FE01132"/>
    <w:rsid w:val="0FE268D2"/>
    <w:rsid w:val="0FE32D76"/>
    <w:rsid w:val="0FE443F8"/>
    <w:rsid w:val="0FE60171"/>
    <w:rsid w:val="0FE863E6"/>
    <w:rsid w:val="0FEB39D9"/>
    <w:rsid w:val="0FEC671D"/>
    <w:rsid w:val="0FED14FF"/>
    <w:rsid w:val="0FED3390"/>
    <w:rsid w:val="0FF26B15"/>
    <w:rsid w:val="0FF3288D"/>
    <w:rsid w:val="0FF705D0"/>
    <w:rsid w:val="0FFB6DC1"/>
    <w:rsid w:val="0FFE195E"/>
    <w:rsid w:val="0FFF7484"/>
    <w:rsid w:val="10003EDA"/>
    <w:rsid w:val="10017F38"/>
    <w:rsid w:val="10022AD1"/>
    <w:rsid w:val="10030593"/>
    <w:rsid w:val="1008458B"/>
    <w:rsid w:val="100B7BD7"/>
    <w:rsid w:val="100D394F"/>
    <w:rsid w:val="10142F30"/>
    <w:rsid w:val="10151122"/>
    <w:rsid w:val="10156CA8"/>
    <w:rsid w:val="101C1DE4"/>
    <w:rsid w:val="101F49FB"/>
    <w:rsid w:val="10226C56"/>
    <w:rsid w:val="10240C99"/>
    <w:rsid w:val="10260EB5"/>
    <w:rsid w:val="102723E9"/>
    <w:rsid w:val="102B0279"/>
    <w:rsid w:val="102B2962"/>
    <w:rsid w:val="10340235"/>
    <w:rsid w:val="10392996"/>
    <w:rsid w:val="103A7F8B"/>
    <w:rsid w:val="103C4234"/>
    <w:rsid w:val="103E7FAD"/>
    <w:rsid w:val="10437371"/>
    <w:rsid w:val="104430E9"/>
    <w:rsid w:val="10463305"/>
    <w:rsid w:val="10480E2B"/>
    <w:rsid w:val="10482BD9"/>
    <w:rsid w:val="1049771E"/>
    <w:rsid w:val="104F3F68"/>
    <w:rsid w:val="10593038"/>
    <w:rsid w:val="105E41AB"/>
    <w:rsid w:val="10611EED"/>
    <w:rsid w:val="106A6FB8"/>
    <w:rsid w:val="106A78D8"/>
    <w:rsid w:val="106D43EE"/>
    <w:rsid w:val="106F282E"/>
    <w:rsid w:val="107240FA"/>
    <w:rsid w:val="107824D6"/>
    <w:rsid w:val="107A6B0B"/>
    <w:rsid w:val="107B4D5D"/>
    <w:rsid w:val="107E2BFA"/>
    <w:rsid w:val="107F4121"/>
    <w:rsid w:val="108005C5"/>
    <w:rsid w:val="108300B5"/>
    <w:rsid w:val="10857989"/>
    <w:rsid w:val="108D683E"/>
    <w:rsid w:val="108F25B6"/>
    <w:rsid w:val="10900300"/>
    <w:rsid w:val="109220A6"/>
    <w:rsid w:val="10961B97"/>
    <w:rsid w:val="10973B61"/>
    <w:rsid w:val="109742D5"/>
    <w:rsid w:val="109850F7"/>
    <w:rsid w:val="109A097D"/>
    <w:rsid w:val="109B53FF"/>
    <w:rsid w:val="109B7549"/>
    <w:rsid w:val="109D1177"/>
    <w:rsid w:val="10A2775C"/>
    <w:rsid w:val="10A51DDA"/>
    <w:rsid w:val="10AF2C58"/>
    <w:rsid w:val="10AF4A06"/>
    <w:rsid w:val="10B26099"/>
    <w:rsid w:val="10B332B2"/>
    <w:rsid w:val="10B62239"/>
    <w:rsid w:val="10B65D95"/>
    <w:rsid w:val="10B71FB1"/>
    <w:rsid w:val="10C1473A"/>
    <w:rsid w:val="10C34956"/>
    <w:rsid w:val="10C5247C"/>
    <w:rsid w:val="10D17073"/>
    <w:rsid w:val="10D31249"/>
    <w:rsid w:val="10D40911"/>
    <w:rsid w:val="10D64689"/>
    <w:rsid w:val="10DD5278"/>
    <w:rsid w:val="10E16B8A"/>
    <w:rsid w:val="10EA0134"/>
    <w:rsid w:val="10ED3781"/>
    <w:rsid w:val="10ED6948"/>
    <w:rsid w:val="10EE1F98"/>
    <w:rsid w:val="10F11AF3"/>
    <w:rsid w:val="10F13254"/>
    <w:rsid w:val="10F13271"/>
    <w:rsid w:val="10F44B0F"/>
    <w:rsid w:val="10F93ED3"/>
    <w:rsid w:val="11056D1C"/>
    <w:rsid w:val="110E3E23"/>
    <w:rsid w:val="11131439"/>
    <w:rsid w:val="111451B1"/>
    <w:rsid w:val="11166833"/>
    <w:rsid w:val="11177B40"/>
    <w:rsid w:val="111807FE"/>
    <w:rsid w:val="111B18AA"/>
    <w:rsid w:val="111B4847"/>
    <w:rsid w:val="111F404A"/>
    <w:rsid w:val="11252F1A"/>
    <w:rsid w:val="11261BCD"/>
    <w:rsid w:val="11270A41"/>
    <w:rsid w:val="112B115F"/>
    <w:rsid w:val="112C24FB"/>
    <w:rsid w:val="112F78F5"/>
    <w:rsid w:val="11365128"/>
    <w:rsid w:val="1138359B"/>
    <w:rsid w:val="113849FC"/>
    <w:rsid w:val="113B0990"/>
    <w:rsid w:val="113B44EC"/>
    <w:rsid w:val="113C191F"/>
    <w:rsid w:val="113E3FDC"/>
    <w:rsid w:val="113F222E"/>
    <w:rsid w:val="11405FA6"/>
    <w:rsid w:val="11407D54"/>
    <w:rsid w:val="11421D1E"/>
    <w:rsid w:val="114415F3"/>
    <w:rsid w:val="1147300A"/>
    <w:rsid w:val="114A0BD3"/>
    <w:rsid w:val="114A29CE"/>
    <w:rsid w:val="11531836"/>
    <w:rsid w:val="115D26B4"/>
    <w:rsid w:val="115F467E"/>
    <w:rsid w:val="11625F1D"/>
    <w:rsid w:val="11627CCB"/>
    <w:rsid w:val="116575D6"/>
    <w:rsid w:val="116577BB"/>
    <w:rsid w:val="11671785"/>
    <w:rsid w:val="11673533"/>
    <w:rsid w:val="116F23E8"/>
    <w:rsid w:val="1170063A"/>
    <w:rsid w:val="1173012A"/>
    <w:rsid w:val="11785740"/>
    <w:rsid w:val="117874EE"/>
    <w:rsid w:val="118732D1"/>
    <w:rsid w:val="11916802"/>
    <w:rsid w:val="11954AE4"/>
    <w:rsid w:val="119618E8"/>
    <w:rsid w:val="119B31DD"/>
    <w:rsid w:val="119E1301"/>
    <w:rsid w:val="119F74B6"/>
    <w:rsid w:val="11A46535"/>
    <w:rsid w:val="11A6405B"/>
    <w:rsid w:val="11AC0A3B"/>
    <w:rsid w:val="11AC0F46"/>
    <w:rsid w:val="11AF4661"/>
    <w:rsid w:val="11B00A36"/>
    <w:rsid w:val="11B322D4"/>
    <w:rsid w:val="11B43EFD"/>
    <w:rsid w:val="11B76268"/>
    <w:rsid w:val="11B83D8F"/>
    <w:rsid w:val="11B87519"/>
    <w:rsid w:val="11BC387F"/>
    <w:rsid w:val="11BD3153"/>
    <w:rsid w:val="11BF336F"/>
    <w:rsid w:val="11C147E6"/>
    <w:rsid w:val="11C24C0D"/>
    <w:rsid w:val="11C269BB"/>
    <w:rsid w:val="11C72224"/>
    <w:rsid w:val="11CB1D14"/>
    <w:rsid w:val="11D24297"/>
    <w:rsid w:val="11D562B0"/>
    <w:rsid w:val="11D72467"/>
    <w:rsid w:val="11DD23BF"/>
    <w:rsid w:val="11DE30B6"/>
    <w:rsid w:val="11DF131B"/>
    <w:rsid w:val="11E132E5"/>
    <w:rsid w:val="11E20E0C"/>
    <w:rsid w:val="11E608FC"/>
    <w:rsid w:val="11E64458"/>
    <w:rsid w:val="11E85CAC"/>
    <w:rsid w:val="11EA563B"/>
    <w:rsid w:val="11FA6155"/>
    <w:rsid w:val="11FC011F"/>
    <w:rsid w:val="11FC1ECD"/>
    <w:rsid w:val="11FE3E97"/>
    <w:rsid w:val="12011292"/>
    <w:rsid w:val="1202325C"/>
    <w:rsid w:val="12063438"/>
    <w:rsid w:val="12072620"/>
    <w:rsid w:val="120B2110"/>
    <w:rsid w:val="120D5E88"/>
    <w:rsid w:val="120E55B0"/>
    <w:rsid w:val="12103BCB"/>
    <w:rsid w:val="1212349F"/>
    <w:rsid w:val="12137217"/>
    <w:rsid w:val="12163566"/>
    <w:rsid w:val="121865DB"/>
    <w:rsid w:val="12192A7F"/>
    <w:rsid w:val="121D3BF2"/>
    <w:rsid w:val="1223332E"/>
    <w:rsid w:val="12260D40"/>
    <w:rsid w:val="12282565"/>
    <w:rsid w:val="122B27B2"/>
    <w:rsid w:val="122D02D9"/>
    <w:rsid w:val="12303925"/>
    <w:rsid w:val="12307DC9"/>
    <w:rsid w:val="123C49C0"/>
    <w:rsid w:val="123F1DBA"/>
    <w:rsid w:val="12407C85"/>
    <w:rsid w:val="124949E7"/>
    <w:rsid w:val="124C4F00"/>
    <w:rsid w:val="124D2729"/>
    <w:rsid w:val="124D44D7"/>
    <w:rsid w:val="12525F91"/>
    <w:rsid w:val="12543AB7"/>
    <w:rsid w:val="12550A14"/>
    <w:rsid w:val="125C296C"/>
    <w:rsid w:val="125C471A"/>
    <w:rsid w:val="12614426"/>
    <w:rsid w:val="12615DC4"/>
    <w:rsid w:val="12631F4C"/>
    <w:rsid w:val="126857B5"/>
    <w:rsid w:val="12687563"/>
    <w:rsid w:val="126A32DB"/>
    <w:rsid w:val="12711684"/>
    <w:rsid w:val="1272218F"/>
    <w:rsid w:val="12723F3D"/>
    <w:rsid w:val="12752275"/>
    <w:rsid w:val="12753A2E"/>
    <w:rsid w:val="12791770"/>
    <w:rsid w:val="127A7296"/>
    <w:rsid w:val="12827E73"/>
    <w:rsid w:val="12833A99"/>
    <w:rsid w:val="1283439D"/>
    <w:rsid w:val="1286260E"/>
    <w:rsid w:val="128679E9"/>
    <w:rsid w:val="128F377D"/>
    <w:rsid w:val="12900868"/>
    <w:rsid w:val="129A3494"/>
    <w:rsid w:val="129B16E6"/>
    <w:rsid w:val="129C0FBA"/>
    <w:rsid w:val="129E2F84"/>
    <w:rsid w:val="12A12A75"/>
    <w:rsid w:val="12A14823"/>
    <w:rsid w:val="12AA1929"/>
    <w:rsid w:val="12AC38F3"/>
    <w:rsid w:val="12AF0CEE"/>
    <w:rsid w:val="12AF375B"/>
    <w:rsid w:val="12B30F55"/>
    <w:rsid w:val="12B409FA"/>
    <w:rsid w:val="12B41389"/>
    <w:rsid w:val="12B5207C"/>
    <w:rsid w:val="12B75DF4"/>
    <w:rsid w:val="12BB58E4"/>
    <w:rsid w:val="12BD6D47"/>
    <w:rsid w:val="12C1660B"/>
    <w:rsid w:val="12C16C73"/>
    <w:rsid w:val="12C50511"/>
    <w:rsid w:val="12C549B5"/>
    <w:rsid w:val="12C56763"/>
    <w:rsid w:val="12C624DB"/>
    <w:rsid w:val="12CD73C6"/>
    <w:rsid w:val="12D06EB6"/>
    <w:rsid w:val="12D1335A"/>
    <w:rsid w:val="12D14FDC"/>
    <w:rsid w:val="12D40754"/>
    <w:rsid w:val="12D44BF8"/>
    <w:rsid w:val="12D544CC"/>
    <w:rsid w:val="12D93FBD"/>
    <w:rsid w:val="12DB5F87"/>
    <w:rsid w:val="12DD1CFF"/>
    <w:rsid w:val="12DD2619"/>
    <w:rsid w:val="12DE7825"/>
    <w:rsid w:val="12E017EF"/>
    <w:rsid w:val="12E23E98"/>
    <w:rsid w:val="12E3308D"/>
    <w:rsid w:val="12E56E05"/>
    <w:rsid w:val="12E806A4"/>
    <w:rsid w:val="12EA441C"/>
    <w:rsid w:val="12EA61CA"/>
    <w:rsid w:val="12EF558E"/>
    <w:rsid w:val="12F42BA4"/>
    <w:rsid w:val="12F708E7"/>
    <w:rsid w:val="12F8768F"/>
    <w:rsid w:val="12FB03D7"/>
    <w:rsid w:val="12FC56ED"/>
    <w:rsid w:val="12FE1C75"/>
    <w:rsid w:val="130152C1"/>
    <w:rsid w:val="1301552C"/>
    <w:rsid w:val="13031039"/>
    <w:rsid w:val="13053004"/>
    <w:rsid w:val="13135720"/>
    <w:rsid w:val="13141499"/>
    <w:rsid w:val="131905E4"/>
    <w:rsid w:val="131B07AE"/>
    <w:rsid w:val="131B42F0"/>
    <w:rsid w:val="131B45D5"/>
    <w:rsid w:val="131D265F"/>
    <w:rsid w:val="131E2317"/>
    <w:rsid w:val="13225964"/>
    <w:rsid w:val="13250FB0"/>
    <w:rsid w:val="132711CC"/>
    <w:rsid w:val="13282143"/>
    <w:rsid w:val="132A4818"/>
    <w:rsid w:val="132E255A"/>
    <w:rsid w:val="132E2ABB"/>
    <w:rsid w:val="132F1E2E"/>
    <w:rsid w:val="1331204B"/>
    <w:rsid w:val="1336140F"/>
    <w:rsid w:val="133833D9"/>
    <w:rsid w:val="13386F35"/>
    <w:rsid w:val="13427DB4"/>
    <w:rsid w:val="1347361C"/>
    <w:rsid w:val="13482EF0"/>
    <w:rsid w:val="13484347"/>
    <w:rsid w:val="134F24D1"/>
    <w:rsid w:val="13531FC1"/>
    <w:rsid w:val="13547AE7"/>
    <w:rsid w:val="13561CC7"/>
    <w:rsid w:val="13573133"/>
    <w:rsid w:val="1359516E"/>
    <w:rsid w:val="136041A0"/>
    <w:rsid w:val="136046DE"/>
    <w:rsid w:val="136441CE"/>
    <w:rsid w:val="13645F7C"/>
    <w:rsid w:val="136917E4"/>
    <w:rsid w:val="136B15CD"/>
    <w:rsid w:val="136E2957"/>
    <w:rsid w:val="136F2125"/>
    <w:rsid w:val="137912FC"/>
    <w:rsid w:val="137A57A0"/>
    <w:rsid w:val="138008DC"/>
    <w:rsid w:val="13806B2E"/>
    <w:rsid w:val="13854144"/>
    <w:rsid w:val="13877EBC"/>
    <w:rsid w:val="13881E72"/>
    <w:rsid w:val="138A175B"/>
    <w:rsid w:val="138E23CC"/>
    <w:rsid w:val="13904FC3"/>
    <w:rsid w:val="13913395"/>
    <w:rsid w:val="13960100"/>
    <w:rsid w:val="13983E78"/>
    <w:rsid w:val="13996E30"/>
    <w:rsid w:val="139A199E"/>
    <w:rsid w:val="139D742B"/>
    <w:rsid w:val="139E33BA"/>
    <w:rsid w:val="139F050D"/>
    <w:rsid w:val="139F6FB4"/>
    <w:rsid w:val="13A02D2C"/>
    <w:rsid w:val="13A141FF"/>
    <w:rsid w:val="13A445CA"/>
    <w:rsid w:val="13A7230D"/>
    <w:rsid w:val="13A72394"/>
    <w:rsid w:val="13A740BB"/>
    <w:rsid w:val="13A91BE1"/>
    <w:rsid w:val="13A97E33"/>
    <w:rsid w:val="13B011C1"/>
    <w:rsid w:val="13B3480E"/>
    <w:rsid w:val="13B8202B"/>
    <w:rsid w:val="13B862C8"/>
    <w:rsid w:val="13B87923"/>
    <w:rsid w:val="13BA5B9C"/>
    <w:rsid w:val="13C11401"/>
    <w:rsid w:val="13C62793"/>
    <w:rsid w:val="13C702B9"/>
    <w:rsid w:val="13C908A8"/>
    <w:rsid w:val="13CA1B57"/>
    <w:rsid w:val="13CB5FFB"/>
    <w:rsid w:val="13CF380C"/>
    <w:rsid w:val="13D14646"/>
    <w:rsid w:val="13D31662"/>
    <w:rsid w:val="13D6541C"/>
    <w:rsid w:val="13DA182D"/>
    <w:rsid w:val="13DB3D64"/>
    <w:rsid w:val="13DB5B12"/>
    <w:rsid w:val="13E42C19"/>
    <w:rsid w:val="13E56991"/>
    <w:rsid w:val="13E62E35"/>
    <w:rsid w:val="13E66323"/>
    <w:rsid w:val="13E76689"/>
    <w:rsid w:val="13E9022F"/>
    <w:rsid w:val="13E93B0E"/>
    <w:rsid w:val="13EC7D20"/>
    <w:rsid w:val="13F071B2"/>
    <w:rsid w:val="13F310AE"/>
    <w:rsid w:val="13F76DF0"/>
    <w:rsid w:val="13FB7F63"/>
    <w:rsid w:val="13FD5551"/>
    <w:rsid w:val="14011A1D"/>
    <w:rsid w:val="14052375"/>
    <w:rsid w:val="14067033"/>
    <w:rsid w:val="14076907"/>
    <w:rsid w:val="140C191D"/>
    <w:rsid w:val="141352AC"/>
    <w:rsid w:val="14164D9C"/>
    <w:rsid w:val="141C0605"/>
    <w:rsid w:val="141C612A"/>
    <w:rsid w:val="14200E89"/>
    <w:rsid w:val="1421103E"/>
    <w:rsid w:val="142474B9"/>
    <w:rsid w:val="14263231"/>
    <w:rsid w:val="14294AD0"/>
    <w:rsid w:val="142B03AD"/>
    <w:rsid w:val="14337D15"/>
    <w:rsid w:val="14382F65"/>
    <w:rsid w:val="14386662"/>
    <w:rsid w:val="143A42D9"/>
    <w:rsid w:val="143C0CA7"/>
    <w:rsid w:val="143C4803"/>
    <w:rsid w:val="143F0797"/>
    <w:rsid w:val="143F2545"/>
    <w:rsid w:val="143F42F3"/>
    <w:rsid w:val="143F6870"/>
    <w:rsid w:val="144638D4"/>
    <w:rsid w:val="14467430"/>
    <w:rsid w:val="144731A8"/>
    <w:rsid w:val="144741C1"/>
    <w:rsid w:val="144813FA"/>
    <w:rsid w:val="144A05E1"/>
    <w:rsid w:val="144B2C98"/>
    <w:rsid w:val="144B713C"/>
    <w:rsid w:val="144D4C62"/>
    <w:rsid w:val="145002AE"/>
    <w:rsid w:val="14535FF1"/>
    <w:rsid w:val="14553B17"/>
    <w:rsid w:val="14575AE1"/>
    <w:rsid w:val="145A737F"/>
    <w:rsid w:val="146177FD"/>
    <w:rsid w:val="14643D5A"/>
    <w:rsid w:val="146A2969"/>
    <w:rsid w:val="146C1531"/>
    <w:rsid w:val="146E07A8"/>
    <w:rsid w:val="14706BA3"/>
    <w:rsid w:val="14740FE6"/>
    <w:rsid w:val="14795A57"/>
    <w:rsid w:val="147C5547"/>
    <w:rsid w:val="147C72F5"/>
    <w:rsid w:val="147F611E"/>
    <w:rsid w:val="14830684"/>
    <w:rsid w:val="14847F58"/>
    <w:rsid w:val="148D1503"/>
    <w:rsid w:val="148D505F"/>
    <w:rsid w:val="148F7029"/>
    <w:rsid w:val="14904B4F"/>
    <w:rsid w:val="149208C7"/>
    <w:rsid w:val="14942891"/>
    <w:rsid w:val="149743A5"/>
    <w:rsid w:val="14983A03"/>
    <w:rsid w:val="149C6106"/>
    <w:rsid w:val="149F4D92"/>
    <w:rsid w:val="14A35169"/>
    <w:rsid w:val="14A5684C"/>
    <w:rsid w:val="14A81E98"/>
    <w:rsid w:val="14AB3737"/>
    <w:rsid w:val="14B06F9F"/>
    <w:rsid w:val="14BB6070"/>
    <w:rsid w:val="14BC1DE8"/>
    <w:rsid w:val="14C01D8E"/>
    <w:rsid w:val="14C34F24"/>
    <w:rsid w:val="14D47131"/>
    <w:rsid w:val="14D557D7"/>
    <w:rsid w:val="14D603C4"/>
    <w:rsid w:val="14D902A4"/>
    <w:rsid w:val="14D94748"/>
    <w:rsid w:val="14DE44D8"/>
    <w:rsid w:val="14DE58BA"/>
    <w:rsid w:val="14DE64E6"/>
    <w:rsid w:val="14DF0DB5"/>
    <w:rsid w:val="14E46C49"/>
    <w:rsid w:val="14E629C1"/>
    <w:rsid w:val="14EF1875"/>
    <w:rsid w:val="14F11477"/>
    <w:rsid w:val="14F41582"/>
    <w:rsid w:val="14F450DE"/>
    <w:rsid w:val="14F50E56"/>
    <w:rsid w:val="14F52C04"/>
    <w:rsid w:val="14F77DA2"/>
    <w:rsid w:val="14FA32EB"/>
    <w:rsid w:val="14FE5F5C"/>
    <w:rsid w:val="15007F25"/>
    <w:rsid w:val="150317C5"/>
    <w:rsid w:val="15051099"/>
    <w:rsid w:val="15115C90"/>
    <w:rsid w:val="15127C5A"/>
    <w:rsid w:val="15155054"/>
    <w:rsid w:val="15170DCC"/>
    <w:rsid w:val="151B4D60"/>
    <w:rsid w:val="151B6B0E"/>
    <w:rsid w:val="152139F9"/>
    <w:rsid w:val="152A6D51"/>
    <w:rsid w:val="152B22BF"/>
    <w:rsid w:val="15331147"/>
    <w:rsid w:val="153320AA"/>
    <w:rsid w:val="153B2D0D"/>
    <w:rsid w:val="154140B7"/>
    <w:rsid w:val="15475B55"/>
    <w:rsid w:val="154C4CFD"/>
    <w:rsid w:val="15560A1B"/>
    <w:rsid w:val="156215CA"/>
    <w:rsid w:val="156404B5"/>
    <w:rsid w:val="15681628"/>
    <w:rsid w:val="15695ACC"/>
    <w:rsid w:val="156A53A0"/>
    <w:rsid w:val="156C736A"/>
    <w:rsid w:val="156F2437"/>
    <w:rsid w:val="156F6E5A"/>
    <w:rsid w:val="157223A2"/>
    <w:rsid w:val="157306F8"/>
    <w:rsid w:val="15747FCD"/>
    <w:rsid w:val="157600CE"/>
    <w:rsid w:val="15763D45"/>
    <w:rsid w:val="15770AE8"/>
    <w:rsid w:val="157B21BC"/>
    <w:rsid w:val="157B3666"/>
    <w:rsid w:val="157D1577"/>
    <w:rsid w:val="157D50D3"/>
    <w:rsid w:val="15806971"/>
    <w:rsid w:val="1582093B"/>
    <w:rsid w:val="15853F88"/>
    <w:rsid w:val="15877D00"/>
    <w:rsid w:val="15891CCA"/>
    <w:rsid w:val="158C17BA"/>
    <w:rsid w:val="158C3568"/>
    <w:rsid w:val="158E5532"/>
    <w:rsid w:val="159246FE"/>
    <w:rsid w:val="159348F7"/>
    <w:rsid w:val="159468C1"/>
    <w:rsid w:val="1595105E"/>
    <w:rsid w:val="159915F2"/>
    <w:rsid w:val="15997A33"/>
    <w:rsid w:val="159B37AB"/>
    <w:rsid w:val="159E5049"/>
    <w:rsid w:val="15A20FDE"/>
    <w:rsid w:val="15A46B04"/>
    <w:rsid w:val="15A837DD"/>
    <w:rsid w:val="15AA5C4A"/>
    <w:rsid w:val="15AA7E92"/>
    <w:rsid w:val="15AC59B8"/>
    <w:rsid w:val="15AE5C0D"/>
    <w:rsid w:val="15B1657E"/>
    <w:rsid w:val="15B8610B"/>
    <w:rsid w:val="15BE305A"/>
    <w:rsid w:val="15C2342E"/>
    <w:rsid w:val="15C42D02"/>
    <w:rsid w:val="15CA5E3E"/>
    <w:rsid w:val="15CC1BB7"/>
    <w:rsid w:val="15CE592F"/>
    <w:rsid w:val="15D867AD"/>
    <w:rsid w:val="15DB1E4F"/>
    <w:rsid w:val="15DD0658"/>
    <w:rsid w:val="15DD3DC4"/>
    <w:rsid w:val="15DD5B72"/>
    <w:rsid w:val="15E2587E"/>
    <w:rsid w:val="15E46F00"/>
    <w:rsid w:val="15E74C42"/>
    <w:rsid w:val="15E839EB"/>
    <w:rsid w:val="15EA028F"/>
    <w:rsid w:val="15EB4733"/>
    <w:rsid w:val="15F064AF"/>
    <w:rsid w:val="15F66C34"/>
    <w:rsid w:val="15F829AC"/>
    <w:rsid w:val="15FC6940"/>
    <w:rsid w:val="15FD49E9"/>
    <w:rsid w:val="16013F56"/>
    <w:rsid w:val="160475A2"/>
    <w:rsid w:val="16070E41"/>
    <w:rsid w:val="160A01D1"/>
    <w:rsid w:val="161672D6"/>
    <w:rsid w:val="161A5018"/>
    <w:rsid w:val="161A6DC6"/>
    <w:rsid w:val="161B2A4C"/>
    <w:rsid w:val="161B3EFC"/>
    <w:rsid w:val="161F43DC"/>
    <w:rsid w:val="16223ECC"/>
    <w:rsid w:val="16287735"/>
    <w:rsid w:val="16290DB7"/>
    <w:rsid w:val="162D4D4B"/>
    <w:rsid w:val="162E2871"/>
    <w:rsid w:val="162E40D2"/>
    <w:rsid w:val="162E461F"/>
    <w:rsid w:val="162F0A5C"/>
    <w:rsid w:val="16331C36"/>
    <w:rsid w:val="1638724C"/>
    <w:rsid w:val="163A7468"/>
    <w:rsid w:val="163B0AEA"/>
    <w:rsid w:val="163C2E04"/>
    <w:rsid w:val="163D0D06"/>
    <w:rsid w:val="163F05DA"/>
    <w:rsid w:val="163F4A7E"/>
    <w:rsid w:val="16443E43"/>
    <w:rsid w:val="16455853"/>
    <w:rsid w:val="16472A6B"/>
    <w:rsid w:val="16490A3E"/>
    <w:rsid w:val="16491459"/>
    <w:rsid w:val="164B51D1"/>
    <w:rsid w:val="165322D8"/>
    <w:rsid w:val="16556050"/>
    <w:rsid w:val="16610551"/>
    <w:rsid w:val="1662251B"/>
    <w:rsid w:val="16637D79"/>
    <w:rsid w:val="166444E5"/>
    <w:rsid w:val="16646CBF"/>
    <w:rsid w:val="1666025D"/>
    <w:rsid w:val="16673E9F"/>
    <w:rsid w:val="166B7621"/>
    <w:rsid w:val="166C09FE"/>
    <w:rsid w:val="166C5148"/>
    <w:rsid w:val="166E7112"/>
    <w:rsid w:val="167069E6"/>
    <w:rsid w:val="16753FFC"/>
    <w:rsid w:val="167C182F"/>
    <w:rsid w:val="167E55A7"/>
    <w:rsid w:val="167F1491"/>
    <w:rsid w:val="16813FC1"/>
    <w:rsid w:val="16840697"/>
    <w:rsid w:val="168434B9"/>
    <w:rsid w:val="16846935"/>
    <w:rsid w:val="1686445B"/>
    <w:rsid w:val="16893F4C"/>
    <w:rsid w:val="16897AA8"/>
    <w:rsid w:val="168C1346"/>
    <w:rsid w:val="168E50BE"/>
    <w:rsid w:val="16900E36"/>
    <w:rsid w:val="169144DB"/>
    <w:rsid w:val="16940645"/>
    <w:rsid w:val="16976668"/>
    <w:rsid w:val="169A3A63"/>
    <w:rsid w:val="169F1079"/>
    <w:rsid w:val="16A6065A"/>
    <w:rsid w:val="16B234A2"/>
    <w:rsid w:val="16B34B25"/>
    <w:rsid w:val="16BA2357"/>
    <w:rsid w:val="16BE1E47"/>
    <w:rsid w:val="16C136E5"/>
    <w:rsid w:val="16C31547"/>
    <w:rsid w:val="16C63A22"/>
    <w:rsid w:val="16CB1E6E"/>
    <w:rsid w:val="16CC4ED4"/>
    <w:rsid w:val="16D03928"/>
    <w:rsid w:val="16D12D12"/>
    <w:rsid w:val="16D451C7"/>
    <w:rsid w:val="16D50B75"/>
    <w:rsid w:val="16D56C80"/>
    <w:rsid w:val="16D90A2F"/>
    <w:rsid w:val="16D927DD"/>
    <w:rsid w:val="16D97A9D"/>
    <w:rsid w:val="16DE6045"/>
    <w:rsid w:val="16DF591A"/>
    <w:rsid w:val="16E3540A"/>
    <w:rsid w:val="16E64EFA"/>
    <w:rsid w:val="16ED0036"/>
    <w:rsid w:val="16ED6288"/>
    <w:rsid w:val="16EF0253"/>
    <w:rsid w:val="16F41AB6"/>
    <w:rsid w:val="16F5338F"/>
    <w:rsid w:val="16F92D57"/>
    <w:rsid w:val="16FC471D"/>
    <w:rsid w:val="16FF7D6A"/>
    <w:rsid w:val="17017F86"/>
    <w:rsid w:val="170A0BE8"/>
    <w:rsid w:val="17101F77"/>
    <w:rsid w:val="17123C42"/>
    <w:rsid w:val="17141A67"/>
    <w:rsid w:val="17167E37"/>
    <w:rsid w:val="17173305"/>
    <w:rsid w:val="171B2DF6"/>
    <w:rsid w:val="1720665E"/>
    <w:rsid w:val="172123D6"/>
    <w:rsid w:val="17215EE7"/>
    <w:rsid w:val="17224323"/>
    <w:rsid w:val="17237EFC"/>
    <w:rsid w:val="17255A22"/>
    <w:rsid w:val="1726179A"/>
    <w:rsid w:val="172C6408"/>
    <w:rsid w:val="172E49CB"/>
    <w:rsid w:val="17306175"/>
    <w:rsid w:val="17343EB7"/>
    <w:rsid w:val="1735378C"/>
    <w:rsid w:val="17363606"/>
    <w:rsid w:val="17375756"/>
    <w:rsid w:val="17377504"/>
    <w:rsid w:val="17400AAE"/>
    <w:rsid w:val="17465999"/>
    <w:rsid w:val="174A36DB"/>
    <w:rsid w:val="174A5489"/>
    <w:rsid w:val="174C1201"/>
    <w:rsid w:val="174F2A9F"/>
    <w:rsid w:val="1757052E"/>
    <w:rsid w:val="175956CC"/>
    <w:rsid w:val="175A0C63"/>
    <w:rsid w:val="175B1444"/>
    <w:rsid w:val="175E0F34"/>
    <w:rsid w:val="175F39F7"/>
    <w:rsid w:val="1763479D"/>
    <w:rsid w:val="17650515"/>
    <w:rsid w:val="176A78D9"/>
    <w:rsid w:val="176C18A3"/>
    <w:rsid w:val="176C47C4"/>
    <w:rsid w:val="176C761B"/>
    <w:rsid w:val="176E4237"/>
    <w:rsid w:val="17712A16"/>
    <w:rsid w:val="17742506"/>
    <w:rsid w:val="17795D6E"/>
    <w:rsid w:val="17800EAB"/>
    <w:rsid w:val="1780534F"/>
    <w:rsid w:val="178070FD"/>
    <w:rsid w:val="17836BED"/>
    <w:rsid w:val="17851966"/>
    <w:rsid w:val="17883CE1"/>
    <w:rsid w:val="178E20FC"/>
    <w:rsid w:val="178F5592"/>
    <w:rsid w:val="17942BA8"/>
    <w:rsid w:val="17976EF6"/>
    <w:rsid w:val="179901BE"/>
    <w:rsid w:val="179D6FBC"/>
    <w:rsid w:val="179E43E0"/>
    <w:rsid w:val="17A0154D"/>
    <w:rsid w:val="17A70B2D"/>
    <w:rsid w:val="17A76437"/>
    <w:rsid w:val="17AA4179"/>
    <w:rsid w:val="17AA4616"/>
    <w:rsid w:val="17AD77C6"/>
    <w:rsid w:val="17AF353E"/>
    <w:rsid w:val="17AF62D1"/>
    <w:rsid w:val="17B80644"/>
    <w:rsid w:val="17B943BD"/>
    <w:rsid w:val="17C214C3"/>
    <w:rsid w:val="17C25D43"/>
    <w:rsid w:val="17C36FE9"/>
    <w:rsid w:val="17C510B2"/>
    <w:rsid w:val="17C52CBF"/>
    <w:rsid w:val="17C75113"/>
    <w:rsid w:val="17CA65CA"/>
    <w:rsid w:val="17CF6476"/>
    <w:rsid w:val="17D411F6"/>
    <w:rsid w:val="17D42FA4"/>
    <w:rsid w:val="17D86098"/>
    <w:rsid w:val="17DB2585"/>
    <w:rsid w:val="17DD00AB"/>
    <w:rsid w:val="17DD454F"/>
    <w:rsid w:val="17E017CB"/>
    <w:rsid w:val="17E256C1"/>
    <w:rsid w:val="17E56F60"/>
    <w:rsid w:val="17E94CA2"/>
    <w:rsid w:val="17EA27C8"/>
    <w:rsid w:val="17EB6C6C"/>
    <w:rsid w:val="17F43647"/>
    <w:rsid w:val="17F726D5"/>
    <w:rsid w:val="17FB2C27"/>
    <w:rsid w:val="17FE033D"/>
    <w:rsid w:val="1800023D"/>
    <w:rsid w:val="180145A3"/>
    <w:rsid w:val="18027B12"/>
    <w:rsid w:val="180513B0"/>
    <w:rsid w:val="180A2E6A"/>
    <w:rsid w:val="180A68CF"/>
    <w:rsid w:val="180C0990"/>
    <w:rsid w:val="180C0BF7"/>
    <w:rsid w:val="181066D2"/>
    <w:rsid w:val="1811244B"/>
    <w:rsid w:val="18143400"/>
    <w:rsid w:val="18155A97"/>
    <w:rsid w:val="181D494B"/>
    <w:rsid w:val="18261AA3"/>
    <w:rsid w:val="18292D6F"/>
    <w:rsid w:val="182B350C"/>
    <w:rsid w:val="182B52BA"/>
    <w:rsid w:val="182E5751"/>
    <w:rsid w:val="182E6B59"/>
    <w:rsid w:val="18306422"/>
    <w:rsid w:val="183C74C7"/>
    <w:rsid w:val="184243B2"/>
    <w:rsid w:val="18491BE4"/>
    <w:rsid w:val="184A3267"/>
    <w:rsid w:val="184B14B9"/>
    <w:rsid w:val="184C6FDF"/>
    <w:rsid w:val="184F0509"/>
    <w:rsid w:val="18550589"/>
    <w:rsid w:val="185540E5"/>
    <w:rsid w:val="185A16FC"/>
    <w:rsid w:val="185E7522"/>
    <w:rsid w:val="18616F2E"/>
    <w:rsid w:val="1864257A"/>
    <w:rsid w:val="1864746C"/>
    <w:rsid w:val="186875E1"/>
    <w:rsid w:val="18691943"/>
    <w:rsid w:val="186E164B"/>
    <w:rsid w:val="186F67A3"/>
    <w:rsid w:val="18730A0F"/>
    <w:rsid w:val="187F73B4"/>
    <w:rsid w:val="18803812"/>
    <w:rsid w:val="188624F1"/>
    <w:rsid w:val="189746FE"/>
    <w:rsid w:val="18982224"/>
    <w:rsid w:val="18A312F5"/>
    <w:rsid w:val="18A31822"/>
    <w:rsid w:val="18A4687C"/>
    <w:rsid w:val="18AB01A9"/>
    <w:rsid w:val="18AB1F57"/>
    <w:rsid w:val="18AC14BD"/>
    <w:rsid w:val="18AD2173"/>
    <w:rsid w:val="18AE37F5"/>
    <w:rsid w:val="18AE7C99"/>
    <w:rsid w:val="18AF5EEB"/>
    <w:rsid w:val="18B040D7"/>
    <w:rsid w:val="18B20FCE"/>
    <w:rsid w:val="18B54B84"/>
    <w:rsid w:val="18B708FC"/>
    <w:rsid w:val="18BD7EDC"/>
    <w:rsid w:val="18BE0B1C"/>
    <w:rsid w:val="18BE612E"/>
    <w:rsid w:val="18C272A1"/>
    <w:rsid w:val="18C354F3"/>
    <w:rsid w:val="18C66D91"/>
    <w:rsid w:val="18C80D5B"/>
    <w:rsid w:val="18CD6371"/>
    <w:rsid w:val="18D21BDA"/>
    <w:rsid w:val="18D23988"/>
    <w:rsid w:val="18D45952"/>
    <w:rsid w:val="18D771F0"/>
    <w:rsid w:val="18DA283C"/>
    <w:rsid w:val="18DA45EA"/>
    <w:rsid w:val="18DC0363"/>
    <w:rsid w:val="18DC4807"/>
    <w:rsid w:val="18DC65B5"/>
    <w:rsid w:val="18E117C4"/>
    <w:rsid w:val="18E25825"/>
    <w:rsid w:val="18E40145"/>
    <w:rsid w:val="18E45469"/>
    <w:rsid w:val="18E611E1"/>
    <w:rsid w:val="18E92A80"/>
    <w:rsid w:val="18EB2C9C"/>
    <w:rsid w:val="18ED2570"/>
    <w:rsid w:val="18F002B2"/>
    <w:rsid w:val="18F03E0E"/>
    <w:rsid w:val="18F2402A"/>
    <w:rsid w:val="18F733EE"/>
    <w:rsid w:val="18F9576B"/>
    <w:rsid w:val="18FE139B"/>
    <w:rsid w:val="190301C9"/>
    <w:rsid w:val="19037FE5"/>
    <w:rsid w:val="1908337B"/>
    <w:rsid w:val="190D7214"/>
    <w:rsid w:val="190F698A"/>
    <w:rsid w:val="1910746C"/>
    <w:rsid w:val="19145D4E"/>
    <w:rsid w:val="1916050F"/>
    <w:rsid w:val="191915B7"/>
    <w:rsid w:val="191B532F"/>
    <w:rsid w:val="191C10A7"/>
    <w:rsid w:val="191C2E55"/>
    <w:rsid w:val="191C4D3D"/>
    <w:rsid w:val="191E2EA7"/>
    <w:rsid w:val="1921046B"/>
    <w:rsid w:val="192203B6"/>
    <w:rsid w:val="19263CD4"/>
    <w:rsid w:val="19283F59"/>
    <w:rsid w:val="192E7DCB"/>
    <w:rsid w:val="192F2834"/>
    <w:rsid w:val="19342F7A"/>
    <w:rsid w:val="19361F52"/>
    <w:rsid w:val="19371A3D"/>
    <w:rsid w:val="193938E2"/>
    <w:rsid w:val="19393A07"/>
    <w:rsid w:val="193957B5"/>
    <w:rsid w:val="193A7352"/>
    <w:rsid w:val="193B0641"/>
    <w:rsid w:val="193F08F1"/>
    <w:rsid w:val="19404D95"/>
    <w:rsid w:val="194A1770"/>
    <w:rsid w:val="194B7296"/>
    <w:rsid w:val="194E6447"/>
    <w:rsid w:val="19520625"/>
    <w:rsid w:val="195270D5"/>
    <w:rsid w:val="195645B9"/>
    <w:rsid w:val="19597099"/>
    <w:rsid w:val="19597C05"/>
    <w:rsid w:val="195A0529"/>
    <w:rsid w:val="195B1BCF"/>
    <w:rsid w:val="195E6FCA"/>
    <w:rsid w:val="19651348"/>
    <w:rsid w:val="196640D0"/>
    <w:rsid w:val="196D36B1"/>
    <w:rsid w:val="19720CC7"/>
    <w:rsid w:val="19726F19"/>
    <w:rsid w:val="19742C91"/>
    <w:rsid w:val="197607B7"/>
    <w:rsid w:val="1977452F"/>
    <w:rsid w:val="19792055"/>
    <w:rsid w:val="197945B1"/>
    <w:rsid w:val="197B7B7C"/>
    <w:rsid w:val="197C6DBF"/>
    <w:rsid w:val="197E58BE"/>
    <w:rsid w:val="198527A8"/>
    <w:rsid w:val="198729C4"/>
    <w:rsid w:val="19882120"/>
    <w:rsid w:val="198F7ACB"/>
    <w:rsid w:val="19921369"/>
    <w:rsid w:val="199944A6"/>
    <w:rsid w:val="199E3A98"/>
    <w:rsid w:val="19A1335A"/>
    <w:rsid w:val="19A5138E"/>
    <w:rsid w:val="19A76BC3"/>
    <w:rsid w:val="19A928E0"/>
    <w:rsid w:val="19AA66B3"/>
    <w:rsid w:val="19AD1CFF"/>
    <w:rsid w:val="19B2798D"/>
    <w:rsid w:val="19B86714"/>
    <w:rsid w:val="19B968F6"/>
    <w:rsid w:val="19BC1F42"/>
    <w:rsid w:val="19BE5CBA"/>
    <w:rsid w:val="19BE5FBE"/>
    <w:rsid w:val="19BF6247"/>
    <w:rsid w:val="19C01A32"/>
    <w:rsid w:val="19C57049"/>
    <w:rsid w:val="19C71013"/>
    <w:rsid w:val="19C77265"/>
    <w:rsid w:val="19C84D8B"/>
    <w:rsid w:val="19CD414F"/>
    <w:rsid w:val="19D07778"/>
    <w:rsid w:val="19D21766"/>
    <w:rsid w:val="19D379B8"/>
    <w:rsid w:val="19D96F98"/>
    <w:rsid w:val="19DB2D10"/>
    <w:rsid w:val="19DB4ABE"/>
    <w:rsid w:val="19DC4392"/>
    <w:rsid w:val="19DD2D01"/>
    <w:rsid w:val="19E27BFB"/>
    <w:rsid w:val="19EC780B"/>
    <w:rsid w:val="19EF056A"/>
    <w:rsid w:val="19F16090"/>
    <w:rsid w:val="19F416DC"/>
    <w:rsid w:val="19F636A6"/>
    <w:rsid w:val="19F65454"/>
    <w:rsid w:val="19FD4A34"/>
    <w:rsid w:val="19FE7678"/>
    <w:rsid w:val="19FF69FF"/>
    <w:rsid w:val="1A057D8D"/>
    <w:rsid w:val="1A085187"/>
    <w:rsid w:val="1A0F4768"/>
    <w:rsid w:val="1A143B2C"/>
    <w:rsid w:val="1A1678A4"/>
    <w:rsid w:val="1A18065F"/>
    <w:rsid w:val="1A1A327F"/>
    <w:rsid w:val="1A1A3838"/>
    <w:rsid w:val="1A1A55E6"/>
    <w:rsid w:val="1A1B310D"/>
    <w:rsid w:val="1A1C14C0"/>
    <w:rsid w:val="1A206975"/>
    <w:rsid w:val="1A225332"/>
    <w:rsid w:val="1A2521DD"/>
    <w:rsid w:val="1A2A3350"/>
    <w:rsid w:val="1A2B6E03"/>
    <w:rsid w:val="1A2B77F4"/>
    <w:rsid w:val="1A2C756A"/>
    <w:rsid w:val="1A2D2445"/>
    <w:rsid w:val="1A2E4BEE"/>
    <w:rsid w:val="1A2F0966"/>
    <w:rsid w:val="1A2F6BB8"/>
    <w:rsid w:val="1A313997"/>
    <w:rsid w:val="1A3348FA"/>
    <w:rsid w:val="1A352420"/>
    <w:rsid w:val="1A365DD7"/>
    <w:rsid w:val="1A3B555D"/>
    <w:rsid w:val="1A3F6DFB"/>
    <w:rsid w:val="1A4268EB"/>
    <w:rsid w:val="1A4A3FE0"/>
    <w:rsid w:val="1A4C59BC"/>
    <w:rsid w:val="1A4D4572"/>
    <w:rsid w:val="1A516B2E"/>
    <w:rsid w:val="1A5328A6"/>
    <w:rsid w:val="1A5605E9"/>
    <w:rsid w:val="1A562397"/>
    <w:rsid w:val="1A5A1E87"/>
    <w:rsid w:val="1A5B5BFF"/>
    <w:rsid w:val="1A5B79AD"/>
    <w:rsid w:val="1A5F4D60"/>
    <w:rsid w:val="1A606D71"/>
    <w:rsid w:val="1A613215"/>
    <w:rsid w:val="1A6C5716"/>
    <w:rsid w:val="1A6E0031"/>
    <w:rsid w:val="1A6F6864"/>
    <w:rsid w:val="1A705206"/>
    <w:rsid w:val="1A736AA5"/>
    <w:rsid w:val="1A756CC1"/>
    <w:rsid w:val="1A78230D"/>
    <w:rsid w:val="1A7A7860"/>
    <w:rsid w:val="1A7D3DC7"/>
    <w:rsid w:val="1A7F342E"/>
    <w:rsid w:val="1A7F5449"/>
    <w:rsid w:val="1A807414"/>
    <w:rsid w:val="1A89276C"/>
    <w:rsid w:val="1A8935C0"/>
    <w:rsid w:val="1A8C7B66"/>
    <w:rsid w:val="1A9000AF"/>
    <w:rsid w:val="1A927991"/>
    <w:rsid w:val="1A930EF5"/>
    <w:rsid w:val="1A9D6217"/>
    <w:rsid w:val="1A9F768E"/>
    <w:rsid w:val="1AA72BF2"/>
    <w:rsid w:val="1AAC686E"/>
    <w:rsid w:val="1AAD64AC"/>
    <w:rsid w:val="1AAE3F81"/>
    <w:rsid w:val="1AAE6EA6"/>
    <w:rsid w:val="1AB17C10"/>
    <w:rsid w:val="1AB33345"/>
    <w:rsid w:val="1AB53561"/>
    <w:rsid w:val="1AB570BD"/>
    <w:rsid w:val="1AB75BA5"/>
    <w:rsid w:val="1AB8095B"/>
    <w:rsid w:val="1AB9456C"/>
    <w:rsid w:val="1ABC044C"/>
    <w:rsid w:val="1ABF618E"/>
    <w:rsid w:val="1AC6751C"/>
    <w:rsid w:val="1AC91C73"/>
    <w:rsid w:val="1ACA0386"/>
    <w:rsid w:val="1ACB068F"/>
    <w:rsid w:val="1ACB4B33"/>
    <w:rsid w:val="1ACE63D1"/>
    <w:rsid w:val="1AD31C39"/>
    <w:rsid w:val="1AD3606A"/>
    <w:rsid w:val="1AD5150D"/>
    <w:rsid w:val="1ADD6614"/>
    <w:rsid w:val="1AE03EC5"/>
    <w:rsid w:val="1AE6196C"/>
    <w:rsid w:val="1AE856E5"/>
    <w:rsid w:val="1AE87493"/>
    <w:rsid w:val="1AEC04B2"/>
    <w:rsid w:val="1AF14A49"/>
    <w:rsid w:val="1AF31906"/>
    <w:rsid w:val="1AF776D6"/>
    <w:rsid w:val="1AF8198F"/>
    <w:rsid w:val="1AFA5418"/>
    <w:rsid w:val="1AFD2812"/>
    <w:rsid w:val="1B024E76"/>
    <w:rsid w:val="1B0342CC"/>
    <w:rsid w:val="1B0845FA"/>
    <w:rsid w:val="1B086E06"/>
    <w:rsid w:val="1B0A7039"/>
    <w:rsid w:val="1B0B35DF"/>
    <w:rsid w:val="1B1069E9"/>
    <w:rsid w:val="1B140288"/>
    <w:rsid w:val="1B154000"/>
    <w:rsid w:val="1B171B26"/>
    <w:rsid w:val="1B1738D4"/>
    <w:rsid w:val="1B1A33C4"/>
    <w:rsid w:val="1B1C479E"/>
    <w:rsid w:val="1B1E1106"/>
    <w:rsid w:val="1B285AE1"/>
    <w:rsid w:val="1B28788F"/>
    <w:rsid w:val="1B2D63CF"/>
    <w:rsid w:val="1B2D759B"/>
    <w:rsid w:val="1B2F3FF6"/>
    <w:rsid w:val="1B3168F7"/>
    <w:rsid w:val="1B324BB2"/>
    <w:rsid w:val="1B326960"/>
    <w:rsid w:val="1B3501FE"/>
    <w:rsid w:val="1B3721C8"/>
    <w:rsid w:val="1B3A34BE"/>
    <w:rsid w:val="1B3A3A66"/>
    <w:rsid w:val="1B3A75C2"/>
    <w:rsid w:val="1B3C333B"/>
    <w:rsid w:val="1B4072CF"/>
    <w:rsid w:val="1B416BA3"/>
    <w:rsid w:val="1B440441"/>
    <w:rsid w:val="1B486183"/>
    <w:rsid w:val="1B4A3CA9"/>
    <w:rsid w:val="1B513316"/>
    <w:rsid w:val="1B5508A0"/>
    <w:rsid w:val="1B5A7C65"/>
    <w:rsid w:val="1B5B5EB7"/>
    <w:rsid w:val="1B5C39DD"/>
    <w:rsid w:val="1B5E1503"/>
    <w:rsid w:val="1B5F1977"/>
    <w:rsid w:val="1B630EA1"/>
    <w:rsid w:val="1B650AE3"/>
    <w:rsid w:val="1B656D35"/>
    <w:rsid w:val="1B682381"/>
    <w:rsid w:val="1B6C2D6A"/>
    <w:rsid w:val="1B6D7998"/>
    <w:rsid w:val="1B706A8C"/>
    <w:rsid w:val="1B707488"/>
    <w:rsid w:val="1B724FAE"/>
    <w:rsid w:val="1B740D26"/>
    <w:rsid w:val="1B742AD4"/>
    <w:rsid w:val="1B75684C"/>
    <w:rsid w:val="1B770817"/>
    <w:rsid w:val="1B7C7BDB"/>
    <w:rsid w:val="1B811C42"/>
    <w:rsid w:val="1B854CE1"/>
    <w:rsid w:val="1B890B1E"/>
    <w:rsid w:val="1B902DB2"/>
    <w:rsid w:val="1B9238A2"/>
    <w:rsid w:val="1B943177"/>
    <w:rsid w:val="1B944F25"/>
    <w:rsid w:val="1B9645D8"/>
    <w:rsid w:val="1B966EEF"/>
    <w:rsid w:val="1B99253B"/>
    <w:rsid w:val="1B9C027D"/>
    <w:rsid w:val="1B9C202B"/>
    <w:rsid w:val="1B9F38C9"/>
    <w:rsid w:val="1BA07D6D"/>
    <w:rsid w:val="1BA11A37"/>
    <w:rsid w:val="1BA17641"/>
    <w:rsid w:val="1BA23AE5"/>
    <w:rsid w:val="1BA3751A"/>
    <w:rsid w:val="1BA50EE0"/>
    <w:rsid w:val="1BA64C58"/>
    <w:rsid w:val="1BA84E74"/>
    <w:rsid w:val="1BA87260"/>
    <w:rsid w:val="1BAB0ADF"/>
    <w:rsid w:val="1BAD19AF"/>
    <w:rsid w:val="1BAD4238"/>
    <w:rsid w:val="1BAF1D5E"/>
    <w:rsid w:val="1BAF6202"/>
    <w:rsid w:val="1BAF7FB0"/>
    <w:rsid w:val="1BB42F45"/>
    <w:rsid w:val="1BB90E2F"/>
    <w:rsid w:val="1BB9498B"/>
    <w:rsid w:val="1BBE4697"/>
    <w:rsid w:val="1BC1253F"/>
    <w:rsid w:val="1BC411FB"/>
    <w:rsid w:val="1BC51573"/>
    <w:rsid w:val="1BC616CD"/>
    <w:rsid w:val="1BC82E20"/>
    <w:rsid w:val="1BCA303C"/>
    <w:rsid w:val="1BCC0B62"/>
    <w:rsid w:val="1BD417C5"/>
    <w:rsid w:val="1BDC68CC"/>
    <w:rsid w:val="1BDD2D6F"/>
    <w:rsid w:val="1BE0016A"/>
    <w:rsid w:val="1BE13EE2"/>
    <w:rsid w:val="1BE36839"/>
    <w:rsid w:val="1BEA723A"/>
    <w:rsid w:val="1BEC33E8"/>
    <w:rsid w:val="1BED2887"/>
    <w:rsid w:val="1BEE73C2"/>
    <w:rsid w:val="1BEF4851"/>
    <w:rsid w:val="1BF105C9"/>
    <w:rsid w:val="1BF6798D"/>
    <w:rsid w:val="1BF754B3"/>
    <w:rsid w:val="1BF8455C"/>
    <w:rsid w:val="1BFA299C"/>
    <w:rsid w:val="1BFB4FA4"/>
    <w:rsid w:val="1BFE2CE6"/>
    <w:rsid w:val="1BFE4A94"/>
    <w:rsid w:val="1C006A5E"/>
    <w:rsid w:val="1C0320AA"/>
    <w:rsid w:val="1C073948"/>
    <w:rsid w:val="1C077DEC"/>
    <w:rsid w:val="1C077FF0"/>
    <w:rsid w:val="1C0C0F5F"/>
    <w:rsid w:val="1C0D7B69"/>
    <w:rsid w:val="1C104C34"/>
    <w:rsid w:val="1C16002F"/>
    <w:rsid w:val="1C1752CC"/>
    <w:rsid w:val="1C1918DB"/>
    <w:rsid w:val="1C196233"/>
    <w:rsid w:val="1C1B3E1D"/>
    <w:rsid w:val="1C2277C9"/>
    <w:rsid w:val="1C270889"/>
    <w:rsid w:val="1C2838BF"/>
    <w:rsid w:val="1C2A7637"/>
    <w:rsid w:val="1C2C1601"/>
    <w:rsid w:val="1C3109C5"/>
    <w:rsid w:val="1C35495A"/>
    <w:rsid w:val="1C362480"/>
    <w:rsid w:val="1C3B7A96"/>
    <w:rsid w:val="1C424981"/>
    <w:rsid w:val="1C4569CD"/>
    <w:rsid w:val="1C4A7673"/>
    <w:rsid w:val="1C4C1CA3"/>
    <w:rsid w:val="1C4F3541"/>
    <w:rsid w:val="1C4F52EF"/>
    <w:rsid w:val="1C556DAA"/>
    <w:rsid w:val="1C56042C"/>
    <w:rsid w:val="1C5648D0"/>
    <w:rsid w:val="1C5D7A0C"/>
    <w:rsid w:val="1C654B13"/>
    <w:rsid w:val="1C6C40F3"/>
    <w:rsid w:val="1C6C7C4F"/>
    <w:rsid w:val="1C705992"/>
    <w:rsid w:val="1C71170A"/>
    <w:rsid w:val="1C782A98"/>
    <w:rsid w:val="1C7B4336"/>
    <w:rsid w:val="1C7D00AF"/>
    <w:rsid w:val="1C813DF5"/>
    <w:rsid w:val="1C817B9F"/>
    <w:rsid w:val="1C8B27CB"/>
    <w:rsid w:val="1C93342E"/>
    <w:rsid w:val="1C9571A6"/>
    <w:rsid w:val="1C960A35"/>
    <w:rsid w:val="1C9646FE"/>
    <w:rsid w:val="1C974C1A"/>
    <w:rsid w:val="1C984EE8"/>
    <w:rsid w:val="1CA4563B"/>
    <w:rsid w:val="1CA473E9"/>
    <w:rsid w:val="1CA613FB"/>
    <w:rsid w:val="1CA70C88"/>
    <w:rsid w:val="1CA92C52"/>
    <w:rsid w:val="1CB52511"/>
    <w:rsid w:val="1CB6536F"/>
    <w:rsid w:val="1CBD04AB"/>
    <w:rsid w:val="1CC04712"/>
    <w:rsid w:val="1CC161ED"/>
    <w:rsid w:val="1CC21F65"/>
    <w:rsid w:val="1CC318B8"/>
    <w:rsid w:val="1CC655B2"/>
    <w:rsid w:val="1CC730D8"/>
    <w:rsid w:val="1CCC6940"/>
    <w:rsid w:val="1CD31A7D"/>
    <w:rsid w:val="1CD557F5"/>
    <w:rsid w:val="1CD777BF"/>
    <w:rsid w:val="1CDD0B4D"/>
    <w:rsid w:val="1CDF6673"/>
    <w:rsid w:val="1CE04199"/>
    <w:rsid w:val="1CE14EFF"/>
    <w:rsid w:val="1CE26164"/>
    <w:rsid w:val="1CE617B0"/>
    <w:rsid w:val="1CE65C54"/>
    <w:rsid w:val="1CEA5D13"/>
    <w:rsid w:val="1CEC2B3E"/>
    <w:rsid w:val="1CEE68B6"/>
    <w:rsid w:val="1CEF77DE"/>
    <w:rsid w:val="1CF245F9"/>
    <w:rsid w:val="1CF52953"/>
    <w:rsid w:val="1CF67745"/>
    <w:rsid w:val="1CFA40C7"/>
    <w:rsid w:val="1CFD2F9D"/>
    <w:rsid w:val="1D01483C"/>
    <w:rsid w:val="1D0600A4"/>
    <w:rsid w:val="1D077978"/>
    <w:rsid w:val="1D081CBE"/>
    <w:rsid w:val="1D097B94"/>
    <w:rsid w:val="1D0B1216"/>
    <w:rsid w:val="1D0D31E0"/>
    <w:rsid w:val="1D0E51AB"/>
    <w:rsid w:val="1D0E6F59"/>
    <w:rsid w:val="1D134364"/>
    <w:rsid w:val="1D1A58FD"/>
    <w:rsid w:val="1D1C1676"/>
    <w:rsid w:val="1D1F4CC2"/>
    <w:rsid w:val="1D1F6F3E"/>
    <w:rsid w:val="1D2247B2"/>
    <w:rsid w:val="1D2642A2"/>
    <w:rsid w:val="1D28626C"/>
    <w:rsid w:val="1D2B18B9"/>
    <w:rsid w:val="1D2D73DF"/>
    <w:rsid w:val="1D3544E5"/>
    <w:rsid w:val="1D3E783E"/>
    <w:rsid w:val="1D4105B9"/>
    <w:rsid w:val="1D4330A6"/>
    <w:rsid w:val="1D441576"/>
    <w:rsid w:val="1D484219"/>
    <w:rsid w:val="1D5232E9"/>
    <w:rsid w:val="1D526E45"/>
    <w:rsid w:val="1D5277E1"/>
    <w:rsid w:val="1D5C1A72"/>
    <w:rsid w:val="1D5F1562"/>
    <w:rsid w:val="1D61177E"/>
    <w:rsid w:val="1D635FF8"/>
    <w:rsid w:val="1D6529EC"/>
    <w:rsid w:val="1D660B43"/>
    <w:rsid w:val="1D6628F1"/>
    <w:rsid w:val="1D686669"/>
    <w:rsid w:val="1D6A0633"/>
    <w:rsid w:val="1D6B7F07"/>
    <w:rsid w:val="1D6F3E9B"/>
    <w:rsid w:val="1D70551D"/>
    <w:rsid w:val="1D7B2840"/>
    <w:rsid w:val="1D7C2114"/>
    <w:rsid w:val="1D802EC2"/>
    <w:rsid w:val="1D85546D"/>
    <w:rsid w:val="1D880AB9"/>
    <w:rsid w:val="1D884F5D"/>
    <w:rsid w:val="1D920A05"/>
    <w:rsid w:val="1D992CC6"/>
    <w:rsid w:val="1D9B4C90"/>
    <w:rsid w:val="1D9C6312"/>
    <w:rsid w:val="1DA022A7"/>
    <w:rsid w:val="1DA358F3"/>
    <w:rsid w:val="1DA54A4B"/>
    <w:rsid w:val="1DA63635"/>
    <w:rsid w:val="1DAD49C3"/>
    <w:rsid w:val="1DAF58DD"/>
    <w:rsid w:val="1DB01DBE"/>
    <w:rsid w:val="1DB25B36"/>
    <w:rsid w:val="1DB573D4"/>
    <w:rsid w:val="1DBA2C3C"/>
    <w:rsid w:val="1DBA49EB"/>
    <w:rsid w:val="1DC064A5"/>
    <w:rsid w:val="1DC06A2F"/>
    <w:rsid w:val="1DC1221D"/>
    <w:rsid w:val="1DC13FCB"/>
    <w:rsid w:val="1DC5189C"/>
    <w:rsid w:val="1DC87107"/>
    <w:rsid w:val="1DCA7323"/>
    <w:rsid w:val="1DCB6BF8"/>
    <w:rsid w:val="1DCD0BC2"/>
    <w:rsid w:val="1DCD7725"/>
    <w:rsid w:val="1DD106B2"/>
    <w:rsid w:val="1DD12460"/>
    <w:rsid w:val="1DD515F1"/>
    <w:rsid w:val="1DD7570D"/>
    <w:rsid w:val="1DDC4792"/>
    <w:rsid w:val="1DE008F5"/>
    <w:rsid w:val="1DE06B47"/>
    <w:rsid w:val="1DE57CB9"/>
    <w:rsid w:val="1DE71C83"/>
    <w:rsid w:val="1DE81558"/>
    <w:rsid w:val="1DEC729A"/>
    <w:rsid w:val="1DEF6D8A"/>
    <w:rsid w:val="1DF0665E"/>
    <w:rsid w:val="1DF27458"/>
    <w:rsid w:val="1DF40139"/>
    <w:rsid w:val="1DF63C75"/>
    <w:rsid w:val="1DF95513"/>
    <w:rsid w:val="1DFE7C76"/>
    <w:rsid w:val="1DFF9B19"/>
    <w:rsid w:val="1E01086B"/>
    <w:rsid w:val="1E073CEB"/>
    <w:rsid w:val="1E0821D6"/>
    <w:rsid w:val="1E193E07"/>
    <w:rsid w:val="1E1B0C0D"/>
    <w:rsid w:val="1E1B192D"/>
    <w:rsid w:val="1E1B36DB"/>
    <w:rsid w:val="1E1D38F7"/>
    <w:rsid w:val="1E1D46AD"/>
    <w:rsid w:val="1E1E766F"/>
    <w:rsid w:val="1E256308"/>
    <w:rsid w:val="1E2A47D2"/>
    <w:rsid w:val="1E2C2D12"/>
    <w:rsid w:val="1E2C7696"/>
    <w:rsid w:val="1E34479D"/>
    <w:rsid w:val="1E37603B"/>
    <w:rsid w:val="1E3824DF"/>
    <w:rsid w:val="1E390005"/>
    <w:rsid w:val="1E401394"/>
    <w:rsid w:val="1E403142"/>
    <w:rsid w:val="1E474D49"/>
    <w:rsid w:val="1E487669"/>
    <w:rsid w:val="1E4A0464"/>
    <w:rsid w:val="1E4A3FC0"/>
    <w:rsid w:val="1E5109CC"/>
    <w:rsid w:val="1E560BB7"/>
    <w:rsid w:val="1E5866DD"/>
    <w:rsid w:val="1E5D0198"/>
    <w:rsid w:val="1E5D1F46"/>
    <w:rsid w:val="1E6037E4"/>
    <w:rsid w:val="1E62130A"/>
    <w:rsid w:val="1E641526"/>
    <w:rsid w:val="1E652BA8"/>
    <w:rsid w:val="1E654EDB"/>
    <w:rsid w:val="1E671FCB"/>
    <w:rsid w:val="1E672DC4"/>
    <w:rsid w:val="1E696B3C"/>
    <w:rsid w:val="1E6A01BF"/>
    <w:rsid w:val="1E6A4663"/>
    <w:rsid w:val="1E6C2189"/>
    <w:rsid w:val="1E731769"/>
    <w:rsid w:val="1E763007"/>
    <w:rsid w:val="1E764DB5"/>
    <w:rsid w:val="1E766B63"/>
    <w:rsid w:val="1E7B061E"/>
    <w:rsid w:val="1E7D4396"/>
    <w:rsid w:val="1E7D45CD"/>
    <w:rsid w:val="1E7F010E"/>
    <w:rsid w:val="1E827BFE"/>
    <w:rsid w:val="1E875215"/>
    <w:rsid w:val="1E876FC3"/>
    <w:rsid w:val="1E935967"/>
    <w:rsid w:val="1E966DDD"/>
    <w:rsid w:val="1E967206"/>
    <w:rsid w:val="1E990AA4"/>
    <w:rsid w:val="1E9A39DA"/>
    <w:rsid w:val="1E9F4C3A"/>
    <w:rsid w:val="1EA01E32"/>
    <w:rsid w:val="1EA25BA7"/>
    <w:rsid w:val="1EA25BAA"/>
    <w:rsid w:val="1EA336D1"/>
    <w:rsid w:val="1EAA1AE8"/>
    <w:rsid w:val="1EAC6A29"/>
    <w:rsid w:val="1EB12D29"/>
    <w:rsid w:val="1EB1403F"/>
    <w:rsid w:val="1EBB798A"/>
    <w:rsid w:val="1EBD29E4"/>
    <w:rsid w:val="1EBE630B"/>
    <w:rsid w:val="1EC05AB5"/>
    <w:rsid w:val="1EC21DA9"/>
    <w:rsid w:val="1EC2624D"/>
    <w:rsid w:val="1EC272B3"/>
    <w:rsid w:val="1EC57AEB"/>
    <w:rsid w:val="1EC75611"/>
    <w:rsid w:val="1ECB3353"/>
    <w:rsid w:val="1ED63858"/>
    <w:rsid w:val="1EDA00DE"/>
    <w:rsid w:val="1EDA3596"/>
    <w:rsid w:val="1EDB10BC"/>
    <w:rsid w:val="1EDE6404"/>
    <w:rsid w:val="1EE2069D"/>
    <w:rsid w:val="1EE63BA8"/>
    <w:rsid w:val="1EE64087"/>
    <w:rsid w:val="1EE8573E"/>
    <w:rsid w:val="1EEF6D0A"/>
    <w:rsid w:val="1EF06916"/>
    <w:rsid w:val="1EF075D6"/>
    <w:rsid w:val="1EFA7794"/>
    <w:rsid w:val="1F022AED"/>
    <w:rsid w:val="1F06438B"/>
    <w:rsid w:val="1F071EB1"/>
    <w:rsid w:val="1F093E7B"/>
    <w:rsid w:val="1F106FB8"/>
    <w:rsid w:val="1F182311"/>
    <w:rsid w:val="1F185E6D"/>
    <w:rsid w:val="1F1D16D5"/>
    <w:rsid w:val="1F1F369F"/>
    <w:rsid w:val="1F1F6F08"/>
    <w:rsid w:val="1F291E28"/>
    <w:rsid w:val="1F2B2044"/>
    <w:rsid w:val="1F2D7B6A"/>
    <w:rsid w:val="1F2E38E2"/>
    <w:rsid w:val="1F2E743E"/>
    <w:rsid w:val="1F3031B6"/>
    <w:rsid w:val="1F352C46"/>
    <w:rsid w:val="1F3709E9"/>
    <w:rsid w:val="1F38206B"/>
    <w:rsid w:val="1F3934B5"/>
    <w:rsid w:val="1F3A4035"/>
    <w:rsid w:val="1F413615"/>
    <w:rsid w:val="1F422EEA"/>
    <w:rsid w:val="1F464788"/>
    <w:rsid w:val="1F49071C"/>
    <w:rsid w:val="1F4A2B94"/>
    <w:rsid w:val="1F4F3EBD"/>
    <w:rsid w:val="1F5275D0"/>
    <w:rsid w:val="1F5844BB"/>
    <w:rsid w:val="1F593560"/>
    <w:rsid w:val="1F5C04BB"/>
    <w:rsid w:val="1F5F4652"/>
    <w:rsid w:val="1F615A66"/>
    <w:rsid w:val="1F6317DE"/>
    <w:rsid w:val="1F6410B2"/>
    <w:rsid w:val="1F66307C"/>
    <w:rsid w:val="1F69491A"/>
    <w:rsid w:val="1F697C82"/>
    <w:rsid w:val="1F775289"/>
    <w:rsid w:val="1F792252"/>
    <w:rsid w:val="1F7A6B27"/>
    <w:rsid w:val="1F7C464D"/>
    <w:rsid w:val="1F813A12"/>
    <w:rsid w:val="1F833C2E"/>
    <w:rsid w:val="1F8452B0"/>
    <w:rsid w:val="1F8D61ED"/>
    <w:rsid w:val="1F8D685B"/>
    <w:rsid w:val="1F953961"/>
    <w:rsid w:val="1F9D6372"/>
    <w:rsid w:val="1F9E2816"/>
    <w:rsid w:val="1FA0658E"/>
    <w:rsid w:val="1FA55C42"/>
    <w:rsid w:val="1FA63478"/>
    <w:rsid w:val="1FAA479C"/>
    <w:rsid w:val="1FAA4DF7"/>
    <w:rsid w:val="1FAF4A23"/>
    <w:rsid w:val="1FB042F7"/>
    <w:rsid w:val="1FB45B95"/>
    <w:rsid w:val="1FB738D7"/>
    <w:rsid w:val="1FB7D3CD"/>
    <w:rsid w:val="1FB913FE"/>
    <w:rsid w:val="1FBB33C8"/>
    <w:rsid w:val="1FC35DD8"/>
    <w:rsid w:val="1FC57DA2"/>
    <w:rsid w:val="1FC63DF0"/>
    <w:rsid w:val="1FC92E98"/>
    <w:rsid w:val="1FC97167"/>
    <w:rsid w:val="1FD04999"/>
    <w:rsid w:val="1FD06747"/>
    <w:rsid w:val="1FD2426D"/>
    <w:rsid w:val="1FD60202"/>
    <w:rsid w:val="1FD71884"/>
    <w:rsid w:val="1FD91AA0"/>
    <w:rsid w:val="1FD955FC"/>
    <w:rsid w:val="1FDA1374"/>
    <w:rsid w:val="1FEB3581"/>
    <w:rsid w:val="1FF02384"/>
    <w:rsid w:val="1FF22B62"/>
    <w:rsid w:val="1FF561AE"/>
    <w:rsid w:val="1FF64400"/>
    <w:rsid w:val="1FF93EF0"/>
    <w:rsid w:val="200A3A07"/>
    <w:rsid w:val="200D1749"/>
    <w:rsid w:val="200D34F7"/>
    <w:rsid w:val="200D799B"/>
    <w:rsid w:val="200F7270"/>
    <w:rsid w:val="20121328"/>
    <w:rsid w:val="20135B88"/>
    <w:rsid w:val="20146634"/>
    <w:rsid w:val="20176700"/>
    <w:rsid w:val="201B3E66"/>
    <w:rsid w:val="201C198C"/>
    <w:rsid w:val="201E3957"/>
    <w:rsid w:val="2020147D"/>
    <w:rsid w:val="202076CF"/>
    <w:rsid w:val="20210D51"/>
    <w:rsid w:val="20232D1B"/>
    <w:rsid w:val="20246A20"/>
    <w:rsid w:val="20257FFE"/>
    <w:rsid w:val="20270A5D"/>
    <w:rsid w:val="202A22FB"/>
    <w:rsid w:val="202F16C0"/>
    <w:rsid w:val="202F7912"/>
    <w:rsid w:val="2031368A"/>
    <w:rsid w:val="20315438"/>
    <w:rsid w:val="203767C6"/>
    <w:rsid w:val="203E1903"/>
    <w:rsid w:val="2040375A"/>
    <w:rsid w:val="204038CD"/>
    <w:rsid w:val="204809D3"/>
    <w:rsid w:val="204A474C"/>
    <w:rsid w:val="204C4020"/>
    <w:rsid w:val="204F58BE"/>
    <w:rsid w:val="20517888"/>
    <w:rsid w:val="20547378"/>
    <w:rsid w:val="20551002"/>
    <w:rsid w:val="205630F0"/>
    <w:rsid w:val="205B0D8E"/>
    <w:rsid w:val="205B2637"/>
    <w:rsid w:val="20621A95"/>
    <w:rsid w:val="206770AC"/>
    <w:rsid w:val="206C021E"/>
    <w:rsid w:val="20743577"/>
    <w:rsid w:val="207B4905"/>
    <w:rsid w:val="207D68CF"/>
    <w:rsid w:val="207E43F5"/>
    <w:rsid w:val="208377A1"/>
    <w:rsid w:val="20850611"/>
    <w:rsid w:val="208D63E6"/>
    <w:rsid w:val="208F6602"/>
    <w:rsid w:val="20910AF8"/>
    <w:rsid w:val="2096173F"/>
    <w:rsid w:val="2097794F"/>
    <w:rsid w:val="20983709"/>
    <w:rsid w:val="20992FDD"/>
    <w:rsid w:val="209B0B03"/>
    <w:rsid w:val="209B6D55"/>
    <w:rsid w:val="209D2ACD"/>
    <w:rsid w:val="20A007AD"/>
    <w:rsid w:val="20A200E4"/>
    <w:rsid w:val="20A57BD4"/>
    <w:rsid w:val="20AA343C"/>
    <w:rsid w:val="20AA51EA"/>
    <w:rsid w:val="20AF2801"/>
    <w:rsid w:val="20B120D5"/>
    <w:rsid w:val="20B56069"/>
    <w:rsid w:val="20B83463"/>
    <w:rsid w:val="20B87907"/>
    <w:rsid w:val="20C242E2"/>
    <w:rsid w:val="20C81257"/>
    <w:rsid w:val="20CA3197"/>
    <w:rsid w:val="20CC01D5"/>
    <w:rsid w:val="20D504B9"/>
    <w:rsid w:val="20D83B05"/>
    <w:rsid w:val="20DD7A5E"/>
    <w:rsid w:val="20DF3AA8"/>
    <w:rsid w:val="20DF4E94"/>
    <w:rsid w:val="20E00C0C"/>
    <w:rsid w:val="20E22BD6"/>
    <w:rsid w:val="20EA55E7"/>
    <w:rsid w:val="20EE50D7"/>
    <w:rsid w:val="20F52909"/>
    <w:rsid w:val="20FC2382"/>
    <w:rsid w:val="20FC3C98"/>
    <w:rsid w:val="20FD1563"/>
    <w:rsid w:val="20FD17BE"/>
    <w:rsid w:val="20FD356C"/>
    <w:rsid w:val="21005984"/>
    <w:rsid w:val="210508C0"/>
    <w:rsid w:val="21090163"/>
    <w:rsid w:val="2112296A"/>
    <w:rsid w:val="2120725A"/>
    <w:rsid w:val="21221225"/>
    <w:rsid w:val="21246D4B"/>
    <w:rsid w:val="21262AC3"/>
    <w:rsid w:val="212831DD"/>
    <w:rsid w:val="21294B90"/>
    <w:rsid w:val="21336F8E"/>
    <w:rsid w:val="21352D06"/>
    <w:rsid w:val="21354AB4"/>
    <w:rsid w:val="21366A7E"/>
    <w:rsid w:val="213A656E"/>
    <w:rsid w:val="213F3B84"/>
    <w:rsid w:val="21401046"/>
    <w:rsid w:val="2152696C"/>
    <w:rsid w:val="21555156"/>
    <w:rsid w:val="215B0293"/>
    <w:rsid w:val="215C64E4"/>
    <w:rsid w:val="215D225D"/>
    <w:rsid w:val="215E3D30"/>
    <w:rsid w:val="216058A9"/>
    <w:rsid w:val="21611D4D"/>
    <w:rsid w:val="21654F10"/>
    <w:rsid w:val="216B2BCB"/>
    <w:rsid w:val="216D6944"/>
    <w:rsid w:val="216E446A"/>
    <w:rsid w:val="216E7FC6"/>
    <w:rsid w:val="21731A80"/>
    <w:rsid w:val="21747CD2"/>
    <w:rsid w:val="21771570"/>
    <w:rsid w:val="21787096"/>
    <w:rsid w:val="217952E8"/>
    <w:rsid w:val="217D46AD"/>
    <w:rsid w:val="217F6677"/>
    <w:rsid w:val="2181419D"/>
    <w:rsid w:val="21894E00"/>
    <w:rsid w:val="218B501C"/>
    <w:rsid w:val="218E0668"/>
    <w:rsid w:val="218E6E90"/>
    <w:rsid w:val="218E7DB3"/>
    <w:rsid w:val="21957C48"/>
    <w:rsid w:val="219A525F"/>
    <w:rsid w:val="219D08AB"/>
    <w:rsid w:val="219F0AC7"/>
    <w:rsid w:val="21A1039B"/>
    <w:rsid w:val="21A32365"/>
    <w:rsid w:val="21A460DD"/>
    <w:rsid w:val="21A734D8"/>
    <w:rsid w:val="21AE1E97"/>
    <w:rsid w:val="21B31E7D"/>
    <w:rsid w:val="21B52099"/>
    <w:rsid w:val="21B7196D"/>
    <w:rsid w:val="21B856E5"/>
    <w:rsid w:val="21B87493"/>
    <w:rsid w:val="21BA320B"/>
    <w:rsid w:val="21BA76AF"/>
    <w:rsid w:val="21C347B6"/>
    <w:rsid w:val="21C66054"/>
    <w:rsid w:val="21C94665"/>
    <w:rsid w:val="21D56297"/>
    <w:rsid w:val="21D7200F"/>
    <w:rsid w:val="21D7362A"/>
    <w:rsid w:val="21D83757"/>
    <w:rsid w:val="21D839C3"/>
    <w:rsid w:val="21D95D87"/>
    <w:rsid w:val="21DF255E"/>
    <w:rsid w:val="21E15F2C"/>
    <w:rsid w:val="21E31D71"/>
    <w:rsid w:val="21E32762"/>
    <w:rsid w:val="21E36C06"/>
    <w:rsid w:val="21E52F5E"/>
    <w:rsid w:val="21E62252"/>
    <w:rsid w:val="21E8421C"/>
    <w:rsid w:val="21E85FCA"/>
    <w:rsid w:val="21EA7F94"/>
    <w:rsid w:val="21ED35E0"/>
    <w:rsid w:val="21F52495"/>
    <w:rsid w:val="21F66939"/>
    <w:rsid w:val="21F932BA"/>
    <w:rsid w:val="21F93D33"/>
    <w:rsid w:val="21FA56F9"/>
    <w:rsid w:val="21FB084C"/>
    <w:rsid w:val="21FC3824"/>
    <w:rsid w:val="21FF50C2"/>
    <w:rsid w:val="22001566"/>
    <w:rsid w:val="22023698"/>
    <w:rsid w:val="220B7F0B"/>
    <w:rsid w:val="220C363D"/>
    <w:rsid w:val="22147904"/>
    <w:rsid w:val="22162B37"/>
    <w:rsid w:val="221E7C3E"/>
    <w:rsid w:val="22244B28"/>
    <w:rsid w:val="22284C0D"/>
    <w:rsid w:val="222D1C2F"/>
    <w:rsid w:val="22325497"/>
    <w:rsid w:val="223A6479"/>
    <w:rsid w:val="22407BB4"/>
    <w:rsid w:val="22425151"/>
    <w:rsid w:val="22431452"/>
    <w:rsid w:val="22433200"/>
    <w:rsid w:val="2245341D"/>
    <w:rsid w:val="22456F79"/>
    <w:rsid w:val="224A0A33"/>
    <w:rsid w:val="22511DC1"/>
    <w:rsid w:val="225418B2"/>
    <w:rsid w:val="22573150"/>
    <w:rsid w:val="22576CAC"/>
    <w:rsid w:val="22590C76"/>
    <w:rsid w:val="22592A24"/>
    <w:rsid w:val="225A62E9"/>
    <w:rsid w:val="22603DB2"/>
    <w:rsid w:val="22623FCE"/>
    <w:rsid w:val="22664983"/>
    <w:rsid w:val="22673393"/>
    <w:rsid w:val="226A4C31"/>
    <w:rsid w:val="22743D02"/>
    <w:rsid w:val="2274785E"/>
    <w:rsid w:val="227956D0"/>
    <w:rsid w:val="227B5090"/>
    <w:rsid w:val="228329E6"/>
    <w:rsid w:val="22855306"/>
    <w:rsid w:val="228D0920"/>
    <w:rsid w:val="22965A26"/>
    <w:rsid w:val="22981614"/>
    <w:rsid w:val="229B0629"/>
    <w:rsid w:val="22A04AF7"/>
    <w:rsid w:val="22A15F6F"/>
    <w:rsid w:val="22A30143"/>
    <w:rsid w:val="22A6463F"/>
    <w:rsid w:val="22AF0896"/>
    <w:rsid w:val="22B10AB2"/>
    <w:rsid w:val="22B12860"/>
    <w:rsid w:val="22B52CA4"/>
    <w:rsid w:val="22B755C4"/>
    <w:rsid w:val="22BB723B"/>
    <w:rsid w:val="22BD1205"/>
    <w:rsid w:val="22C469F4"/>
    <w:rsid w:val="22C75BE0"/>
    <w:rsid w:val="22C81958"/>
    <w:rsid w:val="22CB4817"/>
    <w:rsid w:val="22CF2CE6"/>
    <w:rsid w:val="22D0247C"/>
    <w:rsid w:val="22D16A5E"/>
    <w:rsid w:val="22D327D6"/>
    <w:rsid w:val="22D447A0"/>
    <w:rsid w:val="22D476BC"/>
    <w:rsid w:val="22D60519"/>
    <w:rsid w:val="22D622C7"/>
    <w:rsid w:val="22DA1DB7"/>
    <w:rsid w:val="22DB49BE"/>
    <w:rsid w:val="22DB78DD"/>
    <w:rsid w:val="22DF0881"/>
    <w:rsid w:val="22E03145"/>
    <w:rsid w:val="22E06CA1"/>
    <w:rsid w:val="22E542B8"/>
    <w:rsid w:val="22E625CE"/>
    <w:rsid w:val="22EB3FC4"/>
    <w:rsid w:val="22EC5646"/>
    <w:rsid w:val="22ED5FDF"/>
    <w:rsid w:val="22EE13BE"/>
    <w:rsid w:val="22EE5862"/>
    <w:rsid w:val="22EE67C3"/>
    <w:rsid w:val="22EF3388"/>
    <w:rsid w:val="22F8223D"/>
    <w:rsid w:val="22FA4207"/>
    <w:rsid w:val="22FB5429"/>
    <w:rsid w:val="22FF181D"/>
    <w:rsid w:val="22FF7A6F"/>
    <w:rsid w:val="2302130E"/>
    <w:rsid w:val="23045086"/>
    <w:rsid w:val="2309444A"/>
    <w:rsid w:val="230C5CE8"/>
    <w:rsid w:val="230E241E"/>
    <w:rsid w:val="231150AD"/>
    <w:rsid w:val="2318643B"/>
    <w:rsid w:val="231921B3"/>
    <w:rsid w:val="231B2164"/>
    <w:rsid w:val="23241284"/>
    <w:rsid w:val="23294AEC"/>
    <w:rsid w:val="232E3EB1"/>
    <w:rsid w:val="23304328"/>
    <w:rsid w:val="233174FD"/>
    <w:rsid w:val="23337719"/>
    <w:rsid w:val="23353491"/>
    <w:rsid w:val="2335780A"/>
    <w:rsid w:val="2338088B"/>
    <w:rsid w:val="233A4603"/>
    <w:rsid w:val="233D2346"/>
    <w:rsid w:val="23452FA8"/>
    <w:rsid w:val="23472198"/>
    <w:rsid w:val="234731C4"/>
    <w:rsid w:val="234E6301"/>
    <w:rsid w:val="23503E27"/>
    <w:rsid w:val="23533917"/>
    <w:rsid w:val="23566F63"/>
    <w:rsid w:val="23582CDC"/>
    <w:rsid w:val="235D592E"/>
    <w:rsid w:val="23623B5A"/>
    <w:rsid w:val="236553F8"/>
    <w:rsid w:val="23671171"/>
    <w:rsid w:val="2369313B"/>
    <w:rsid w:val="236A7E4F"/>
    <w:rsid w:val="236E69A3"/>
    <w:rsid w:val="23771AA6"/>
    <w:rsid w:val="237815D0"/>
    <w:rsid w:val="237C4C1C"/>
    <w:rsid w:val="237E524F"/>
    <w:rsid w:val="237F295E"/>
    <w:rsid w:val="237F470C"/>
    <w:rsid w:val="238241FC"/>
    <w:rsid w:val="23841D23"/>
    <w:rsid w:val="23855415"/>
    <w:rsid w:val="238639E1"/>
    <w:rsid w:val="23884F46"/>
    <w:rsid w:val="23887A65"/>
    <w:rsid w:val="238B30B1"/>
    <w:rsid w:val="238C6E29"/>
    <w:rsid w:val="238E494F"/>
    <w:rsid w:val="23963804"/>
    <w:rsid w:val="239A1546"/>
    <w:rsid w:val="239B0E1A"/>
    <w:rsid w:val="239C52BE"/>
    <w:rsid w:val="239E64FA"/>
    <w:rsid w:val="23A10B26"/>
    <w:rsid w:val="23A221A9"/>
    <w:rsid w:val="23A26BB1"/>
    <w:rsid w:val="23A61C99"/>
    <w:rsid w:val="23A81EB5"/>
    <w:rsid w:val="23A93537"/>
    <w:rsid w:val="23AC3027"/>
    <w:rsid w:val="23AE6D9F"/>
    <w:rsid w:val="23B048C6"/>
    <w:rsid w:val="23B32608"/>
    <w:rsid w:val="23B56380"/>
    <w:rsid w:val="23B73EA6"/>
    <w:rsid w:val="23BD5235"/>
    <w:rsid w:val="23BD6FE3"/>
    <w:rsid w:val="23BF184A"/>
    <w:rsid w:val="23C6058D"/>
    <w:rsid w:val="23C977F5"/>
    <w:rsid w:val="23CB13B1"/>
    <w:rsid w:val="23CD36CA"/>
    <w:rsid w:val="23D00E9D"/>
    <w:rsid w:val="23D031BA"/>
    <w:rsid w:val="23D22A8E"/>
    <w:rsid w:val="23D36806"/>
    <w:rsid w:val="23DA4D4A"/>
    <w:rsid w:val="23E17175"/>
    <w:rsid w:val="23E26A49"/>
    <w:rsid w:val="23E427C1"/>
    <w:rsid w:val="23E6478B"/>
    <w:rsid w:val="23EA1113"/>
    <w:rsid w:val="23EE3640"/>
    <w:rsid w:val="23EE749A"/>
    <w:rsid w:val="23F004AE"/>
    <w:rsid w:val="23F01166"/>
    <w:rsid w:val="23F13E30"/>
    <w:rsid w:val="23F549CE"/>
    <w:rsid w:val="23F70746"/>
    <w:rsid w:val="23F8626D"/>
    <w:rsid w:val="23F956E8"/>
    <w:rsid w:val="23FA3D93"/>
    <w:rsid w:val="23FB6C25"/>
    <w:rsid w:val="23FF1005"/>
    <w:rsid w:val="23FF13A9"/>
    <w:rsid w:val="24003A9F"/>
    <w:rsid w:val="24007AC0"/>
    <w:rsid w:val="240510B5"/>
    <w:rsid w:val="24053736"/>
    <w:rsid w:val="2405635C"/>
    <w:rsid w:val="2406098A"/>
    <w:rsid w:val="24062738"/>
    <w:rsid w:val="24101808"/>
    <w:rsid w:val="24110012"/>
    <w:rsid w:val="24141D9B"/>
    <w:rsid w:val="241874D8"/>
    <w:rsid w:val="241B7146"/>
    <w:rsid w:val="24211BB6"/>
    <w:rsid w:val="242157C3"/>
    <w:rsid w:val="24226FD6"/>
    <w:rsid w:val="242552B4"/>
    <w:rsid w:val="24286B52"/>
    <w:rsid w:val="242B6B92"/>
    <w:rsid w:val="242E1C8E"/>
    <w:rsid w:val="243026CB"/>
    <w:rsid w:val="24305A06"/>
    <w:rsid w:val="24322753"/>
    <w:rsid w:val="24366723"/>
    <w:rsid w:val="243C43AB"/>
    <w:rsid w:val="243E0123"/>
    <w:rsid w:val="243E6375"/>
    <w:rsid w:val="243F3E9B"/>
    <w:rsid w:val="244119C2"/>
    <w:rsid w:val="24442EA8"/>
    <w:rsid w:val="2446522A"/>
    <w:rsid w:val="244D65B8"/>
    <w:rsid w:val="244E0A16"/>
    <w:rsid w:val="244E1F35"/>
    <w:rsid w:val="245060A9"/>
    <w:rsid w:val="24537E66"/>
    <w:rsid w:val="245416F5"/>
    <w:rsid w:val="2455546D"/>
    <w:rsid w:val="245B0CD5"/>
    <w:rsid w:val="245C67FB"/>
    <w:rsid w:val="245E07C6"/>
    <w:rsid w:val="245E2574"/>
    <w:rsid w:val="246456B0"/>
    <w:rsid w:val="24653902"/>
    <w:rsid w:val="24681644"/>
    <w:rsid w:val="246833F2"/>
    <w:rsid w:val="246B6A3F"/>
    <w:rsid w:val="246E29A5"/>
    <w:rsid w:val="24705690"/>
    <w:rsid w:val="24783A57"/>
    <w:rsid w:val="247955FF"/>
    <w:rsid w:val="247C6E9E"/>
    <w:rsid w:val="24844BCB"/>
    <w:rsid w:val="24857B00"/>
    <w:rsid w:val="24893284"/>
    <w:rsid w:val="248D2E59"/>
    <w:rsid w:val="248E455B"/>
    <w:rsid w:val="248F6BD1"/>
    <w:rsid w:val="2492046F"/>
    <w:rsid w:val="24942439"/>
    <w:rsid w:val="249951D4"/>
    <w:rsid w:val="24A24B56"/>
    <w:rsid w:val="24A3267C"/>
    <w:rsid w:val="24A361D8"/>
    <w:rsid w:val="24A36384"/>
    <w:rsid w:val="24A73F1B"/>
    <w:rsid w:val="24B16B47"/>
    <w:rsid w:val="24B228BF"/>
    <w:rsid w:val="24B25414"/>
    <w:rsid w:val="24B87EC3"/>
    <w:rsid w:val="24C34ACD"/>
    <w:rsid w:val="24C653B0"/>
    <w:rsid w:val="24CC1BD3"/>
    <w:rsid w:val="24D729BA"/>
    <w:rsid w:val="24D8583F"/>
    <w:rsid w:val="24D942F0"/>
    <w:rsid w:val="24D9609E"/>
    <w:rsid w:val="24E0567E"/>
    <w:rsid w:val="24E63F68"/>
    <w:rsid w:val="24E8008F"/>
    <w:rsid w:val="24EF2560"/>
    <w:rsid w:val="24F00EBB"/>
    <w:rsid w:val="24F1163A"/>
    <w:rsid w:val="24F133E8"/>
    <w:rsid w:val="24F23999"/>
    <w:rsid w:val="24F609FE"/>
    <w:rsid w:val="24F66C50"/>
    <w:rsid w:val="24FA6740"/>
    <w:rsid w:val="24FE78B3"/>
    <w:rsid w:val="24FF332C"/>
    <w:rsid w:val="2500362B"/>
    <w:rsid w:val="25010871"/>
    <w:rsid w:val="25021151"/>
    <w:rsid w:val="25056E93"/>
    <w:rsid w:val="250637EA"/>
    <w:rsid w:val="250839DC"/>
    <w:rsid w:val="250D7AF6"/>
    <w:rsid w:val="250F386E"/>
    <w:rsid w:val="250F3A8F"/>
    <w:rsid w:val="25113A8A"/>
    <w:rsid w:val="25137802"/>
    <w:rsid w:val="25153F55"/>
    <w:rsid w:val="251C5778"/>
    <w:rsid w:val="251D242F"/>
    <w:rsid w:val="25207829"/>
    <w:rsid w:val="252512E3"/>
    <w:rsid w:val="25295740"/>
    <w:rsid w:val="252A06A8"/>
    <w:rsid w:val="252C08C4"/>
    <w:rsid w:val="25315EDA"/>
    <w:rsid w:val="25382DC5"/>
    <w:rsid w:val="253908EB"/>
    <w:rsid w:val="253A4D8F"/>
    <w:rsid w:val="253B4663"/>
    <w:rsid w:val="253D487F"/>
    <w:rsid w:val="253F23A5"/>
    <w:rsid w:val="253F4153"/>
    <w:rsid w:val="25401C79"/>
    <w:rsid w:val="25401FA2"/>
    <w:rsid w:val="25415B64"/>
    <w:rsid w:val="25453733"/>
    <w:rsid w:val="254E4396"/>
    <w:rsid w:val="25553977"/>
    <w:rsid w:val="255B6AB3"/>
    <w:rsid w:val="255D51B3"/>
    <w:rsid w:val="255F2F71"/>
    <w:rsid w:val="2560231B"/>
    <w:rsid w:val="25626093"/>
    <w:rsid w:val="25642377"/>
    <w:rsid w:val="25643A3C"/>
    <w:rsid w:val="256B669F"/>
    <w:rsid w:val="256C6F12"/>
    <w:rsid w:val="257D111F"/>
    <w:rsid w:val="257E0BD5"/>
    <w:rsid w:val="25826736"/>
    <w:rsid w:val="2584600A"/>
    <w:rsid w:val="25851E17"/>
    <w:rsid w:val="258B55EA"/>
    <w:rsid w:val="258E6E89"/>
    <w:rsid w:val="25902C01"/>
    <w:rsid w:val="259326F1"/>
    <w:rsid w:val="2593449F"/>
    <w:rsid w:val="25950217"/>
    <w:rsid w:val="259A582D"/>
    <w:rsid w:val="259B403D"/>
    <w:rsid w:val="259F2E44"/>
    <w:rsid w:val="25A14E0E"/>
    <w:rsid w:val="25A42208"/>
    <w:rsid w:val="25A62424"/>
    <w:rsid w:val="25A80C2A"/>
    <w:rsid w:val="25A95A70"/>
    <w:rsid w:val="25AB0E64"/>
    <w:rsid w:val="25AB3597"/>
    <w:rsid w:val="25AC5561"/>
    <w:rsid w:val="25AE3087"/>
    <w:rsid w:val="25AF56A8"/>
    <w:rsid w:val="25B01965"/>
    <w:rsid w:val="25BD32CA"/>
    <w:rsid w:val="25BF5294"/>
    <w:rsid w:val="25CB59E7"/>
    <w:rsid w:val="25CB784F"/>
    <w:rsid w:val="25CE54D7"/>
    <w:rsid w:val="25D33651"/>
    <w:rsid w:val="25D36F91"/>
    <w:rsid w:val="25D54AB7"/>
    <w:rsid w:val="25D725DE"/>
    <w:rsid w:val="25D97F3F"/>
    <w:rsid w:val="25DE74C5"/>
    <w:rsid w:val="25DF76E4"/>
    <w:rsid w:val="25E1520A"/>
    <w:rsid w:val="25E847EB"/>
    <w:rsid w:val="25EB7E37"/>
    <w:rsid w:val="25EE7927"/>
    <w:rsid w:val="25EF3DCB"/>
    <w:rsid w:val="25EF7694"/>
    <w:rsid w:val="25F27417"/>
    <w:rsid w:val="25F34F3E"/>
    <w:rsid w:val="25F767DC"/>
    <w:rsid w:val="25FE6505"/>
    <w:rsid w:val="260D4251"/>
    <w:rsid w:val="26103D41"/>
    <w:rsid w:val="26121868"/>
    <w:rsid w:val="26143832"/>
    <w:rsid w:val="261455E0"/>
    <w:rsid w:val="26153106"/>
    <w:rsid w:val="26154EB4"/>
    <w:rsid w:val="26176E7E"/>
    <w:rsid w:val="261E52E3"/>
    <w:rsid w:val="261F21D6"/>
    <w:rsid w:val="26243349"/>
    <w:rsid w:val="262477ED"/>
    <w:rsid w:val="26282E39"/>
    <w:rsid w:val="26284BE7"/>
    <w:rsid w:val="2629095F"/>
    <w:rsid w:val="262C1E5A"/>
    <w:rsid w:val="262E1558"/>
    <w:rsid w:val="26301CEE"/>
    <w:rsid w:val="263317DE"/>
    <w:rsid w:val="26345C82"/>
    <w:rsid w:val="26377520"/>
    <w:rsid w:val="263A2B6C"/>
    <w:rsid w:val="263C4B36"/>
    <w:rsid w:val="263E08AF"/>
    <w:rsid w:val="263F63D5"/>
    <w:rsid w:val="26414749"/>
    <w:rsid w:val="26431A21"/>
    <w:rsid w:val="264659B5"/>
    <w:rsid w:val="26485289"/>
    <w:rsid w:val="264A1001"/>
    <w:rsid w:val="264D28A0"/>
    <w:rsid w:val="26502390"/>
    <w:rsid w:val="26555BF8"/>
    <w:rsid w:val="26647BE9"/>
    <w:rsid w:val="26663961"/>
    <w:rsid w:val="2667602D"/>
    <w:rsid w:val="266B0F78"/>
    <w:rsid w:val="2674607E"/>
    <w:rsid w:val="26751DF6"/>
    <w:rsid w:val="26792BCF"/>
    <w:rsid w:val="26795443"/>
    <w:rsid w:val="26802C75"/>
    <w:rsid w:val="26804A23"/>
    <w:rsid w:val="2681079B"/>
    <w:rsid w:val="26826FA0"/>
    <w:rsid w:val="268326A4"/>
    <w:rsid w:val="26832765"/>
    <w:rsid w:val="2685203A"/>
    <w:rsid w:val="26865DB2"/>
    <w:rsid w:val="26887D7C"/>
    <w:rsid w:val="268A58A2"/>
    <w:rsid w:val="26910426"/>
    <w:rsid w:val="2691152F"/>
    <w:rsid w:val="269229A8"/>
    <w:rsid w:val="26923DF3"/>
    <w:rsid w:val="26951A01"/>
    <w:rsid w:val="2695563F"/>
    <w:rsid w:val="26955D16"/>
    <w:rsid w:val="26962499"/>
    <w:rsid w:val="26976211"/>
    <w:rsid w:val="26A10E3D"/>
    <w:rsid w:val="26A12BEB"/>
    <w:rsid w:val="26A5092E"/>
    <w:rsid w:val="26A526DC"/>
    <w:rsid w:val="26A76454"/>
    <w:rsid w:val="26B050DD"/>
    <w:rsid w:val="26B4761D"/>
    <w:rsid w:val="26B648E9"/>
    <w:rsid w:val="26B80661"/>
    <w:rsid w:val="26B807B0"/>
    <w:rsid w:val="26B91CE3"/>
    <w:rsid w:val="26BC1791"/>
    <w:rsid w:val="26BE53A0"/>
    <w:rsid w:val="26C411B8"/>
    <w:rsid w:val="26C54B2C"/>
    <w:rsid w:val="26C63500"/>
    <w:rsid w:val="26C80178"/>
    <w:rsid w:val="26C863CA"/>
    <w:rsid w:val="26D0702D"/>
    <w:rsid w:val="26D351FF"/>
    <w:rsid w:val="26D42FC1"/>
    <w:rsid w:val="26D54EDE"/>
    <w:rsid w:val="26D74EF5"/>
    <w:rsid w:val="26DB60FD"/>
    <w:rsid w:val="26E01966"/>
    <w:rsid w:val="26E256DE"/>
    <w:rsid w:val="26E36D60"/>
    <w:rsid w:val="26EB3E67"/>
    <w:rsid w:val="26EF1BA9"/>
    <w:rsid w:val="26F15921"/>
    <w:rsid w:val="26F23447"/>
    <w:rsid w:val="26F471BF"/>
    <w:rsid w:val="26F7280B"/>
    <w:rsid w:val="26FE003E"/>
    <w:rsid w:val="26FF43D5"/>
    <w:rsid w:val="27000A2F"/>
    <w:rsid w:val="27054F28"/>
    <w:rsid w:val="270A69E3"/>
    <w:rsid w:val="271138CD"/>
    <w:rsid w:val="27124B8F"/>
    <w:rsid w:val="27133AE9"/>
    <w:rsid w:val="2714160F"/>
    <w:rsid w:val="27167136"/>
    <w:rsid w:val="27194E78"/>
    <w:rsid w:val="27197B4D"/>
    <w:rsid w:val="271B299E"/>
    <w:rsid w:val="271D4009"/>
    <w:rsid w:val="27213C93"/>
    <w:rsid w:val="27241A11"/>
    <w:rsid w:val="2725381D"/>
    <w:rsid w:val="272730F1"/>
    <w:rsid w:val="272A2BE1"/>
    <w:rsid w:val="272A498F"/>
    <w:rsid w:val="272C0707"/>
    <w:rsid w:val="272D447F"/>
    <w:rsid w:val="2730579B"/>
    <w:rsid w:val="27335F39"/>
    <w:rsid w:val="27337CE7"/>
    <w:rsid w:val="27345D06"/>
    <w:rsid w:val="27362469"/>
    <w:rsid w:val="27363334"/>
    <w:rsid w:val="27374AC8"/>
    <w:rsid w:val="273F48DE"/>
    <w:rsid w:val="274243CE"/>
    <w:rsid w:val="2742617D"/>
    <w:rsid w:val="274417F4"/>
    <w:rsid w:val="274C0DA9"/>
    <w:rsid w:val="274C2B57"/>
    <w:rsid w:val="274C6FFB"/>
    <w:rsid w:val="274F2647"/>
    <w:rsid w:val="2751016E"/>
    <w:rsid w:val="27514612"/>
    <w:rsid w:val="2753527B"/>
    <w:rsid w:val="27547C5E"/>
    <w:rsid w:val="27561C28"/>
    <w:rsid w:val="276460F3"/>
    <w:rsid w:val="27651E6B"/>
    <w:rsid w:val="27661630"/>
    <w:rsid w:val="27661F37"/>
    <w:rsid w:val="27673E35"/>
    <w:rsid w:val="27691F03"/>
    <w:rsid w:val="276C4FA7"/>
    <w:rsid w:val="27743E5C"/>
    <w:rsid w:val="27765E26"/>
    <w:rsid w:val="277747BA"/>
    <w:rsid w:val="277771ED"/>
    <w:rsid w:val="277B6EE9"/>
    <w:rsid w:val="277E5F8D"/>
    <w:rsid w:val="277F117F"/>
    <w:rsid w:val="27873B8F"/>
    <w:rsid w:val="27893DAB"/>
    <w:rsid w:val="278A18D2"/>
    <w:rsid w:val="27985D9D"/>
    <w:rsid w:val="27986411"/>
    <w:rsid w:val="27991704"/>
    <w:rsid w:val="279A12BC"/>
    <w:rsid w:val="279B66F3"/>
    <w:rsid w:val="279E37A9"/>
    <w:rsid w:val="279F537D"/>
    <w:rsid w:val="27A6495D"/>
    <w:rsid w:val="27AA5AD0"/>
    <w:rsid w:val="27AB1C8B"/>
    <w:rsid w:val="27AB1F74"/>
    <w:rsid w:val="27AC1848"/>
    <w:rsid w:val="27B141ED"/>
    <w:rsid w:val="27B759C7"/>
    <w:rsid w:val="27BA5D13"/>
    <w:rsid w:val="27BB0366"/>
    <w:rsid w:val="27BF3329"/>
    <w:rsid w:val="27C711DE"/>
    <w:rsid w:val="27C748D4"/>
    <w:rsid w:val="27C941A8"/>
    <w:rsid w:val="27CB7B5F"/>
    <w:rsid w:val="27D112AE"/>
    <w:rsid w:val="27D35027"/>
    <w:rsid w:val="27D367FF"/>
    <w:rsid w:val="27D36DD5"/>
    <w:rsid w:val="27DC212D"/>
    <w:rsid w:val="27E15995"/>
    <w:rsid w:val="27E234BC"/>
    <w:rsid w:val="27E73A20"/>
    <w:rsid w:val="27E86D24"/>
    <w:rsid w:val="27EB2370"/>
    <w:rsid w:val="27EB411E"/>
    <w:rsid w:val="27F07987"/>
    <w:rsid w:val="27F21951"/>
    <w:rsid w:val="27F76F95"/>
    <w:rsid w:val="27F938DF"/>
    <w:rsid w:val="27FD78E1"/>
    <w:rsid w:val="27FF3135"/>
    <w:rsid w:val="27FF7BCA"/>
    <w:rsid w:val="280451E0"/>
    <w:rsid w:val="28094ECF"/>
    <w:rsid w:val="280C22E7"/>
    <w:rsid w:val="280E2503"/>
    <w:rsid w:val="280E42B1"/>
    <w:rsid w:val="2813554B"/>
    <w:rsid w:val="281921C7"/>
    <w:rsid w:val="281B3F6A"/>
    <w:rsid w:val="281C4C20"/>
    <w:rsid w:val="281C5338"/>
    <w:rsid w:val="281C7016"/>
    <w:rsid w:val="281F026C"/>
    <w:rsid w:val="281F64BE"/>
    <w:rsid w:val="28201707"/>
    <w:rsid w:val="28212236"/>
    <w:rsid w:val="28213FE4"/>
    <w:rsid w:val="28235FAE"/>
    <w:rsid w:val="282633A8"/>
    <w:rsid w:val="2829733C"/>
    <w:rsid w:val="282F43ED"/>
    <w:rsid w:val="28314492"/>
    <w:rsid w:val="28321D4D"/>
    <w:rsid w:val="28327F9F"/>
    <w:rsid w:val="283755B5"/>
    <w:rsid w:val="28377363"/>
    <w:rsid w:val="28381E37"/>
    <w:rsid w:val="283858CD"/>
    <w:rsid w:val="28441A80"/>
    <w:rsid w:val="284D4DD9"/>
    <w:rsid w:val="28500425"/>
    <w:rsid w:val="28541883"/>
    <w:rsid w:val="285443B9"/>
    <w:rsid w:val="285A74F6"/>
    <w:rsid w:val="28642123"/>
    <w:rsid w:val="286607CE"/>
    <w:rsid w:val="28687E65"/>
    <w:rsid w:val="286B2E69"/>
    <w:rsid w:val="286D0FD7"/>
    <w:rsid w:val="28700AC7"/>
    <w:rsid w:val="287405B8"/>
    <w:rsid w:val="28802DB8"/>
    <w:rsid w:val="288140D7"/>
    <w:rsid w:val="28814A83"/>
    <w:rsid w:val="288822B5"/>
    <w:rsid w:val="288862A3"/>
    <w:rsid w:val="288872F0"/>
    <w:rsid w:val="28887BBF"/>
    <w:rsid w:val="288A7DDB"/>
    <w:rsid w:val="288B3B53"/>
    <w:rsid w:val="288D78CB"/>
    <w:rsid w:val="288E0F4E"/>
    <w:rsid w:val="28904CC6"/>
    <w:rsid w:val="289522DC"/>
    <w:rsid w:val="2899040C"/>
    <w:rsid w:val="289A5B44"/>
    <w:rsid w:val="289E2120"/>
    <w:rsid w:val="28A006AE"/>
    <w:rsid w:val="28A41065"/>
    <w:rsid w:val="28A569C3"/>
    <w:rsid w:val="28A644E9"/>
    <w:rsid w:val="28A80261"/>
    <w:rsid w:val="28AA3FD9"/>
    <w:rsid w:val="28AD5878"/>
    <w:rsid w:val="28B27332"/>
    <w:rsid w:val="28B409B4"/>
    <w:rsid w:val="28B74948"/>
    <w:rsid w:val="28B766F6"/>
    <w:rsid w:val="28B86934"/>
    <w:rsid w:val="28B8734B"/>
    <w:rsid w:val="28BB61E6"/>
    <w:rsid w:val="28C11323"/>
    <w:rsid w:val="28C6605E"/>
    <w:rsid w:val="28C66939"/>
    <w:rsid w:val="28C826B1"/>
    <w:rsid w:val="28D528A9"/>
    <w:rsid w:val="28DE1ED5"/>
    <w:rsid w:val="28E079FB"/>
    <w:rsid w:val="28E25E47"/>
    <w:rsid w:val="28E31299"/>
    <w:rsid w:val="28E3573D"/>
    <w:rsid w:val="28E514B5"/>
    <w:rsid w:val="28E55011"/>
    <w:rsid w:val="28E76930"/>
    <w:rsid w:val="28EF7C3E"/>
    <w:rsid w:val="28F17E5A"/>
    <w:rsid w:val="28F2772E"/>
    <w:rsid w:val="28F45255"/>
    <w:rsid w:val="28F87B5E"/>
    <w:rsid w:val="28FE4325"/>
    <w:rsid w:val="290A2CCA"/>
    <w:rsid w:val="290F02E0"/>
    <w:rsid w:val="2919115F"/>
    <w:rsid w:val="291D0C4F"/>
    <w:rsid w:val="291E49C7"/>
    <w:rsid w:val="29211DC2"/>
    <w:rsid w:val="29233D8C"/>
    <w:rsid w:val="292673D8"/>
    <w:rsid w:val="292912E9"/>
    <w:rsid w:val="292D172C"/>
    <w:rsid w:val="292F0982"/>
    <w:rsid w:val="292F44DF"/>
    <w:rsid w:val="29361D11"/>
    <w:rsid w:val="293715E5"/>
    <w:rsid w:val="29373393"/>
    <w:rsid w:val="293E4722"/>
    <w:rsid w:val="2940049A"/>
    <w:rsid w:val="29400E8A"/>
    <w:rsid w:val="294066EC"/>
    <w:rsid w:val="29420B46"/>
    <w:rsid w:val="294538FC"/>
    <w:rsid w:val="29471828"/>
    <w:rsid w:val="29475CCC"/>
    <w:rsid w:val="294A30C6"/>
    <w:rsid w:val="294A366F"/>
    <w:rsid w:val="294A57BC"/>
    <w:rsid w:val="294A756A"/>
    <w:rsid w:val="294C6E3F"/>
    <w:rsid w:val="294E0E09"/>
    <w:rsid w:val="294F2DD3"/>
    <w:rsid w:val="295249D2"/>
    <w:rsid w:val="295313DB"/>
    <w:rsid w:val="295403E9"/>
    <w:rsid w:val="29570A36"/>
    <w:rsid w:val="295D299A"/>
    <w:rsid w:val="295D54F0"/>
    <w:rsid w:val="29600B3C"/>
    <w:rsid w:val="296E14AB"/>
    <w:rsid w:val="296E789C"/>
    <w:rsid w:val="296F0D7F"/>
    <w:rsid w:val="29820AB2"/>
    <w:rsid w:val="298365D8"/>
    <w:rsid w:val="29851F68"/>
    <w:rsid w:val="2987256D"/>
    <w:rsid w:val="298E408B"/>
    <w:rsid w:val="2994097D"/>
    <w:rsid w:val="29961C76"/>
    <w:rsid w:val="2996455E"/>
    <w:rsid w:val="29984596"/>
    <w:rsid w:val="29995DFC"/>
    <w:rsid w:val="299D3B3E"/>
    <w:rsid w:val="29A053DC"/>
    <w:rsid w:val="29A273A6"/>
    <w:rsid w:val="29A529F3"/>
    <w:rsid w:val="29A802DB"/>
    <w:rsid w:val="29AB439C"/>
    <w:rsid w:val="29AC3E9C"/>
    <w:rsid w:val="29B03871"/>
    <w:rsid w:val="29B13146"/>
    <w:rsid w:val="29B175E9"/>
    <w:rsid w:val="29B42C36"/>
    <w:rsid w:val="29B50E88"/>
    <w:rsid w:val="29B82726"/>
    <w:rsid w:val="29BB7D05"/>
    <w:rsid w:val="29BE4A5B"/>
    <w:rsid w:val="29BF5862"/>
    <w:rsid w:val="29C235A5"/>
    <w:rsid w:val="29CC4423"/>
    <w:rsid w:val="29CE3FE2"/>
    <w:rsid w:val="29CF181E"/>
    <w:rsid w:val="29CF622B"/>
    <w:rsid w:val="29DA08EE"/>
    <w:rsid w:val="29DB6414"/>
    <w:rsid w:val="29DD218D"/>
    <w:rsid w:val="29E277A3"/>
    <w:rsid w:val="29E51B2D"/>
    <w:rsid w:val="29E80672"/>
    <w:rsid w:val="29E928DF"/>
    <w:rsid w:val="29E975B1"/>
    <w:rsid w:val="29EB48A9"/>
    <w:rsid w:val="29ED27BF"/>
    <w:rsid w:val="29EE5538"/>
    <w:rsid w:val="29EF76A4"/>
    <w:rsid w:val="29F54404"/>
    <w:rsid w:val="29F6A85E"/>
    <w:rsid w:val="29FA0F90"/>
    <w:rsid w:val="29FB0865"/>
    <w:rsid w:val="29FB6949"/>
    <w:rsid w:val="2A0147A7"/>
    <w:rsid w:val="2A0A5FF9"/>
    <w:rsid w:val="2A0B48B8"/>
    <w:rsid w:val="2A0C642A"/>
    <w:rsid w:val="2A0C65CE"/>
    <w:rsid w:val="2A0E0598"/>
    <w:rsid w:val="2A102562"/>
    <w:rsid w:val="2A121930"/>
    <w:rsid w:val="2A13795C"/>
    <w:rsid w:val="2A1F27A5"/>
    <w:rsid w:val="2A261D85"/>
    <w:rsid w:val="2A27165A"/>
    <w:rsid w:val="2A2B114A"/>
    <w:rsid w:val="2A2D3FCC"/>
    <w:rsid w:val="2A314286"/>
    <w:rsid w:val="2A331DAD"/>
    <w:rsid w:val="2A33300B"/>
    <w:rsid w:val="2A357B24"/>
    <w:rsid w:val="2A377AEF"/>
    <w:rsid w:val="2A3B2CA3"/>
    <w:rsid w:val="2A3B5EA9"/>
    <w:rsid w:val="2A3E1CFF"/>
    <w:rsid w:val="2A3F4BF5"/>
    <w:rsid w:val="2A4445C9"/>
    <w:rsid w:val="2A475858"/>
    <w:rsid w:val="2A4B5348"/>
    <w:rsid w:val="2A4D7312"/>
    <w:rsid w:val="2A524929"/>
    <w:rsid w:val="2A5561C7"/>
    <w:rsid w:val="2A5C415F"/>
    <w:rsid w:val="2A6A6D4A"/>
    <w:rsid w:val="2A756869"/>
    <w:rsid w:val="2A7720BD"/>
    <w:rsid w:val="2A7725E1"/>
    <w:rsid w:val="2A781EB5"/>
    <w:rsid w:val="2A783C63"/>
    <w:rsid w:val="2A7C7BF7"/>
    <w:rsid w:val="2A7F525C"/>
    <w:rsid w:val="2A81612B"/>
    <w:rsid w:val="2A851A38"/>
    <w:rsid w:val="2A8B3997"/>
    <w:rsid w:val="2A8E3487"/>
    <w:rsid w:val="2A8F792B"/>
    <w:rsid w:val="2A9071FF"/>
    <w:rsid w:val="2A950CB9"/>
    <w:rsid w:val="2A97233B"/>
    <w:rsid w:val="2A994305"/>
    <w:rsid w:val="2A9A7669"/>
    <w:rsid w:val="2A9E21E2"/>
    <w:rsid w:val="2A9F0C2C"/>
    <w:rsid w:val="2AA1140C"/>
    <w:rsid w:val="2AA23038"/>
    <w:rsid w:val="2AA41363"/>
    <w:rsid w:val="2AA66A22"/>
    <w:rsid w:val="2AAB5DE7"/>
    <w:rsid w:val="2AAD7DB1"/>
    <w:rsid w:val="2AAF729A"/>
    <w:rsid w:val="2AB078A1"/>
    <w:rsid w:val="2AB47391"/>
    <w:rsid w:val="2ABA24CE"/>
    <w:rsid w:val="2ABB0720"/>
    <w:rsid w:val="2ABB481C"/>
    <w:rsid w:val="2ABE4969"/>
    <w:rsid w:val="2AC33130"/>
    <w:rsid w:val="2AC77260"/>
    <w:rsid w:val="2AC96C0C"/>
    <w:rsid w:val="2ACB46DB"/>
    <w:rsid w:val="2ACB7B38"/>
    <w:rsid w:val="2ACE57EF"/>
    <w:rsid w:val="2ACF41CB"/>
    <w:rsid w:val="2AD01CF1"/>
    <w:rsid w:val="2AD05097"/>
    <w:rsid w:val="2AD43590"/>
    <w:rsid w:val="2AD510B6"/>
    <w:rsid w:val="2AD57308"/>
    <w:rsid w:val="2AD73080"/>
    <w:rsid w:val="2ADA13B2"/>
    <w:rsid w:val="2AE65071"/>
    <w:rsid w:val="2AE82B97"/>
    <w:rsid w:val="2AEA1089"/>
    <w:rsid w:val="2AEA4B61"/>
    <w:rsid w:val="2AF43C32"/>
    <w:rsid w:val="2AF4778E"/>
    <w:rsid w:val="2AF754D0"/>
    <w:rsid w:val="2AF93B6E"/>
    <w:rsid w:val="2AFB4FC0"/>
    <w:rsid w:val="2B013C59"/>
    <w:rsid w:val="2B02634F"/>
    <w:rsid w:val="2B035046"/>
    <w:rsid w:val="2B073965"/>
    <w:rsid w:val="2B083239"/>
    <w:rsid w:val="2B0A0D5F"/>
    <w:rsid w:val="2B0B2D29"/>
    <w:rsid w:val="2B0B4AD7"/>
    <w:rsid w:val="2B145D90"/>
    <w:rsid w:val="2B1524B7"/>
    <w:rsid w:val="2B157704"/>
    <w:rsid w:val="2B1B2F6C"/>
    <w:rsid w:val="2B1C38E9"/>
    <w:rsid w:val="2B1E53A8"/>
    <w:rsid w:val="2B225228"/>
    <w:rsid w:val="2B277D47"/>
    <w:rsid w:val="2B287437"/>
    <w:rsid w:val="2B2F6A18"/>
    <w:rsid w:val="2B396C45"/>
    <w:rsid w:val="2B3B53BD"/>
    <w:rsid w:val="2B3B79D8"/>
    <w:rsid w:val="2B3C1135"/>
    <w:rsid w:val="2B400C25"/>
    <w:rsid w:val="2B41674B"/>
    <w:rsid w:val="2B471FB3"/>
    <w:rsid w:val="2B477185"/>
    <w:rsid w:val="2B480177"/>
    <w:rsid w:val="2B481888"/>
    <w:rsid w:val="2B4C581C"/>
    <w:rsid w:val="2B4D50F0"/>
    <w:rsid w:val="2B4F2C16"/>
    <w:rsid w:val="2B512E32"/>
    <w:rsid w:val="2B522706"/>
    <w:rsid w:val="2B5446D0"/>
    <w:rsid w:val="2B560448"/>
    <w:rsid w:val="2B561BAA"/>
    <w:rsid w:val="2B5B5A5F"/>
    <w:rsid w:val="2B5E10AB"/>
    <w:rsid w:val="2B603075"/>
    <w:rsid w:val="2B6356A4"/>
    <w:rsid w:val="2B6761B2"/>
    <w:rsid w:val="2B6C1DEA"/>
    <w:rsid w:val="2B6C30B6"/>
    <w:rsid w:val="2B6C5576"/>
    <w:rsid w:val="2B6D0361"/>
    <w:rsid w:val="2B6D12EE"/>
    <w:rsid w:val="2B717030"/>
    <w:rsid w:val="2B79124E"/>
    <w:rsid w:val="2B794137"/>
    <w:rsid w:val="2B7B1C5D"/>
    <w:rsid w:val="2B7D7783"/>
    <w:rsid w:val="2B7E174D"/>
    <w:rsid w:val="2B7E52A9"/>
    <w:rsid w:val="2B8054C5"/>
    <w:rsid w:val="2B8265E5"/>
    <w:rsid w:val="2B856638"/>
    <w:rsid w:val="2B8A6344"/>
    <w:rsid w:val="2B8A71CF"/>
    <w:rsid w:val="2B8C3E6A"/>
    <w:rsid w:val="2B8C79C6"/>
    <w:rsid w:val="2B8F74B6"/>
    <w:rsid w:val="2B936FA7"/>
    <w:rsid w:val="2B940F71"/>
    <w:rsid w:val="2B990335"/>
    <w:rsid w:val="2B9E76FA"/>
    <w:rsid w:val="2BA411B4"/>
    <w:rsid w:val="2BA56CDA"/>
    <w:rsid w:val="2BAA0794"/>
    <w:rsid w:val="2BAA2542"/>
    <w:rsid w:val="2BB60EE7"/>
    <w:rsid w:val="2BB66360"/>
    <w:rsid w:val="2BB807BB"/>
    <w:rsid w:val="2BBD2276"/>
    <w:rsid w:val="2BC2788C"/>
    <w:rsid w:val="2BC5112A"/>
    <w:rsid w:val="2BC74177"/>
    <w:rsid w:val="2BC74EA2"/>
    <w:rsid w:val="2BC776AE"/>
    <w:rsid w:val="2BCA6741"/>
    <w:rsid w:val="2BCE46E8"/>
    <w:rsid w:val="2BCF51CB"/>
    <w:rsid w:val="2BD4136D"/>
    <w:rsid w:val="2BD575BF"/>
    <w:rsid w:val="2BD61589"/>
    <w:rsid w:val="2BD66E93"/>
    <w:rsid w:val="2BDB6BA0"/>
    <w:rsid w:val="2BE145AE"/>
    <w:rsid w:val="2BE710A1"/>
    <w:rsid w:val="2BE94E44"/>
    <w:rsid w:val="2BEA293F"/>
    <w:rsid w:val="2BEC11D2"/>
    <w:rsid w:val="2BEC4909"/>
    <w:rsid w:val="2BEF7F55"/>
    <w:rsid w:val="2BF10171"/>
    <w:rsid w:val="2BF211CC"/>
    <w:rsid w:val="2BF37273"/>
    <w:rsid w:val="2BF941BD"/>
    <w:rsid w:val="2BFA5278"/>
    <w:rsid w:val="2BFD6E9B"/>
    <w:rsid w:val="2BFF2F3A"/>
    <w:rsid w:val="2C041C52"/>
    <w:rsid w:val="2C047EA4"/>
    <w:rsid w:val="2C091017"/>
    <w:rsid w:val="2C0A4D8F"/>
    <w:rsid w:val="2C105206"/>
    <w:rsid w:val="2C1520B2"/>
    <w:rsid w:val="2C1B6F9C"/>
    <w:rsid w:val="2C283A3E"/>
    <w:rsid w:val="2C2B6D0A"/>
    <w:rsid w:val="2C2C11A9"/>
    <w:rsid w:val="2C300968"/>
    <w:rsid w:val="2C363DD6"/>
    <w:rsid w:val="2C365B84"/>
    <w:rsid w:val="2C3D33B6"/>
    <w:rsid w:val="2C3D6F12"/>
    <w:rsid w:val="2C424529"/>
    <w:rsid w:val="2C4464F3"/>
    <w:rsid w:val="2C4D184B"/>
    <w:rsid w:val="2C5A1872"/>
    <w:rsid w:val="2C5B55EB"/>
    <w:rsid w:val="2C5F157F"/>
    <w:rsid w:val="2C6721E1"/>
    <w:rsid w:val="2C695F59"/>
    <w:rsid w:val="2C6B7F24"/>
    <w:rsid w:val="2C6C4C5B"/>
    <w:rsid w:val="2C6C77F8"/>
    <w:rsid w:val="2C730B86"/>
    <w:rsid w:val="2C733EA3"/>
    <w:rsid w:val="2C752B50"/>
    <w:rsid w:val="2C7548FE"/>
    <w:rsid w:val="2C7664CE"/>
    <w:rsid w:val="2C766986"/>
    <w:rsid w:val="2C7E7C57"/>
    <w:rsid w:val="2C8E3C12"/>
    <w:rsid w:val="2C8E59C0"/>
    <w:rsid w:val="2C8E776E"/>
    <w:rsid w:val="2C923702"/>
    <w:rsid w:val="2C931228"/>
    <w:rsid w:val="2C932FD6"/>
    <w:rsid w:val="2C970D19"/>
    <w:rsid w:val="2C98683F"/>
    <w:rsid w:val="2C9A25B7"/>
    <w:rsid w:val="2C9B16F9"/>
    <w:rsid w:val="2C9C00DD"/>
    <w:rsid w:val="2C9E36C0"/>
    <w:rsid w:val="2CAB47C4"/>
    <w:rsid w:val="2CAB6572"/>
    <w:rsid w:val="2CAD22EA"/>
    <w:rsid w:val="2CAD5E46"/>
    <w:rsid w:val="2CAE7E10"/>
    <w:rsid w:val="2CB03B88"/>
    <w:rsid w:val="2CB27900"/>
    <w:rsid w:val="2CB371D5"/>
    <w:rsid w:val="2CB573F1"/>
    <w:rsid w:val="2CBA50AF"/>
    <w:rsid w:val="2CBC2E0F"/>
    <w:rsid w:val="2CC31B0E"/>
    <w:rsid w:val="2CC633AC"/>
    <w:rsid w:val="2CC9010B"/>
    <w:rsid w:val="2CCA6AD3"/>
    <w:rsid w:val="2CD258AD"/>
    <w:rsid w:val="2CD31625"/>
    <w:rsid w:val="2CD465A8"/>
    <w:rsid w:val="2CD535EF"/>
    <w:rsid w:val="2CD84BD4"/>
    <w:rsid w:val="2CDD4252"/>
    <w:rsid w:val="2CDE6947"/>
    <w:rsid w:val="2CDF36DC"/>
    <w:rsid w:val="2CE101E6"/>
    <w:rsid w:val="2CE11F94"/>
    <w:rsid w:val="2CEB4BC0"/>
    <w:rsid w:val="2CF441B2"/>
    <w:rsid w:val="2CF55A3F"/>
    <w:rsid w:val="2CF73565"/>
    <w:rsid w:val="2CF85B24"/>
    <w:rsid w:val="2CFA7747"/>
    <w:rsid w:val="2CFE62D5"/>
    <w:rsid w:val="2D045C82"/>
    <w:rsid w:val="2D0839C4"/>
    <w:rsid w:val="2D0F6B01"/>
    <w:rsid w:val="2D127B5A"/>
    <w:rsid w:val="2D14315F"/>
    <w:rsid w:val="2D1623D7"/>
    <w:rsid w:val="2D1934DC"/>
    <w:rsid w:val="2D1F4C4E"/>
    <w:rsid w:val="2D202ABC"/>
    <w:rsid w:val="2D236108"/>
    <w:rsid w:val="2D2D51D9"/>
    <w:rsid w:val="2D2E420C"/>
    <w:rsid w:val="2D306A77"/>
    <w:rsid w:val="2D3622E0"/>
    <w:rsid w:val="2D3B78F6"/>
    <w:rsid w:val="2D3C236E"/>
    <w:rsid w:val="2D3E16EE"/>
    <w:rsid w:val="2D3E2F42"/>
    <w:rsid w:val="2D4367AA"/>
    <w:rsid w:val="2D485B6F"/>
    <w:rsid w:val="2D4C1EE7"/>
    <w:rsid w:val="2D4D587B"/>
    <w:rsid w:val="2D4D7629"/>
    <w:rsid w:val="2D5026CD"/>
    <w:rsid w:val="2D524C40"/>
    <w:rsid w:val="2D542766"/>
    <w:rsid w:val="2D5561B8"/>
    <w:rsid w:val="2D595FCE"/>
    <w:rsid w:val="2D5F6161"/>
    <w:rsid w:val="2D630BFB"/>
    <w:rsid w:val="2D644D1D"/>
    <w:rsid w:val="2D67693D"/>
    <w:rsid w:val="2D6A2319"/>
    <w:rsid w:val="2D6A3D37"/>
    <w:rsid w:val="2D6B7AAF"/>
    <w:rsid w:val="2D6C5D01"/>
    <w:rsid w:val="2D6E4D57"/>
    <w:rsid w:val="2D6F134E"/>
    <w:rsid w:val="2D7070E6"/>
    <w:rsid w:val="2D7352E2"/>
    <w:rsid w:val="2D74130C"/>
    <w:rsid w:val="2D742E08"/>
    <w:rsid w:val="2D7626DC"/>
    <w:rsid w:val="2D7643E8"/>
    <w:rsid w:val="2D766B80"/>
    <w:rsid w:val="2D772617"/>
    <w:rsid w:val="2D7E75D7"/>
    <w:rsid w:val="2D83129D"/>
    <w:rsid w:val="2D915768"/>
    <w:rsid w:val="2D9214E0"/>
    <w:rsid w:val="2D960FD0"/>
    <w:rsid w:val="2D962D7E"/>
    <w:rsid w:val="2D990AC0"/>
    <w:rsid w:val="2D99461C"/>
    <w:rsid w:val="2D9B2143"/>
    <w:rsid w:val="2D9B65E7"/>
    <w:rsid w:val="2D9D2698"/>
    <w:rsid w:val="2DA07F6F"/>
    <w:rsid w:val="2DA37249"/>
    <w:rsid w:val="2DA74F8B"/>
    <w:rsid w:val="2DA85806"/>
    <w:rsid w:val="2DB17BB8"/>
    <w:rsid w:val="2DB35F1E"/>
    <w:rsid w:val="2DB43204"/>
    <w:rsid w:val="2DB75F7D"/>
    <w:rsid w:val="2DB80F46"/>
    <w:rsid w:val="2DB94CBF"/>
    <w:rsid w:val="2DBA18AB"/>
    <w:rsid w:val="2DBE543C"/>
    <w:rsid w:val="2DC45B3D"/>
    <w:rsid w:val="2DC7118A"/>
    <w:rsid w:val="2DCC67A0"/>
    <w:rsid w:val="2DD438A6"/>
    <w:rsid w:val="2DD613CD"/>
    <w:rsid w:val="2DD61B67"/>
    <w:rsid w:val="2DD9710F"/>
    <w:rsid w:val="2DDA60A5"/>
    <w:rsid w:val="2DDB2E87"/>
    <w:rsid w:val="2DDD275B"/>
    <w:rsid w:val="2DE25FC3"/>
    <w:rsid w:val="2DE301F1"/>
    <w:rsid w:val="2DE41D3C"/>
    <w:rsid w:val="2DE57862"/>
    <w:rsid w:val="2DE7182C"/>
    <w:rsid w:val="2DEC0893"/>
    <w:rsid w:val="2DEC299E"/>
    <w:rsid w:val="2DEE4968"/>
    <w:rsid w:val="2DF31F7F"/>
    <w:rsid w:val="2DF67CC1"/>
    <w:rsid w:val="2DF83A39"/>
    <w:rsid w:val="2DFB52D7"/>
    <w:rsid w:val="2DFC459B"/>
    <w:rsid w:val="2DFD2DFD"/>
    <w:rsid w:val="2DFE26D1"/>
    <w:rsid w:val="2E00469C"/>
    <w:rsid w:val="2E0221C2"/>
    <w:rsid w:val="2E077A33"/>
    <w:rsid w:val="2E0979F4"/>
    <w:rsid w:val="2E0C1292"/>
    <w:rsid w:val="2E0C4DEE"/>
    <w:rsid w:val="2E0C5980"/>
    <w:rsid w:val="2E0E0B66"/>
    <w:rsid w:val="2E0F2B31"/>
    <w:rsid w:val="2E183793"/>
    <w:rsid w:val="2E223E9C"/>
    <w:rsid w:val="2E2465DC"/>
    <w:rsid w:val="2E25064B"/>
    <w:rsid w:val="2E2522D9"/>
    <w:rsid w:val="2E272975"/>
    <w:rsid w:val="2E2959A0"/>
    <w:rsid w:val="2E2A34C6"/>
    <w:rsid w:val="2E341DD7"/>
    <w:rsid w:val="2E3569FF"/>
    <w:rsid w:val="2E385BE3"/>
    <w:rsid w:val="2E3D769E"/>
    <w:rsid w:val="2E4427DA"/>
    <w:rsid w:val="2E474078"/>
    <w:rsid w:val="2E4E607F"/>
    <w:rsid w:val="2E52128F"/>
    <w:rsid w:val="2E540FC5"/>
    <w:rsid w:val="2E552C39"/>
    <w:rsid w:val="2E586286"/>
    <w:rsid w:val="2E59744B"/>
    <w:rsid w:val="2E5A09CB"/>
    <w:rsid w:val="2E5A1FFE"/>
    <w:rsid w:val="2E5B69AF"/>
    <w:rsid w:val="2E5C3FC8"/>
    <w:rsid w:val="2E5D1AEE"/>
    <w:rsid w:val="2E5E1B84"/>
    <w:rsid w:val="2E6469D8"/>
    <w:rsid w:val="2E6609A2"/>
    <w:rsid w:val="2E6B5FB9"/>
    <w:rsid w:val="2E6F5ABB"/>
    <w:rsid w:val="2E725599"/>
    <w:rsid w:val="2E76670C"/>
    <w:rsid w:val="2E766D7B"/>
    <w:rsid w:val="2E7A444E"/>
    <w:rsid w:val="2E7D5CEC"/>
    <w:rsid w:val="2E7F3812"/>
    <w:rsid w:val="2E81758A"/>
    <w:rsid w:val="2E825006"/>
    <w:rsid w:val="2E8250B1"/>
    <w:rsid w:val="2E870919"/>
    <w:rsid w:val="2E8B4C27"/>
    <w:rsid w:val="2E8C5F2F"/>
    <w:rsid w:val="2E905A1F"/>
    <w:rsid w:val="2E954DE4"/>
    <w:rsid w:val="2E9B6172"/>
    <w:rsid w:val="2EA17C2D"/>
    <w:rsid w:val="2EAC037F"/>
    <w:rsid w:val="2EAD409C"/>
    <w:rsid w:val="2EAE2349"/>
    <w:rsid w:val="2EB01C1E"/>
    <w:rsid w:val="2EB21E3A"/>
    <w:rsid w:val="2EB86815"/>
    <w:rsid w:val="2EB86D24"/>
    <w:rsid w:val="2EBA6F40"/>
    <w:rsid w:val="2EBD4A93"/>
    <w:rsid w:val="2EBF5257"/>
    <w:rsid w:val="2EBF6305"/>
    <w:rsid w:val="2EC15BD9"/>
    <w:rsid w:val="2EC851B9"/>
    <w:rsid w:val="2ECB4CA9"/>
    <w:rsid w:val="2ECD27D0"/>
    <w:rsid w:val="2ECE02F6"/>
    <w:rsid w:val="2ECF1CF8"/>
    <w:rsid w:val="2ED753FC"/>
    <w:rsid w:val="2EDA4EED"/>
    <w:rsid w:val="2EDC2A13"/>
    <w:rsid w:val="2EE61AE3"/>
    <w:rsid w:val="2EE74906"/>
    <w:rsid w:val="2EE93382"/>
    <w:rsid w:val="2EEB70FA"/>
    <w:rsid w:val="2EF1793A"/>
    <w:rsid w:val="2EF21577"/>
    <w:rsid w:val="2EF73CF0"/>
    <w:rsid w:val="2EF75DDF"/>
    <w:rsid w:val="2EFC30B5"/>
    <w:rsid w:val="2EFC60DB"/>
    <w:rsid w:val="2EFF6701"/>
    <w:rsid w:val="2F0106CB"/>
    <w:rsid w:val="2F034443"/>
    <w:rsid w:val="2F05640D"/>
    <w:rsid w:val="2F063F34"/>
    <w:rsid w:val="2F0957D2"/>
    <w:rsid w:val="2F0D0E1E"/>
    <w:rsid w:val="2F146650"/>
    <w:rsid w:val="2F155F25"/>
    <w:rsid w:val="2F191EB9"/>
    <w:rsid w:val="2F193C67"/>
    <w:rsid w:val="2F1A178D"/>
    <w:rsid w:val="2F1A79DF"/>
    <w:rsid w:val="2F1C3757"/>
    <w:rsid w:val="2F1C3ED8"/>
    <w:rsid w:val="2F1E302B"/>
    <w:rsid w:val="2F1E74CF"/>
    <w:rsid w:val="2F2443BA"/>
    <w:rsid w:val="2F266384"/>
    <w:rsid w:val="2F266CEC"/>
    <w:rsid w:val="2F2B399A"/>
    <w:rsid w:val="2F2D28E7"/>
    <w:rsid w:val="2F2D326E"/>
    <w:rsid w:val="2F302D5E"/>
    <w:rsid w:val="2F350375"/>
    <w:rsid w:val="2F397E65"/>
    <w:rsid w:val="2F3E191F"/>
    <w:rsid w:val="2F413F13"/>
    <w:rsid w:val="2F4405B8"/>
    <w:rsid w:val="2F4800A8"/>
    <w:rsid w:val="2F4A2072"/>
    <w:rsid w:val="2F4D1B62"/>
    <w:rsid w:val="2F4F1437"/>
    <w:rsid w:val="2F511653"/>
    <w:rsid w:val="2F520F27"/>
    <w:rsid w:val="2F57478F"/>
    <w:rsid w:val="2F5E167A"/>
    <w:rsid w:val="2F5E1978"/>
    <w:rsid w:val="2F601896"/>
    <w:rsid w:val="2F61116A"/>
    <w:rsid w:val="2F612793"/>
    <w:rsid w:val="2F656EAC"/>
    <w:rsid w:val="2F6A001E"/>
    <w:rsid w:val="2F77098D"/>
    <w:rsid w:val="2F792753"/>
    <w:rsid w:val="2F7A3ABF"/>
    <w:rsid w:val="2F7B66D0"/>
    <w:rsid w:val="2F7C15ED"/>
    <w:rsid w:val="2F827A5E"/>
    <w:rsid w:val="2F8A246F"/>
    <w:rsid w:val="2F8C4439"/>
    <w:rsid w:val="2F923A19"/>
    <w:rsid w:val="2F955AF6"/>
    <w:rsid w:val="2F974B8C"/>
    <w:rsid w:val="2F990904"/>
    <w:rsid w:val="2F996B56"/>
    <w:rsid w:val="2F9B4539"/>
    <w:rsid w:val="2F9E416C"/>
    <w:rsid w:val="2FA06136"/>
    <w:rsid w:val="2FA07EE4"/>
    <w:rsid w:val="2FA200FA"/>
    <w:rsid w:val="2FA33530"/>
    <w:rsid w:val="2FAD2601"/>
    <w:rsid w:val="2FB120F1"/>
    <w:rsid w:val="2FB35E69"/>
    <w:rsid w:val="2FB43990"/>
    <w:rsid w:val="2FB63264"/>
    <w:rsid w:val="2FB97CB5"/>
    <w:rsid w:val="2FC31E25"/>
    <w:rsid w:val="2FC33BC1"/>
    <w:rsid w:val="2FC5794B"/>
    <w:rsid w:val="2FC71915"/>
    <w:rsid w:val="2FC736C3"/>
    <w:rsid w:val="2FC970EB"/>
    <w:rsid w:val="2FCF2577"/>
    <w:rsid w:val="2FD70C99"/>
    <w:rsid w:val="2FDC6A42"/>
    <w:rsid w:val="2FDD4C94"/>
    <w:rsid w:val="2FDD8D01"/>
    <w:rsid w:val="2FDE6C5E"/>
    <w:rsid w:val="2FE30D60"/>
    <w:rsid w:val="2FE34C7B"/>
    <w:rsid w:val="2FEC137B"/>
    <w:rsid w:val="2FED29FE"/>
    <w:rsid w:val="2FEF2C1A"/>
    <w:rsid w:val="2FF124EE"/>
    <w:rsid w:val="2FF26266"/>
    <w:rsid w:val="2FF344B8"/>
    <w:rsid w:val="2FF6325E"/>
    <w:rsid w:val="2FF7191A"/>
    <w:rsid w:val="2FF7387C"/>
    <w:rsid w:val="2FFA3A98"/>
    <w:rsid w:val="2FFBA500"/>
    <w:rsid w:val="2FFE4C0B"/>
    <w:rsid w:val="3002294D"/>
    <w:rsid w:val="300246FB"/>
    <w:rsid w:val="30045814"/>
    <w:rsid w:val="3005243D"/>
    <w:rsid w:val="300A7A53"/>
    <w:rsid w:val="300C37CC"/>
    <w:rsid w:val="300E30A0"/>
    <w:rsid w:val="300F0BC6"/>
    <w:rsid w:val="301D1535"/>
    <w:rsid w:val="30202DD3"/>
    <w:rsid w:val="30224D9D"/>
    <w:rsid w:val="302A33C0"/>
    <w:rsid w:val="302A3C52"/>
    <w:rsid w:val="302A4100"/>
    <w:rsid w:val="303B6DB9"/>
    <w:rsid w:val="303B7C0D"/>
    <w:rsid w:val="303D3985"/>
    <w:rsid w:val="30405223"/>
    <w:rsid w:val="30427416"/>
    <w:rsid w:val="3043493A"/>
    <w:rsid w:val="30450A8C"/>
    <w:rsid w:val="30463E54"/>
    <w:rsid w:val="30470360"/>
    <w:rsid w:val="304940D8"/>
    <w:rsid w:val="304B42F4"/>
    <w:rsid w:val="304C1E1A"/>
    <w:rsid w:val="304D0EBF"/>
    <w:rsid w:val="304F76D1"/>
    <w:rsid w:val="30532872"/>
    <w:rsid w:val="30542A7D"/>
    <w:rsid w:val="30564A47"/>
    <w:rsid w:val="305667F5"/>
    <w:rsid w:val="30590093"/>
    <w:rsid w:val="305B02AF"/>
    <w:rsid w:val="3069477A"/>
    <w:rsid w:val="306A22A0"/>
    <w:rsid w:val="306C0F64"/>
    <w:rsid w:val="306E3B3E"/>
    <w:rsid w:val="30751371"/>
    <w:rsid w:val="30755662"/>
    <w:rsid w:val="307750E9"/>
    <w:rsid w:val="30782C0F"/>
    <w:rsid w:val="307873A6"/>
    <w:rsid w:val="3079550C"/>
    <w:rsid w:val="307A24E3"/>
    <w:rsid w:val="30840777"/>
    <w:rsid w:val="3086532C"/>
    <w:rsid w:val="30875B6C"/>
    <w:rsid w:val="30890978"/>
    <w:rsid w:val="308A649E"/>
    <w:rsid w:val="308C0DFF"/>
    <w:rsid w:val="308C2216"/>
    <w:rsid w:val="308E5F8F"/>
    <w:rsid w:val="309A2B85"/>
    <w:rsid w:val="309D4424"/>
    <w:rsid w:val="30A22774"/>
    <w:rsid w:val="30B011C7"/>
    <w:rsid w:val="30B023A9"/>
    <w:rsid w:val="30B05F05"/>
    <w:rsid w:val="30B31E99"/>
    <w:rsid w:val="30B33C47"/>
    <w:rsid w:val="30B67293"/>
    <w:rsid w:val="30B8125D"/>
    <w:rsid w:val="30B874AF"/>
    <w:rsid w:val="30BB2AFC"/>
    <w:rsid w:val="30BD6874"/>
    <w:rsid w:val="30C23E8A"/>
    <w:rsid w:val="30C413B1"/>
    <w:rsid w:val="30C61BCC"/>
    <w:rsid w:val="30C85944"/>
    <w:rsid w:val="30CD6C03"/>
    <w:rsid w:val="30D20571"/>
    <w:rsid w:val="30D524C8"/>
    <w:rsid w:val="30D61EC2"/>
    <w:rsid w:val="30DB0D30"/>
    <w:rsid w:val="30DC259B"/>
    <w:rsid w:val="30E12562"/>
    <w:rsid w:val="30E3452C"/>
    <w:rsid w:val="30E87D95"/>
    <w:rsid w:val="30E91417"/>
    <w:rsid w:val="30EB7443"/>
    <w:rsid w:val="30F31223"/>
    <w:rsid w:val="30F54260"/>
    <w:rsid w:val="30F854C5"/>
    <w:rsid w:val="30FA1876"/>
    <w:rsid w:val="30FB1924"/>
    <w:rsid w:val="30FB7A2D"/>
    <w:rsid w:val="310149B3"/>
    <w:rsid w:val="31015ED4"/>
    <w:rsid w:val="31035304"/>
    <w:rsid w:val="31077AEF"/>
    <w:rsid w:val="310E5321"/>
    <w:rsid w:val="31101099"/>
    <w:rsid w:val="31102E48"/>
    <w:rsid w:val="31115856"/>
    <w:rsid w:val="311346E6"/>
    <w:rsid w:val="311809D7"/>
    <w:rsid w:val="311A3CC6"/>
    <w:rsid w:val="311D4612"/>
    <w:rsid w:val="311E5564"/>
    <w:rsid w:val="311E7E5A"/>
    <w:rsid w:val="31210BB1"/>
    <w:rsid w:val="31280191"/>
    <w:rsid w:val="312A2724"/>
    <w:rsid w:val="31344D88"/>
    <w:rsid w:val="31350B00"/>
    <w:rsid w:val="313905F0"/>
    <w:rsid w:val="31390FCA"/>
    <w:rsid w:val="313A7EC4"/>
    <w:rsid w:val="313B5C41"/>
    <w:rsid w:val="31480833"/>
    <w:rsid w:val="3148438F"/>
    <w:rsid w:val="314B20D2"/>
    <w:rsid w:val="314B6E77"/>
    <w:rsid w:val="314C4054"/>
    <w:rsid w:val="314D5E4A"/>
    <w:rsid w:val="31532D34"/>
    <w:rsid w:val="31556AAC"/>
    <w:rsid w:val="31570A76"/>
    <w:rsid w:val="315947EF"/>
    <w:rsid w:val="31615451"/>
    <w:rsid w:val="3163034F"/>
    <w:rsid w:val="3166515D"/>
    <w:rsid w:val="316B081B"/>
    <w:rsid w:val="316B4522"/>
    <w:rsid w:val="316D029A"/>
    <w:rsid w:val="316E375D"/>
    <w:rsid w:val="317653A0"/>
    <w:rsid w:val="317E24A7"/>
    <w:rsid w:val="317F1D7B"/>
    <w:rsid w:val="317F4625"/>
    <w:rsid w:val="31814E62"/>
    <w:rsid w:val="3183186B"/>
    <w:rsid w:val="3186310A"/>
    <w:rsid w:val="31864EB8"/>
    <w:rsid w:val="318B0720"/>
    <w:rsid w:val="318B24CE"/>
    <w:rsid w:val="318D6246"/>
    <w:rsid w:val="318F1FBE"/>
    <w:rsid w:val="31921AAF"/>
    <w:rsid w:val="31945AEF"/>
    <w:rsid w:val="31975317"/>
    <w:rsid w:val="319770C5"/>
    <w:rsid w:val="319E66A5"/>
    <w:rsid w:val="31A11EC1"/>
    <w:rsid w:val="31A17F44"/>
    <w:rsid w:val="31A31F0E"/>
    <w:rsid w:val="31A43590"/>
    <w:rsid w:val="31AC0DC2"/>
    <w:rsid w:val="31AD7D41"/>
    <w:rsid w:val="31B22151"/>
    <w:rsid w:val="31B25CAD"/>
    <w:rsid w:val="31B45823"/>
    <w:rsid w:val="31B70371"/>
    <w:rsid w:val="31B859B9"/>
    <w:rsid w:val="31BC4D7D"/>
    <w:rsid w:val="31BF0628"/>
    <w:rsid w:val="31C306F5"/>
    <w:rsid w:val="31C81974"/>
    <w:rsid w:val="31CD416C"/>
    <w:rsid w:val="31CD6F8B"/>
    <w:rsid w:val="31D5284E"/>
    <w:rsid w:val="31D54EF7"/>
    <w:rsid w:val="31D71BB7"/>
    <w:rsid w:val="31D73965"/>
    <w:rsid w:val="31DB3455"/>
    <w:rsid w:val="31E00A6C"/>
    <w:rsid w:val="31E22A36"/>
    <w:rsid w:val="31E31372"/>
    <w:rsid w:val="31E40EB3"/>
    <w:rsid w:val="31EA18EB"/>
    <w:rsid w:val="31EB11BF"/>
    <w:rsid w:val="31ED3189"/>
    <w:rsid w:val="31F10271"/>
    <w:rsid w:val="31F369F1"/>
    <w:rsid w:val="31F5323A"/>
    <w:rsid w:val="31F938DC"/>
    <w:rsid w:val="31FA44BB"/>
    <w:rsid w:val="31FB3AF8"/>
    <w:rsid w:val="31FC33CC"/>
    <w:rsid w:val="31FC7E47"/>
    <w:rsid w:val="31FE0EF2"/>
    <w:rsid w:val="32053FA5"/>
    <w:rsid w:val="320C360F"/>
    <w:rsid w:val="321353C1"/>
    <w:rsid w:val="321626E0"/>
    <w:rsid w:val="321951B6"/>
    <w:rsid w:val="321E0D59"/>
    <w:rsid w:val="321E0D93"/>
    <w:rsid w:val="32236BAB"/>
    <w:rsid w:val="32250B75"/>
    <w:rsid w:val="32285F6F"/>
    <w:rsid w:val="322D17D7"/>
    <w:rsid w:val="322D6199"/>
    <w:rsid w:val="322E5C7B"/>
    <w:rsid w:val="323A4620"/>
    <w:rsid w:val="323C5C13"/>
    <w:rsid w:val="32417A94"/>
    <w:rsid w:val="324B2B37"/>
    <w:rsid w:val="324B2DF6"/>
    <w:rsid w:val="324C4353"/>
    <w:rsid w:val="324E3C27"/>
    <w:rsid w:val="324F174E"/>
    <w:rsid w:val="325133BE"/>
    <w:rsid w:val="32513718"/>
    <w:rsid w:val="32551ACF"/>
    <w:rsid w:val="325A081E"/>
    <w:rsid w:val="325B7FAC"/>
    <w:rsid w:val="325D030E"/>
    <w:rsid w:val="325E7BE3"/>
    <w:rsid w:val="32607DFF"/>
    <w:rsid w:val="326E42CA"/>
    <w:rsid w:val="326E7E26"/>
    <w:rsid w:val="32713DBA"/>
    <w:rsid w:val="32737B32"/>
    <w:rsid w:val="32786EF6"/>
    <w:rsid w:val="327B69E7"/>
    <w:rsid w:val="327F2033"/>
    <w:rsid w:val="32843C93"/>
    <w:rsid w:val="3284589B"/>
    <w:rsid w:val="32891103"/>
    <w:rsid w:val="328D64F8"/>
    <w:rsid w:val="328F6C17"/>
    <w:rsid w:val="32981347"/>
    <w:rsid w:val="32A27C0B"/>
    <w:rsid w:val="32A45F3D"/>
    <w:rsid w:val="32A73338"/>
    <w:rsid w:val="32A777DC"/>
    <w:rsid w:val="32A907CC"/>
    <w:rsid w:val="32AB02BD"/>
    <w:rsid w:val="32AB482D"/>
    <w:rsid w:val="32AB72CC"/>
    <w:rsid w:val="32AC094E"/>
    <w:rsid w:val="32B1065A"/>
    <w:rsid w:val="32BB5035"/>
    <w:rsid w:val="32C263C3"/>
    <w:rsid w:val="32CB171C"/>
    <w:rsid w:val="32CB5278"/>
    <w:rsid w:val="32CC0FF0"/>
    <w:rsid w:val="32CC2D9E"/>
    <w:rsid w:val="32CD6737"/>
    <w:rsid w:val="32D54349"/>
    <w:rsid w:val="32D700C1"/>
    <w:rsid w:val="32D83E39"/>
    <w:rsid w:val="32DC1068"/>
    <w:rsid w:val="32DD4FAB"/>
    <w:rsid w:val="32DD78C5"/>
    <w:rsid w:val="32DE2D20"/>
    <w:rsid w:val="32DE6B29"/>
    <w:rsid w:val="32E53E60"/>
    <w:rsid w:val="32E56AD3"/>
    <w:rsid w:val="32E77BD8"/>
    <w:rsid w:val="32E97DF4"/>
    <w:rsid w:val="32EB76C8"/>
    <w:rsid w:val="32ED3513"/>
    <w:rsid w:val="32EE0F67"/>
    <w:rsid w:val="32F318E1"/>
    <w:rsid w:val="32F54351"/>
    <w:rsid w:val="32FE389F"/>
    <w:rsid w:val="32FF13C6"/>
    <w:rsid w:val="3301659F"/>
    <w:rsid w:val="33044E65"/>
    <w:rsid w:val="33051181"/>
    <w:rsid w:val="33083DB8"/>
    <w:rsid w:val="33092677"/>
    <w:rsid w:val="330B1B9D"/>
    <w:rsid w:val="330E33B7"/>
    <w:rsid w:val="330E785B"/>
    <w:rsid w:val="33114C55"/>
    <w:rsid w:val="33134E71"/>
    <w:rsid w:val="33136C1F"/>
    <w:rsid w:val="33174961"/>
    <w:rsid w:val="331A1D5C"/>
    <w:rsid w:val="331C222E"/>
    <w:rsid w:val="33226E62"/>
    <w:rsid w:val="332B21BB"/>
    <w:rsid w:val="332B3F69"/>
    <w:rsid w:val="332E682B"/>
    <w:rsid w:val="33370B5F"/>
    <w:rsid w:val="333C7F24"/>
    <w:rsid w:val="333E1EEE"/>
    <w:rsid w:val="33437504"/>
    <w:rsid w:val="334D0383"/>
    <w:rsid w:val="33501C21"/>
    <w:rsid w:val="335818F4"/>
    <w:rsid w:val="33590AD6"/>
    <w:rsid w:val="335A0A8F"/>
    <w:rsid w:val="335C3881"/>
    <w:rsid w:val="335C6818"/>
    <w:rsid w:val="335E1DAA"/>
    <w:rsid w:val="335F1E64"/>
    <w:rsid w:val="33613E2E"/>
    <w:rsid w:val="33661445"/>
    <w:rsid w:val="33664FA1"/>
    <w:rsid w:val="336B25B7"/>
    <w:rsid w:val="336D08D2"/>
    <w:rsid w:val="336E20A7"/>
    <w:rsid w:val="336F654B"/>
    <w:rsid w:val="33721B98"/>
    <w:rsid w:val="33745910"/>
    <w:rsid w:val="33770F5C"/>
    <w:rsid w:val="33784CD4"/>
    <w:rsid w:val="3381002D"/>
    <w:rsid w:val="33840C91"/>
    <w:rsid w:val="338418CB"/>
    <w:rsid w:val="3384518C"/>
    <w:rsid w:val="3384527F"/>
    <w:rsid w:val="33850A64"/>
    <w:rsid w:val="338673F1"/>
    <w:rsid w:val="338A5133"/>
    <w:rsid w:val="338B2C59"/>
    <w:rsid w:val="33953AD8"/>
    <w:rsid w:val="33955886"/>
    <w:rsid w:val="339B5763"/>
    <w:rsid w:val="33A1247D"/>
    <w:rsid w:val="33A15FD9"/>
    <w:rsid w:val="33A31D51"/>
    <w:rsid w:val="33A67096"/>
    <w:rsid w:val="33A90D1F"/>
    <w:rsid w:val="33A930DF"/>
    <w:rsid w:val="33B0446E"/>
    <w:rsid w:val="33B37802"/>
    <w:rsid w:val="33B45D0C"/>
    <w:rsid w:val="33B509AD"/>
    <w:rsid w:val="33B7681F"/>
    <w:rsid w:val="33B815D8"/>
    <w:rsid w:val="33BA709B"/>
    <w:rsid w:val="33BB353F"/>
    <w:rsid w:val="33C10429"/>
    <w:rsid w:val="33C2512E"/>
    <w:rsid w:val="33C30645"/>
    <w:rsid w:val="33C54FC4"/>
    <w:rsid w:val="33C85C5B"/>
    <w:rsid w:val="33CA3782"/>
    <w:rsid w:val="33CF4883"/>
    <w:rsid w:val="33D12D62"/>
    <w:rsid w:val="33D22636"/>
    <w:rsid w:val="33DC5263"/>
    <w:rsid w:val="33E12879"/>
    <w:rsid w:val="33E365F1"/>
    <w:rsid w:val="33EF4F96"/>
    <w:rsid w:val="33F16F60"/>
    <w:rsid w:val="33F90A47"/>
    <w:rsid w:val="33FF48DB"/>
    <w:rsid w:val="34000F51"/>
    <w:rsid w:val="34012F1B"/>
    <w:rsid w:val="34034EE6"/>
    <w:rsid w:val="34050C5E"/>
    <w:rsid w:val="34061348"/>
    <w:rsid w:val="340A0022"/>
    <w:rsid w:val="340B09AD"/>
    <w:rsid w:val="340F5638"/>
    <w:rsid w:val="341744ED"/>
    <w:rsid w:val="34192013"/>
    <w:rsid w:val="341E7629"/>
    <w:rsid w:val="341F34D7"/>
    <w:rsid w:val="34233C97"/>
    <w:rsid w:val="34254E5C"/>
    <w:rsid w:val="3428494C"/>
    <w:rsid w:val="342B1D46"/>
    <w:rsid w:val="342C1119"/>
    <w:rsid w:val="342F7A89"/>
    <w:rsid w:val="3431735D"/>
    <w:rsid w:val="34337579"/>
    <w:rsid w:val="3434509F"/>
    <w:rsid w:val="34362BC5"/>
    <w:rsid w:val="3437323E"/>
    <w:rsid w:val="34381637"/>
    <w:rsid w:val="34394463"/>
    <w:rsid w:val="343A16BC"/>
    <w:rsid w:val="343A7E32"/>
    <w:rsid w:val="343E201C"/>
    <w:rsid w:val="34480B4A"/>
    <w:rsid w:val="34586FDF"/>
    <w:rsid w:val="345968B4"/>
    <w:rsid w:val="345E036E"/>
    <w:rsid w:val="34677222"/>
    <w:rsid w:val="34684D49"/>
    <w:rsid w:val="346F257B"/>
    <w:rsid w:val="34767465"/>
    <w:rsid w:val="348523D7"/>
    <w:rsid w:val="34880F47"/>
    <w:rsid w:val="34885742"/>
    <w:rsid w:val="34897199"/>
    <w:rsid w:val="348B09B1"/>
    <w:rsid w:val="348F0527"/>
    <w:rsid w:val="348F6779"/>
    <w:rsid w:val="34931DC5"/>
    <w:rsid w:val="34935E6B"/>
    <w:rsid w:val="34975792"/>
    <w:rsid w:val="34983880"/>
    <w:rsid w:val="34995741"/>
    <w:rsid w:val="349A75F8"/>
    <w:rsid w:val="349D0E96"/>
    <w:rsid w:val="349D49F2"/>
    <w:rsid w:val="34A069BF"/>
    <w:rsid w:val="34A73AC3"/>
    <w:rsid w:val="34A915E9"/>
    <w:rsid w:val="34B561E0"/>
    <w:rsid w:val="34B57BC0"/>
    <w:rsid w:val="34B63D06"/>
    <w:rsid w:val="34B65AB4"/>
    <w:rsid w:val="34B866F6"/>
    <w:rsid w:val="34BA37F6"/>
    <w:rsid w:val="34BD6E42"/>
    <w:rsid w:val="34BD7997"/>
    <w:rsid w:val="34BE410B"/>
    <w:rsid w:val="34C226AB"/>
    <w:rsid w:val="34C44675"/>
    <w:rsid w:val="34C5481B"/>
    <w:rsid w:val="34CA0077"/>
    <w:rsid w:val="34CA77B1"/>
    <w:rsid w:val="34CE4214"/>
    <w:rsid w:val="34D01544"/>
    <w:rsid w:val="34D4418C"/>
    <w:rsid w:val="34D523DE"/>
    <w:rsid w:val="34D66156"/>
    <w:rsid w:val="34DA5C46"/>
    <w:rsid w:val="34E0103C"/>
    <w:rsid w:val="34E03EE7"/>
    <w:rsid w:val="34EB76A0"/>
    <w:rsid w:val="34ED4A10"/>
    <w:rsid w:val="34EF0FC6"/>
    <w:rsid w:val="34F80A0A"/>
    <w:rsid w:val="34F8431E"/>
    <w:rsid w:val="35026F4B"/>
    <w:rsid w:val="350B4052"/>
    <w:rsid w:val="35103416"/>
    <w:rsid w:val="35150A2C"/>
    <w:rsid w:val="35170C48"/>
    <w:rsid w:val="3518051D"/>
    <w:rsid w:val="35193D92"/>
    <w:rsid w:val="35262C3A"/>
    <w:rsid w:val="352E5F92"/>
    <w:rsid w:val="352F0F98"/>
    <w:rsid w:val="352F7608"/>
    <w:rsid w:val="35301D0A"/>
    <w:rsid w:val="35307CB9"/>
    <w:rsid w:val="353A0493"/>
    <w:rsid w:val="353D7F83"/>
    <w:rsid w:val="353F1F4D"/>
    <w:rsid w:val="35417A73"/>
    <w:rsid w:val="35431A3E"/>
    <w:rsid w:val="35450D68"/>
    <w:rsid w:val="35466E38"/>
    <w:rsid w:val="35492DCC"/>
    <w:rsid w:val="35494B7A"/>
    <w:rsid w:val="354A31D7"/>
    <w:rsid w:val="35531555"/>
    <w:rsid w:val="355359F9"/>
    <w:rsid w:val="3555351F"/>
    <w:rsid w:val="355A6D87"/>
    <w:rsid w:val="355B84E9"/>
    <w:rsid w:val="355C7D01"/>
    <w:rsid w:val="355F439E"/>
    <w:rsid w:val="35616258"/>
    <w:rsid w:val="35635C3C"/>
    <w:rsid w:val="35664D0A"/>
    <w:rsid w:val="356C2617"/>
    <w:rsid w:val="35744E4A"/>
    <w:rsid w:val="35747E49"/>
    <w:rsid w:val="3575596F"/>
    <w:rsid w:val="35773495"/>
    <w:rsid w:val="3578720D"/>
    <w:rsid w:val="357970C7"/>
    <w:rsid w:val="357A5672"/>
    <w:rsid w:val="35812566"/>
    <w:rsid w:val="35835695"/>
    <w:rsid w:val="358636D8"/>
    <w:rsid w:val="3587181D"/>
    <w:rsid w:val="358729FD"/>
    <w:rsid w:val="358833D3"/>
    <w:rsid w:val="35887450"/>
    <w:rsid w:val="358931C8"/>
    <w:rsid w:val="358B027B"/>
    <w:rsid w:val="358B5193"/>
    <w:rsid w:val="358B6F41"/>
    <w:rsid w:val="358D7245"/>
    <w:rsid w:val="358F2FAE"/>
    <w:rsid w:val="358F4C83"/>
    <w:rsid w:val="35904557"/>
    <w:rsid w:val="3592207D"/>
    <w:rsid w:val="35926521"/>
    <w:rsid w:val="35956011"/>
    <w:rsid w:val="35A02091"/>
    <w:rsid w:val="35A054ED"/>
    <w:rsid w:val="35A149B6"/>
    <w:rsid w:val="35AA0981"/>
    <w:rsid w:val="35AD6EB7"/>
    <w:rsid w:val="35AE2C2F"/>
    <w:rsid w:val="35AF70D3"/>
    <w:rsid w:val="35B069A7"/>
    <w:rsid w:val="35B476D7"/>
    <w:rsid w:val="35B50461"/>
    <w:rsid w:val="35B9585C"/>
    <w:rsid w:val="35BE7316"/>
    <w:rsid w:val="35C12962"/>
    <w:rsid w:val="35C16E06"/>
    <w:rsid w:val="35CD1307"/>
    <w:rsid w:val="35CF6A40"/>
    <w:rsid w:val="35D001EC"/>
    <w:rsid w:val="35D703D8"/>
    <w:rsid w:val="35DC154A"/>
    <w:rsid w:val="35DC59EE"/>
    <w:rsid w:val="35DE1766"/>
    <w:rsid w:val="35DF1B8F"/>
    <w:rsid w:val="35E548A3"/>
    <w:rsid w:val="35EB79DF"/>
    <w:rsid w:val="35ED7BFB"/>
    <w:rsid w:val="35F04FF6"/>
    <w:rsid w:val="35F1149A"/>
    <w:rsid w:val="35F40F8A"/>
    <w:rsid w:val="35F745D6"/>
    <w:rsid w:val="35FB17E7"/>
    <w:rsid w:val="35FC1BEC"/>
    <w:rsid w:val="35FC6014"/>
    <w:rsid w:val="35FE3BB6"/>
    <w:rsid w:val="35FE5964"/>
    <w:rsid w:val="35FEE03D"/>
    <w:rsid w:val="35FF4995"/>
    <w:rsid w:val="36017203"/>
    <w:rsid w:val="36032F7B"/>
    <w:rsid w:val="36034D29"/>
    <w:rsid w:val="360C5B09"/>
    <w:rsid w:val="361231BE"/>
    <w:rsid w:val="36136A81"/>
    <w:rsid w:val="36176A26"/>
    <w:rsid w:val="3619454C"/>
    <w:rsid w:val="361A2073"/>
    <w:rsid w:val="361B6516"/>
    <w:rsid w:val="36211653"/>
    <w:rsid w:val="362557A0"/>
    <w:rsid w:val="36257B38"/>
    <w:rsid w:val="362B4D98"/>
    <w:rsid w:val="362C0724"/>
    <w:rsid w:val="362D624A"/>
    <w:rsid w:val="36315D3A"/>
    <w:rsid w:val="36317AE8"/>
    <w:rsid w:val="36343134"/>
    <w:rsid w:val="36343C3D"/>
    <w:rsid w:val="36357730"/>
    <w:rsid w:val="363650FE"/>
    <w:rsid w:val="36372C24"/>
    <w:rsid w:val="363870C8"/>
    <w:rsid w:val="363A5FB6"/>
    <w:rsid w:val="364A2605"/>
    <w:rsid w:val="36542628"/>
    <w:rsid w:val="3659083E"/>
    <w:rsid w:val="365C268B"/>
    <w:rsid w:val="36631C6B"/>
    <w:rsid w:val="36653C36"/>
    <w:rsid w:val="36681030"/>
    <w:rsid w:val="36692394"/>
    <w:rsid w:val="366C4FC4"/>
    <w:rsid w:val="366C6D72"/>
    <w:rsid w:val="366E2AEA"/>
    <w:rsid w:val="366F6862"/>
    <w:rsid w:val="367217D1"/>
    <w:rsid w:val="36730100"/>
    <w:rsid w:val="3676199F"/>
    <w:rsid w:val="36767BF1"/>
    <w:rsid w:val="36777BF1"/>
    <w:rsid w:val="36785717"/>
    <w:rsid w:val="367E0853"/>
    <w:rsid w:val="36843E20"/>
    <w:rsid w:val="3685312D"/>
    <w:rsid w:val="368619EC"/>
    <w:rsid w:val="36873BAC"/>
    <w:rsid w:val="36900240"/>
    <w:rsid w:val="36941E25"/>
    <w:rsid w:val="36963DEF"/>
    <w:rsid w:val="36981915"/>
    <w:rsid w:val="36987B67"/>
    <w:rsid w:val="369B31B3"/>
    <w:rsid w:val="369C23EC"/>
    <w:rsid w:val="369C6BA3"/>
    <w:rsid w:val="369D517D"/>
    <w:rsid w:val="369E0EF6"/>
    <w:rsid w:val="369F496F"/>
    <w:rsid w:val="36A4650C"/>
    <w:rsid w:val="36A75FFC"/>
    <w:rsid w:val="36A87D16"/>
    <w:rsid w:val="36AA5AEC"/>
    <w:rsid w:val="36AA789A"/>
    <w:rsid w:val="36AC3746"/>
    <w:rsid w:val="36AF6C5F"/>
    <w:rsid w:val="36B129D7"/>
    <w:rsid w:val="36B14785"/>
    <w:rsid w:val="36B64491"/>
    <w:rsid w:val="36BB1AA7"/>
    <w:rsid w:val="36C24BE4"/>
    <w:rsid w:val="36CB5C0F"/>
    <w:rsid w:val="36D21705"/>
    <w:rsid w:val="36D52B69"/>
    <w:rsid w:val="36D6068F"/>
    <w:rsid w:val="36DB4AE5"/>
    <w:rsid w:val="36DB7A54"/>
    <w:rsid w:val="36DC4666"/>
    <w:rsid w:val="36DD37CC"/>
    <w:rsid w:val="36E0150E"/>
    <w:rsid w:val="36E25286"/>
    <w:rsid w:val="36E36908"/>
    <w:rsid w:val="36E508D2"/>
    <w:rsid w:val="36E763F9"/>
    <w:rsid w:val="36E92ED5"/>
    <w:rsid w:val="36EB413B"/>
    <w:rsid w:val="36F0150C"/>
    <w:rsid w:val="36F9612C"/>
    <w:rsid w:val="36FC6348"/>
    <w:rsid w:val="36FD3E6E"/>
    <w:rsid w:val="3701395E"/>
    <w:rsid w:val="37023232"/>
    <w:rsid w:val="37040D59"/>
    <w:rsid w:val="37052D23"/>
    <w:rsid w:val="3709636F"/>
    <w:rsid w:val="37166CDE"/>
    <w:rsid w:val="37182A56"/>
    <w:rsid w:val="371B7F91"/>
    <w:rsid w:val="371C5E99"/>
    <w:rsid w:val="37215DAE"/>
    <w:rsid w:val="372A48CC"/>
    <w:rsid w:val="372E04CB"/>
    <w:rsid w:val="372E5DD5"/>
    <w:rsid w:val="3730782B"/>
    <w:rsid w:val="37316320"/>
    <w:rsid w:val="37357164"/>
    <w:rsid w:val="37362EDC"/>
    <w:rsid w:val="373830F8"/>
    <w:rsid w:val="37386C54"/>
    <w:rsid w:val="37421881"/>
    <w:rsid w:val="374C0952"/>
    <w:rsid w:val="374C2700"/>
    <w:rsid w:val="37500442"/>
    <w:rsid w:val="375557DA"/>
    <w:rsid w:val="375717D0"/>
    <w:rsid w:val="3757357E"/>
    <w:rsid w:val="375A12C0"/>
    <w:rsid w:val="375B510B"/>
    <w:rsid w:val="375B6DF0"/>
    <w:rsid w:val="375D66BB"/>
    <w:rsid w:val="37645C9B"/>
    <w:rsid w:val="376712E7"/>
    <w:rsid w:val="37684B3E"/>
    <w:rsid w:val="376E1D1A"/>
    <w:rsid w:val="37737C8C"/>
    <w:rsid w:val="37755AA7"/>
    <w:rsid w:val="37757EA8"/>
    <w:rsid w:val="377731A3"/>
    <w:rsid w:val="377759CE"/>
    <w:rsid w:val="377A101B"/>
    <w:rsid w:val="377C1237"/>
    <w:rsid w:val="377C2FB4"/>
    <w:rsid w:val="377F0D27"/>
    <w:rsid w:val="378123A9"/>
    <w:rsid w:val="3781684D"/>
    <w:rsid w:val="3784633D"/>
    <w:rsid w:val="37887BDC"/>
    <w:rsid w:val="378B3228"/>
    <w:rsid w:val="378B7D49"/>
    <w:rsid w:val="378E4AC6"/>
    <w:rsid w:val="379245B6"/>
    <w:rsid w:val="379522F8"/>
    <w:rsid w:val="379612FD"/>
    <w:rsid w:val="379706EE"/>
    <w:rsid w:val="37971BCD"/>
    <w:rsid w:val="379A790F"/>
    <w:rsid w:val="379D2F5B"/>
    <w:rsid w:val="379F0A81"/>
    <w:rsid w:val="379F4F25"/>
    <w:rsid w:val="37A147F9"/>
    <w:rsid w:val="37A91900"/>
    <w:rsid w:val="37B95FE7"/>
    <w:rsid w:val="37C4498C"/>
    <w:rsid w:val="37C52EEE"/>
    <w:rsid w:val="37C624B2"/>
    <w:rsid w:val="37C815BB"/>
    <w:rsid w:val="37CB66F5"/>
    <w:rsid w:val="37CD4314"/>
    <w:rsid w:val="37CE1367"/>
    <w:rsid w:val="37CE4933"/>
    <w:rsid w:val="37D01583"/>
    <w:rsid w:val="37D526F5"/>
    <w:rsid w:val="37D56B99"/>
    <w:rsid w:val="37D72911"/>
    <w:rsid w:val="37D746BF"/>
    <w:rsid w:val="37D81B83"/>
    <w:rsid w:val="37DB27EC"/>
    <w:rsid w:val="37DE5A4E"/>
    <w:rsid w:val="37E1109A"/>
    <w:rsid w:val="37E138A3"/>
    <w:rsid w:val="37E5150A"/>
    <w:rsid w:val="37EA2644"/>
    <w:rsid w:val="37EA66E1"/>
    <w:rsid w:val="37EF1DC9"/>
    <w:rsid w:val="37F7266B"/>
    <w:rsid w:val="37F91B2A"/>
    <w:rsid w:val="37F963E3"/>
    <w:rsid w:val="37FA215C"/>
    <w:rsid w:val="37FB65FF"/>
    <w:rsid w:val="37FC5ED4"/>
    <w:rsid w:val="37FD88D7"/>
    <w:rsid w:val="3801173C"/>
    <w:rsid w:val="3801798E"/>
    <w:rsid w:val="3805122C"/>
    <w:rsid w:val="38083E7D"/>
    <w:rsid w:val="380A05F1"/>
    <w:rsid w:val="380F0455"/>
    <w:rsid w:val="380F3E59"/>
    <w:rsid w:val="38111182"/>
    <w:rsid w:val="3814321D"/>
    <w:rsid w:val="381B3A34"/>
    <w:rsid w:val="381C6576"/>
    <w:rsid w:val="381D6354"/>
    <w:rsid w:val="381E5E4A"/>
    <w:rsid w:val="382230B1"/>
    <w:rsid w:val="3828316D"/>
    <w:rsid w:val="382D42DF"/>
    <w:rsid w:val="382F62A9"/>
    <w:rsid w:val="38307FB3"/>
    <w:rsid w:val="38342FC3"/>
    <w:rsid w:val="383439D5"/>
    <w:rsid w:val="383513E6"/>
    <w:rsid w:val="38376F0C"/>
    <w:rsid w:val="383E473E"/>
    <w:rsid w:val="383F6B1D"/>
    <w:rsid w:val="384358B1"/>
    <w:rsid w:val="38451629"/>
    <w:rsid w:val="3845787B"/>
    <w:rsid w:val="384635F3"/>
    <w:rsid w:val="38471845"/>
    <w:rsid w:val="384B0C09"/>
    <w:rsid w:val="384F7577"/>
    <w:rsid w:val="38547ABE"/>
    <w:rsid w:val="38561A88"/>
    <w:rsid w:val="385B52F0"/>
    <w:rsid w:val="385E492D"/>
    <w:rsid w:val="386121DB"/>
    <w:rsid w:val="38613F89"/>
    <w:rsid w:val="38653A79"/>
    <w:rsid w:val="38657F1D"/>
    <w:rsid w:val="386727CE"/>
    <w:rsid w:val="38673C95"/>
    <w:rsid w:val="386817BB"/>
    <w:rsid w:val="386A108F"/>
    <w:rsid w:val="386B02D5"/>
    <w:rsid w:val="387D47FC"/>
    <w:rsid w:val="38892684"/>
    <w:rsid w:val="388C054E"/>
    <w:rsid w:val="388C36FB"/>
    <w:rsid w:val="388D1222"/>
    <w:rsid w:val="388F0AF6"/>
    <w:rsid w:val="38934A8A"/>
    <w:rsid w:val="389B749B"/>
    <w:rsid w:val="389C3213"/>
    <w:rsid w:val="389D1465"/>
    <w:rsid w:val="38A24CCD"/>
    <w:rsid w:val="38A327F3"/>
    <w:rsid w:val="38AA3B82"/>
    <w:rsid w:val="38AD5420"/>
    <w:rsid w:val="38AD71CE"/>
    <w:rsid w:val="38AF5F45"/>
    <w:rsid w:val="38BB18EB"/>
    <w:rsid w:val="38BD5663"/>
    <w:rsid w:val="38BE762D"/>
    <w:rsid w:val="38BF6852"/>
    <w:rsid w:val="38C06F01"/>
    <w:rsid w:val="38C509BB"/>
    <w:rsid w:val="38C547A8"/>
    <w:rsid w:val="38C612A4"/>
    <w:rsid w:val="38C904AC"/>
    <w:rsid w:val="38CA4224"/>
    <w:rsid w:val="38CA7D80"/>
    <w:rsid w:val="38CD161E"/>
    <w:rsid w:val="38CE5AC2"/>
    <w:rsid w:val="38CF35E8"/>
    <w:rsid w:val="38D155B2"/>
    <w:rsid w:val="38D26C34"/>
    <w:rsid w:val="38D46E50"/>
    <w:rsid w:val="38D66725"/>
    <w:rsid w:val="38DE382B"/>
    <w:rsid w:val="38EA0710"/>
    <w:rsid w:val="38ED3A6E"/>
    <w:rsid w:val="38F35529"/>
    <w:rsid w:val="38F90665"/>
    <w:rsid w:val="38FB618B"/>
    <w:rsid w:val="38FD1F03"/>
    <w:rsid w:val="39063186"/>
    <w:rsid w:val="39074B30"/>
    <w:rsid w:val="390B0AC4"/>
    <w:rsid w:val="390E5EBF"/>
    <w:rsid w:val="390F7E89"/>
    <w:rsid w:val="39111E53"/>
    <w:rsid w:val="39137979"/>
    <w:rsid w:val="3914223C"/>
    <w:rsid w:val="39171238"/>
    <w:rsid w:val="39175FEC"/>
    <w:rsid w:val="39194863"/>
    <w:rsid w:val="391A2AB5"/>
    <w:rsid w:val="391B4A7F"/>
    <w:rsid w:val="391C09CE"/>
    <w:rsid w:val="391D4354"/>
    <w:rsid w:val="391F00CC"/>
    <w:rsid w:val="391F631E"/>
    <w:rsid w:val="39245CCA"/>
    <w:rsid w:val="39273424"/>
    <w:rsid w:val="392A6A70"/>
    <w:rsid w:val="392E47B3"/>
    <w:rsid w:val="393A3157"/>
    <w:rsid w:val="393C3656"/>
    <w:rsid w:val="393C6ED0"/>
    <w:rsid w:val="393D49F6"/>
    <w:rsid w:val="39406294"/>
    <w:rsid w:val="394144E6"/>
    <w:rsid w:val="394418E0"/>
    <w:rsid w:val="39445D84"/>
    <w:rsid w:val="394B7113"/>
    <w:rsid w:val="394F0285"/>
    <w:rsid w:val="39504729"/>
    <w:rsid w:val="3958193A"/>
    <w:rsid w:val="39610843"/>
    <w:rsid w:val="396401D4"/>
    <w:rsid w:val="39671A73"/>
    <w:rsid w:val="396C0E37"/>
    <w:rsid w:val="396E2E01"/>
    <w:rsid w:val="396F26D5"/>
    <w:rsid w:val="397523E2"/>
    <w:rsid w:val="39783ED8"/>
    <w:rsid w:val="397C3770"/>
    <w:rsid w:val="397D1296"/>
    <w:rsid w:val="397D30A7"/>
    <w:rsid w:val="397D68DB"/>
    <w:rsid w:val="398048E2"/>
    <w:rsid w:val="3982065B"/>
    <w:rsid w:val="3986014B"/>
    <w:rsid w:val="39873CFE"/>
    <w:rsid w:val="39882115"/>
    <w:rsid w:val="39894E7E"/>
    <w:rsid w:val="39897C3B"/>
    <w:rsid w:val="398E6FFF"/>
    <w:rsid w:val="399565E0"/>
    <w:rsid w:val="39974106"/>
    <w:rsid w:val="39981A21"/>
    <w:rsid w:val="39981C2C"/>
    <w:rsid w:val="399A3CEC"/>
    <w:rsid w:val="399B34CA"/>
    <w:rsid w:val="399F120C"/>
    <w:rsid w:val="399F745E"/>
    <w:rsid w:val="39A46823"/>
    <w:rsid w:val="39A9208B"/>
    <w:rsid w:val="39B00E59"/>
    <w:rsid w:val="39B051C8"/>
    <w:rsid w:val="39B32F0A"/>
    <w:rsid w:val="39BA7DF4"/>
    <w:rsid w:val="39BB513C"/>
    <w:rsid w:val="39BD0B31"/>
    <w:rsid w:val="39BD1729"/>
    <w:rsid w:val="39C12F31"/>
    <w:rsid w:val="39C26CA9"/>
    <w:rsid w:val="39CB0253"/>
    <w:rsid w:val="39CB2002"/>
    <w:rsid w:val="39CE38A0"/>
    <w:rsid w:val="39D32C64"/>
    <w:rsid w:val="39D37108"/>
    <w:rsid w:val="39E23492"/>
    <w:rsid w:val="39E430C3"/>
    <w:rsid w:val="39E5159B"/>
    <w:rsid w:val="39E6508D"/>
    <w:rsid w:val="39E84962"/>
    <w:rsid w:val="39E94734"/>
    <w:rsid w:val="39F50E2C"/>
    <w:rsid w:val="39F54117"/>
    <w:rsid w:val="39F71049"/>
    <w:rsid w:val="39FC040D"/>
    <w:rsid w:val="39FF1CAB"/>
    <w:rsid w:val="3A02042E"/>
    <w:rsid w:val="3A06128C"/>
    <w:rsid w:val="3A103EB8"/>
    <w:rsid w:val="3A115853"/>
    <w:rsid w:val="3A125E82"/>
    <w:rsid w:val="3A15327D"/>
    <w:rsid w:val="3A173499"/>
    <w:rsid w:val="3A184E0C"/>
    <w:rsid w:val="3A185E09"/>
    <w:rsid w:val="3A192D6D"/>
    <w:rsid w:val="3A1A0893"/>
    <w:rsid w:val="3A1C285D"/>
    <w:rsid w:val="3A1E0383"/>
    <w:rsid w:val="3A1E4827"/>
    <w:rsid w:val="3A282FB0"/>
    <w:rsid w:val="3A2B2AA0"/>
    <w:rsid w:val="3A325BDD"/>
    <w:rsid w:val="3A330510"/>
    <w:rsid w:val="3A3A2CE3"/>
    <w:rsid w:val="3A43603C"/>
    <w:rsid w:val="3A4361F4"/>
    <w:rsid w:val="3A44746C"/>
    <w:rsid w:val="3A5007F7"/>
    <w:rsid w:val="3A5169AB"/>
    <w:rsid w:val="3A5320BE"/>
    <w:rsid w:val="3A557B1D"/>
    <w:rsid w:val="3A5B15D7"/>
    <w:rsid w:val="3A5E4C24"/>
    <w:rsid w:val="3A612966"/>
    <w:rsid w:val="3A614714"/>
    <w:rsid w:val="3A6366DE"/>
    <w:rsid w:val="3A654204"/>
    <w:rsid w:val="3A667F7C"/>
    <w:rsid w:val="3A670DAD"/>
    <w:rsid w:val="3A685AA2"/>
    <w:rsid w:val="3A6A181A"/>
    <w:rsid w:val="3A6A7A6C"/>
    <w:rsid w:val="3A6D30B9"/>
    <w:rsid w:val="3A72247D"/>
    <w:rsid w:val="3A7772AB"/>
    <w:rsid w:val="3A7C154E"/>
    <w:rsid w:val="3A7C5D33"/>
    <w:rsid w:val="3A7E0E22"/>
    <w:rsid w:val="3A7F68A3"/>
    <w:rsid w:val="3A810912"/>
    <w:rsid w:val="3A8723CC"/>
    <w:rsid w:val="3A8A77C7"/>
    <w:rsid w:val="3A8F1281"/>
    <w:rsid w:val="3A946897"/>
    <w:rsid w:val="3A970136"/>
    <w:rsid w:val="3A9B7C26"/>
    <w:rsid w:val="3A9E7716"/>
    <w:rsid w:val="3AA06FEA"/>
    <w:rsid w:val="3AA80595"/>
    <w:rsid w:val="3AA84C48"/>
    <w:rsid w:val="3AB0704B"/>
    <w:rsid w:val="3AB33BF5"/>
    <w:rsid w:val="3AB610E6"/>
    <w:rsid w:val="3ABB2076"/>
    <w:rsid w:val="3ABE26DA"/>
    <w:rsid w:val="3AC01F67"/>
    <w:rsid w:val="3AC10DCA"/>
    <w:rsid w:val="3AC145EF"/>
    <w:rsid w:val="3AC4360F"/>
    <w:rsid w:val="3AC52EF5"/>
    <w:rsid w:val="3AC802EF"/>
    <w:rsid w:val="3ACA4067"/>
    <w:rsid w:val="3ACF78CF"/>
    <w:rsid w:val="3AD1189A"/>
    <w:rsid w:val="3AD201CE"/>
    <w:rsid w:val="3AD273C0"/>
    <w:rsid w:val="3AD35612"/>
    <w:rsid w:val="3AD44EE6"/>
    <w:rsid w:val="3AD60C5E"/>
    <w:rsid w:val="3AD82C28"/>
    <w:rsid w:val="3ADE5D64"/>
    <w:rsid w:val="3AEC66D3"/>
    <w:rsid w:val="3AF15A98"/>
    <w:rsid w:val="3AF31810"/>
    <w:rsid w:val="3AFD071A"/>
    <w:rsid w:val="3AFE01B5"/>
    <w:rsid w:val="3AFE1D57"/>
    <w:rsid w:val="3AFF5295"/>
    <w:rsid w:val="3B005CDB"/>
    <w:rsid w:val="3B043A1D"/>
    <w:rsid w:val="3B057795"/>
    <w:rsid w:val="3B077069"/>
    <w:rsid w:val="3B0943AD"/>
    <w:rsid w:val="3B0D3370"/>
    <w:rsid w:val="3B0D50A0"/>
    <w:rsid w:val="3B0F5F1E"/>
    <w:rsid w:val="3B111C96"/>
    <w:rsid w:val="3B114B45"/>
    <w:rsid w:val="3B14592F"/>
    <w:rsid w:val="3B15706C"/>
    <w:rsid w:val="3B26574C"/>
    <w:rsid w:val="3B2714BA"/>
    <w:rsid w:val="3B273268"/>
    <w:rsid w:val="3B2A2D58"/>
    <w:rsid w:val="3B31058A"/>
    <w:rsid w:val="3B3140E6"/>
    <w:rsid w:val="3B350E3B"/>
    <w:rsid w:val="3B3616FD"/>
    <w:rsid w:val="3B3A381D"/>
    <w:rsid w:val="3B3B31B7"/>
    <w:rsid w:val="3B3E6803"/>
    <w:rsid w:val="3B464036"/>
    <w:rsid w:val="3B47390A"/>
    <w:rsid w:val="3B4C0F20"/>
    <w:rsid w:val="3B4E4C98"/>
    <w:rsid w:val="3B4E6A46"/>
    <w:rsid w:val="3B4F0A10"/>
    <w:rsid w:val="3B5079C1"/>
    <w:rsid w:val="3B521AA4"/>
    <w:rsid w:val="3B556027"/>
    <w:rsid w:val="3B563B4D"/>
    <w:rsid w:val="3B567FF1"/>
    <w:rsid w:val="3B5953EB"/>
    <w:rsid w:val="3B5A363D"/>
    <w:rsid w:val="3B6B584A"/>
    <w:rsid w:val="3B6C511E"/>
    <w:rsid w:val="3B6F4C0F"/>
    <w:rsid w:val="3B7364AD"/>
    <w:rsid w:val="3B762441"/>
    <w:rsid w:val="3B77292C"/>
    <w:rsid w:val="3B784A35"/>
    <w:rsid w:val="3B786297"/>
    <w:rsid w:val="3B787B31"/>
    <w:rsid w:val="3B7B2A20"/>
    <w:rsid w:val="3B7F30A4"/>
    <w:rsid w:val="3B806E1C"/>
    <w:rsid w:val="3B867253"/>
    <w:rsid w:val="3B8738E2"/>
    <w:rsid w:val="3B892174"/>
    <w:rsid w:val="3B893F22"/>
    <w:rsid w:val="3B8A07A5"/>
    <w:rsid w:val="3B8B1764"/>
    <w:rsid w:val="3B8C3A12"/>
    <w:rsid w:val="3B914366"/>
    <w:rsid w:val="3B914B85"/>
    <w:rsid w:val="3B9823B7"/>
    <w:rsid w:val="3B994239"/>
    <w:rsid w:val="3B9BD9AB"/>
    <w:rsid w:val="3B9D352A"/>
    <w:rsid w:val="3B9F54F4"/>
    <w:rsid w:val="3BA64AD4"/>
    <w:rsid w:val="3BA96372"/>
    <w:rsid w:val="3BAA5C47"/>
    <w:rsid w:val="3BAB3E99"/>
    <w:rsid w:val="3BB014AF"/>
    <w:rsid w:val="3BB0325D"/>
    <w:rsid w:val="3BB05953"/>
    <w:rsid w:val="3BB32D4D"/>
    <w:rsid w:val="3BB53761"/>
    <w:rsid w:val="3BB76528"/>
    <w:rsid w:val="3BB93D77"/>
    <w:rsid w:val="3BBA55A3"/>
    <w:rsid w:val="3BBF16F2"/>
    <w:rsid w:val="3BC07551"/>
    <w:rsid w:val="3BC431AC"/>
    <w:rsid w:val="3BC60CD2"/>
    <w:rsid w:val="3BC62A80"/>
    <w:rsid w:val="3BC82016"/>
    <w:rsid w:val="3BC84C3B"/>
    <w:rsid w:val="3BCD02B3"/>
    <w:rsid w:val="3BD05266"/>
    <w:rsid w:val="3BD05797"/>
    <w:rsid w:val="3BD11425"/>
    <w:rsid w:val="3BDA29D0"/>
    <w:rsid w:val="3BDC22A4"/>
    <w:rsid w:val="3BDD7DCA"/>
    <w:rsid w:val="3BDF3B42"/>
    <w:rsid w:val="3BDF69CD"/>
    <w:rsid w:val="3BE178BA"/>
    <w:rsid w:val="3BE467DE"/>
    <w:rsid w:val="3BEA1D5A"/>
    <w:rsid w:val="3BEC625F"/>
    <w:rsid w:val="3BED2703"/>
    <w:rsid w:val="3BEE647B"/>
    <w:rsid w:val="3BF55114"/>
    <w:rsid w:val="3BF75330"/>
    <w:rsid w:val="3BFA7F2E"/>
    <w:rsid w:val="3BFC3324"/>
    <w:rsid w:val="3BFD221A"/>
    <w:rsid w:val="3C005D06"/>
    <w:rsid w:val="3C033CD5"/>
    <w:rsid w:val="3C065573"/>
    <w:rsid w:val="3C074E47"/>
    <w:rsid w:val="3C0812EB"/>
    <w:rsid w:val="3C0B0DDB"/>
    <w:rsid w:val="3C0C372A"/>
    <w:rsid w:val="3C1001A0"/>
    <w:rsid w:val="3C131A3E"/>
    <w:rsid w:val="3C183F8D"/>
    <w:rsid w:val="3C1934F8"/>
    <w:rsid w:val="3C1C54DF"/>
    <w:rsid w:val="3C1F6635"/>
    <w:rsid w:val="3C277297"/>
    <w:rsid w:val="3C28373B"/>
    <w:rsid w:val="3C297AE3"/>
    <w:rsid w:val="3C2B322B"/>
    <w:rsid w:val="3C302214"/>
    <w:rsid w:val="3C30439E"/>
    <w:rsid w:val="3C3519B4"/>
    <w:rsid w:val="3C355E58"/>
    <w:rsid w:val="3C387A53"/>
    <w:rsid w:val="3C3A346E"/>
    <w:rsid w:val="3C3A6FCB"/>
    <w:rsid w:val="3C3C2D43"/>
    <w:rsid w:val="3C3C71E7"/>
    <w:rsid w:val="3C416E53"/>
    <w:rsid w:val="3C432323"/>
    <w:rsid w:val="3C4542ED"/>
    <w:rsid w:val="3C4B11D8"/>
    <w:rsid w:val="3C567DFC"/>
    <w:rsid w:val="3C59493B"/>
    <w:rsid w:val="3C5B110D"/>
    <w:rsid w:val="3C5C1231"/>
    <w:rsid w:val="3C5C5193"/>
    <w:rsid w:val="3C5F2ED5"/>
    <w:rsid w:val="3C642299"/>
    <w:rsid w:val="3C6B187A"/>
    <w:rsid w:val="3C7050E2"/>
    <w:rsid w:val="3C7249B6"/>
    <w:rsid w:val="3C74072E"/>
    <w:rsid w:val="3C746980"/>
    <w:rsid w:val="3C78015A"/>
    <w:rsid w:val="3C7C3A87"/>
    <w:rsid w:val="3C7C75E3"/>
    <w:rsid w:val="3C814BF9"/>
    <w:rsid w:val="3C88242C"/>
    <w:rsid w:val="3C8C2855"/>
    <w:rsid w:val="3C917532"/>
    <w:rsid w:val="3C921ABF"/>
    <w:rsid w:val="3C940DD1"/>
    <w:rsid w:val="3C990195"/>
    <w:rsid w:val="3C991F43"/>
    <w:rsid w:val="3C9B3F0D"/>
    <w:rsid w:val="3C9D4AD8"/>
    <w:rsid w:val="3C9E57AB"/>
    <w:rsid w:val="3CA1704A"/>
    <w:rsid w:val="3CAC7F7E"/>
    <w:rsid w:val="3CAF1767"/>
    <w:rsid w:val="3CB23005"/>
    <w:rsid w:val="3CB64228"/>
    <w:rsid w:val="3CBC39F2"/>
    <w:rsid w:val="3CC52D38"/>
    <w:rsid w:val="3CC549B2"/>
    <w:rsid w:val="3CC756CE"/>
    <w:rsid w:val="3CCA23FD"/>
    <w:rsid w:val="3CCB40C7"/>
    <w:rsid w:val="3CCD6091"/>
    <w:rsid w:val="3CD13E73"/>
    <w:rsid w:val="3CD1792F"/>
    <w:rsid w:val="3CD613E9"/>
    <w:rsid w:val="3CD64F45"/>
    <w:rsid w:val="3CD70CBD"/>
    <w:rsid w:val="3CD8563D"/>
    <w:rsid w:val="3CDB55BC"/>
    <w:rsid w:val="3CDC209E"/>
    <w:rsid w:val="3CE05DC4"/>
    <w:rsid w:val="3CE37662"/>
    <w:rsid w:val="3CE82ECA"/>
    <w:rsid w:val="3CEC4769"/>
    <w:rsid w:val="3CF03B2D"/>
    <w:rsid w:val="3CF35D7D"/>
    <w:rsid w:val="3CFD45D1"/>
    <w:rsid w:val="3CFE354F"/>
    <w:rsid w:val="3CFE624A"/>
    <w:rsid w:val="3CFE65DA"/>
    <w:rsid w:val="3D023F8C"/>
    <w:rsid w:val="3D0575D8"/>
    <w:rsid w:val="3D0870C9"/>
    <w:rsid w:val="3D0E0B83"/>
    <w:rsid w:val="3D0F66A9"/>
    <w:rsid w:val="3D111306"/>
    <w:rsid w:val="3D112A47"/>
    <w:rsid w:val="3D136199"/>
    <w:rsid w:val="3D170581"/>
    <w:rsid w:val="3D1C4582"/>
    <w:rsid w:val="3D1D0DC6"/>
    <w:rsid w:val="3D275DDF"/>
    <w:rsid w:val="3D281519"/>
    <w:rsid w:val="3D2832C7"/>
    <w:rsid w:val="3D2C012D"/>
    <w:rsid w:val="3D2C1009"/>
    <w:rsid w:val="3D3037D3"/>
    <w:rsid w:val="3D346110"/>
    <w:rsid w:val="3D3B124C"/>
    <w:rsid w:val="3D42082D"/>
    <w:rsid w:val="3D4218E5"/>
    <w:rsid w:val="3D422EA6"/>
    <w:rsid w:val="3D436353"/>
    <w:rsid w:val="3D4445A5"/>
    <w:rsid w:val="3D4C3F9F"/>
    <w:rsid w:val="3D4E5423"/>
    <w:rsid w:val="3D5567B2"/>
    <w:rsid w:val="3D596C39"/>
    <w:rsid w:val="3D5C7BBB"/>
    <w:rsid w:val="3D5F318D"/>
    <w:rsid w:val="3D65276D"/>
    <w:rsid w:val="3D670293"/>
    <w:rsid w:val="3D69400B"/>
    <w:rsid w:val="3D6A1B31"/>
    <w:rsid w:val="3D6C17CD"/>
    <w:rsid w:val="3D6E5CC0"/>
    <w:rsid w:val="3D7309E6"/>
    <w:rsid w:val="3D74475E"/>
    <w:rsid w:val="3D785FFC"/>
    <w:rsid w:val="3D7DF3D5"/>
    <w:rsid w:val="3D8250CD"/>
    <w:rsid w:val="3D882E46"/>
    <w:rsid w:val="3D891FB8"/>
    <w:rsid w:val="3D8928C8"/>
    <w:rsid w:val="3D8A5D30"/>
    <w:rsid w:val="3D8B21D4"/>
    <w:rsid w:val="3D8B4BB3"/>
    <w:rsid w:val="3D8E5820"/>
    <w:rsid w:val="3D931088"/>
    <w:rsid w:val="3D9372DA"/>
    <w:rsid w:val="3D9D458A"/>
    <w:rsid w:val="3D9F17DB"/>
    <w:rsid w:val="3D9F5C7F"/>
    <w:rsid w:val="3DA45043"/>
    <w:rsid w:val="3DA60DBB"/>
    <w:rsid w:val="3DAF1129"/>
    <w:rsid w:val="3DAF18C9"/>
    <w:rsid w:val="3DB01C3A"/>
    <w:rsid w:val="3DB1150E"/>
    <w:rsid w:val="3DBB238D"/>
    <w:rsid w:val="3DBF0D08"/>
    <w:rsid w:val="3DC2196D"/>
    <w:rsid w:val="3DC2600D"/>
    <w:rsid w:val="3DC54FBA"/>
    <w:rsid w:val="3DC56D68"/>
    <w:rsid w:val="3DC92C27"/>
    <w:rsid w:val="3DD05E38"/>
    <w:rsid w:val="3DD07BE6"/>
    <w:rsid w:val="3DD35929"/>
    <w:rsid w:val="3DD60F75"/>
    <w:rsid w:val="3DD75419"/>
    <w:rsid w:val="3DDA4EC3"/>
    <w:rsid w:val="3DDB4281"/>
    <w:rsid w:val="3DDD0555"/>
    <w:rsid w:val="3DDD2303"/>
    <w:rsid w:val="3DE2791A"/>
    <w:rsid w:val="3DE43692"/>
    <w:rsid w:val="3DE552C4"/>
    <w:rsid w:val="3DE74F30"/>
    <w:rsid w:val="3DE851CB"/>
    <w:rsid w:val="3DE96EFA"/>
    <w:rsid w:val="3DEC0798"/>
    <w:rsid w:val="3DEC2546"/>
    <w:rsid w:val="3DEC2F7C"/>
    <w:rsid w:val="3DED7156"/>
    <w:rsid w:val="3DEE4511"/>
    <w:rsid w:val="3DEF3ED8"/>
    <w:rsid w:val="3DF04B24"/>
    <w:rsid w:val="3DF05AD7"/>
    <w:rsid w:val="3DF66D78"/>
    <w:rsid w:val="3DFD6502"/>
    <w:rsid w:val="3DFF671E"/>
    <w:rsid w:val="3DFF7B39"/>
    <w:rsid w:val="3E012496"/>
    <w:rsid w:val="3E037BC6"/>
    <w:rsid w:val="3E0B0C1F"/>
    <w:rsid w:val="3E0B6E71"/>
    <w:rsid w:val="3E0C2BE9"/>
    <w:rsid w:val="3E0C4997"/>
    <w:rsid w:val="3E0E4BB3"/>
    <w:rsid w:val="3E111FAD"/>
    <w:rsid w:val="3E1201FF"/>
    <w:rsid w:val="3E126607"/>
    <w:rsid w:val="3E1321C9"/>
    <w:rsid w:val="3E135D25"/>
    <w:rsid w:val="3E157CEF"/>
    <w:rsid w:val="3E1877DF"/>
    <w:rsid w:val="3E1D6BA4"/>
    <w:rsid w:val="3E1E5F84"/>
    <w:rsid w:val="3E2241BA"/>
    <w:rsid w:val="3E247F32"/>
    <w:rsid w:val="3E2919ED"/>
    <w:rsid w:val="3E2C6DE7"/>
    <w:rsid w:val="3E2D4E5B"/>
    <w:rsid w:val="3E2E7BB4"/>
    <w:rsid w:val="3E2F0C3B"/>
    <w:rsid w:val="3E3363C7"/>
    <w:rsid w:val="3E353EED"/>
    <w:rsid w:val="3E393D7E"/>
    <w:rsid w:val="3E3C1720"/>
    <w:rsid w:val="3E3E4857"/>
    <w:rsid w:val="3E43485C"/>
    <w:rsid w:val="3E491747"/>
    <w:rsid w:val="3E4E4FAF"/>
    <w:rsid w:val="3E4F1453"/>
    <w:rsid w:val="3E502AD5"/>
    <w:rsid w:val="3E5500EC"/>
    <w:rsid w:val="3E587BDC"/>
    <w:rsid w:val="3E5C591E"/>
    <w:rsid w:val="3E611186"/>
    <w:rsid w:val="3E647289"/>
    <w:rsid w:val="3E6E11AD"/>
    <w:rsid w:val="3E7013C9"/>
    <w:rsid w:val="3E703177"/>
    <w:rsid w:val="3E706D32"/>
    <w:rsid w:val="3E7253B2"/>
    <w:rsid w:val="3E773FDB"/>
    <w:rsid w:val="3E7A3FF6"/>
    <w:rsid w:val="3E7C1B1C"/>
    <w:rsid w:val="3E810EE1"/>
    <w:rsid w:val="3E8310FD"/>
    <w:rsid w:val="3E833CA2"/>
    <w:rsid w:val="3E8B7FB1"/>
    <w:rsid w:val="3E8D1066"/>
    <w:rsid w:val="3E915F42"/>
    <w:rsid w:val="3E95498C"/>
    <w:rsid w:val="3E9B4AFA"/>
    <w:rsid w:val="3EA008B3"/>
    <w:rsid w:val="3EA13331"/>
    <w:rsid w:val="3EA177D5"/>
    <w:rsid w:val="3EA32690"/>
    <w:rsid w:val="3EA82911"/>
    <w:rsid w:val="3EA86D31"/>
    <w:rsid w:val="3EAA48DB"/>
    <w:rsid w:val="3EAB41B0"/>
    <w:rsid w:val="3EB47046"/>
    <w:rsid w:val="3EB56DDC"/>
    <w:rsid w:val="3EB77FC0"/>
    <w:rsid w:val="3EB8F144"/>
    <w:rsid w:val="3EBA43F3"/>
    <w:rsid w:val="3EBB0897"/>
    <w:rsid w:val="3EBC63BD"/>
    <w:rsid w:val="3EC31134"/>
    <w:rsid w:val="3EC55271"/>
    <w:rsid w:val="3EC569CC"/>
    <w:rsid w:val="3EC82AE0"/>
    <w:rsid w:val="3ECB02E8"/>
    <w:rsid w:val="3ECC2AA4"/>
    <w:rsid w:val="3ECD05CA"/>
    <w:rsid w:val="3ECE5174"/>
    <w:rsid w:val="3ECF4342"/>
    <w:rsid w:val="3ED01E68"/>
    <w:rsid w:val="3ED100BA"/>
    <w:rsid w:val="3ED25BE0"/>
    <w:rsid w:val="3ED71449"/>
    <w:rsid w:val="3EDA6843"/>
    <w:rsid w:val="3EDB4A95"/>
    <w:rsid w:val="3EE2431F"/>
    <w:rsid w:val="3EE31B9B"/>
    <w:rsid w:val="3EE33949"/>
    <w:rsid w:val="3EE37DED"/>
    <w:rsid w:val="3EE53B65"/>
    <w:rsid w:val="3EE55913"/>
    <w:rsid w:val="3EE667C3"/>
    <w:rsid w:val="3EE85404"/>
    <w:rsid w:val="3EEC4EF4"/>
    <w:rsid w:val="3EEC578B"/>
    <w:rsid w:val="3EF141B2"/>
    <w:rsid w:val="3EF26282"/>
    <w:rsid w:val="3F03223E"/>
    <w:rsid w:val="3F073ADC"/>
    <w:rsid w:val="3F0C2EA1"/>
    <w:rsid w:val="3F0C5F30"/>
    <w:rsid w:val="3F0F473E"/>
    <w:rsid w:val="3F1078E2"/>
    <w:rsid w:val="3F1104B7"/>
    <w:rsid w:val="3F12422F"/>
    <w:rsid w:val="3F1461F9"/>
    <w:rsid w:val="3F19736B"/>
    <w:rsid w:val="3F1A348F"/>
    <w:rsid w:val="3F244EFE"/>
    <w:rsid w:val="3F2521B4"/>
    <w:rsid w:val="3F2538C4"/>
    <w:rsid w:val="3F281CA4"/>
    <w:rsid w:val="3F2A1772"/>
    <w:rsid w:val="3F2A5A1C"/>
    <w:rsid w:val="3F2C52F0"/>
    <w:rsid w:val="3F2F4DE1"/>
    <w:rsid w:val="3F36616F"/>
    <w:rsid w:val="3F381EE7"/>
    <w:rsid w:val="3F395C5F"/>
    <w:rsid w:val="3F424B14"/>
    <w:rsid w:val="3F446ADE"/>
    <w:rsid w:val="3F473ED8"/>
    <w:rsid w:val="3F504956"/>
    <w:rsid w:val="3F512FA9"/>
    <w:rsid w:val="3F514D57"/>
    <w:rsid w:val="3F55760A"/>
    <w:rsid w:val="3F593C0C"/>
    <w:rsid w:val="3F5B3E28"/>
    <w:rsid w:val="3F6031EC"/>
    <w:rsid w:val="3F613517"/>
    <w:rsid w:val="3F6251B6"/>
    <w:rsid w:val="3F6525B0"/>
    <w:rsid w:val="3F656A54"/>
    <w:rsid w:val="3F670AB5"/>
    <w:rsid w:val="3F6A406B"/>
    <w:rsid w:val="3F6A7BC7"/>
    <w:rsid w:val="3F6D76B7"/>
    <w:rsid w:val="3F6E1839"/>
    <w:rsid w:val="3F6F612B"/>
    <w:rsid w:val="3F732F1F"/>
    <w:rsid w:val="3F7647BE"/>
    <w:rsid w:val="3F765ACC"/>
    <w:rsid w:val="3F76656C"/>
    <w:rsid w:val="3F874C1D"/>
    <w:rsid w:val="3F892743"/>
    <w:rsid w:val="3F8C2233"/>
    <w:rsid w:val="3F8C3FE1"/>
    <w:rsid w:val="3F8F3AD1"/>
    <w:rsid w:val="3F9115F7"/>
    <w:rsid w:val="3F926F03"/>
    <w:rsid w:val="3F93711E"/>
    <w:rsid w:val="3F9E5AC2"/>
    <w:rsid w:val="3F9F1F66"/>
    <w:rsid w:val="3FA41967"/>
    <w:rsid w:val="3FA4757D"/>
    <w:rsid w:val="3FA53294"/>
    <w:rsid w:val="3FA532F5"/>
    <w:rsid w:val="3FA72BC9"/>
    <w:rsid w:val="3FA806EF"/>
    <w:rsid w:val="3FAA4467"/>
    <w:rsid w:val="3FAB5528"/>
    <w:rsid w:val="3FAE03FB"/>
    <w:rsid w:val="3FAFCEE3"/>
    <w:rsid w:val="3FB53538"/>
    <w:rsid w:val="3FB730B0"/>
    <w:rsid w:val="3FB926FD"/>
    <w:rsid w:val="3FBB6674"/>
    <w:rsid w:val="3FCA0F51"/>
    <w:rsid w:val="3FCB2D5B"/>
    <w:rsid w:val="3FCE0156"/>
    <w:rsid w:val="3FCE45FA"/>
    <w:rsid w:val="3FD12C67"/>
    <w:rsid w:val="3FD444AC"/>
    <w:rsid w:val="3FD55988"/>
    <w:rsid w:val="3FD6525C"/>
    <w:rsid w:val="3FDA2F9E"/>
    <w:rsid w:val="3FDF62D0"/>
    <w:rsid w:val="3FE10479"/>
    <w:rsid w:val="3FE14452"/>
    <w:rsid w:val="3FE500BD"/>
    <w:rsid w:val="3FE5045E"/>
    <w:rsid w:val="3FE77469"/>
    <w:rsid w:val="3FEF631E"/>
    <w:rsid w:val="3FF04570"/>
    <w:rsid w:val="3FF516E0"/>
    <w:rsid w:val="3FF81676"/>
    <w:rsid w:val="3FF937BF"/>
    <w:rsid w:val="3FFA0F4B"/>
    <w:rsid w:val="3FFB5E00"/>
    <w:rsid w:val="3FFC1167"/>
    <w:rsid w:val="3FFD7CE2"/>
    <w:rsid w:val="3FFF0C57"/>
    <w:rsid w:val="3FFF27F6"/>
    <w:rsid w:val="400022D9"/>
    <w:rsid w:val="40010AE9"/>
    <w:rsid w:val="400208B8"/>
    <w:rsid w:val="400B1FA5"/>
    <w:rsid w:val="400B75FC"/>
    <w:rsid w:val="400C0C7E"/>
    <w:rsid w:val="400E2C48"/>
    <w:rsid w:val="400E49F6"/>
    <w:rsid w:val="401144E6"/>
    <w:rsid w:val="40181311"/>
    <w:rsid w:val="401D732F"/>
    <w:rsid w:val="4024246B"/>
    <w:rsid w:val="40291830"/>
    <w:rsid w:val="402C30CE"/>
    <w:rsid w:val="402E5098"/>
    <w:rsid w:val="403326AF"/>
    <w:rsid w:val="4033445D"/>
    <w:rsid w:val="403703F1"/>
    <w:rsid w:val="4037219F"/>
    <w:rsid w:val="40394469"/>
    <w:rsid w:val="403A3A3D"/>
    <w:rsid w:val="403D6660"/>
    <w:rsid w:val="403E177F"/>
    <w:rsid w:val="403F05D2"/>
    <w:rsid w:val="40477F08"/>
    <w:rsid w:val="404B5C4A"/>
    <w:rsid w:val="404B79F8"/>
    <w:rsid w:val="404C08C7"/>
    <w:rsid w:val="404F075D"/>
    <w:rsid w:val="40503261"/>
    <w:rsid w:val="40531A47"/>
    <w:rsid w:val="40552625"/>
    <w:rsid w:val="40572841"/>
    <w:rsid w:val="405F34A4"/>
    <w:rsid w:val="4061721C"/>
    <w:rsid w:val="40632F94"/>
    <w:rsid w:val="40670F92"/>
    <w:rsid w:val="406A3E50"/>
    <w:rsid w:val="406A6685"/>
    <w:rsid w:val="406F355B"/>
    <w:rsid w:val="40754A75"/>
    <w:rsid w:val="407707ED"/>
    <w:rsid w:val="40786313"/>
    <w:rsid w:val="407A535C"/>
    <w:rsid w:val="407E705F"/>
    <w:rsid w:val="408105F8"/>
    <w:rsid w:val="408353E4"/>
    <w:rsid w:val="4084115C"/>
    <w:rsid w:val="40842F0A"/>
    <w:rsid w:val="408567EE"/>
    <w:rsid w:val="40890521"/>
    <w:rsid w:val="408B4299"/>
    <w:rsid w:val="408D6263"/>
    <w:rsid w:val="408F1FDB"/>
    <w:rsid w:val="40955117"/>
    <w:rsid w:val="40980764"/>
    <w:rsid w:val="409A44DC"/>
    <w:rsid w:val="409C3422"/>
    <w:rsid w:val="409D5D7A"/>
    <w:rsid w:val="409E3FCC"/>
    <w:rsid w:val="40A47108"/>
    <w:rsid w:val="40A67324"/>
    <w:rsid w:val="40AA6712"/>
    <w:rsid w:val="40AB0497"/>
    <w:rsid w:val="40AB493B"/>
    <w:rsid w:val="40B01F51"/>
    <w:rsid w:val="40B03CFF"/>
    <w:rsid w:val="40B7554D"/>
    <w:rsid w:val="40BC08F6"/>
    <w:rsid w:val="40BF2194"/>
    <w:rsid w:val="40C41559"/>
    <w:rsid w:val="40C477AB"/>
    <w:rsid w:val="40CA3013"/>
    <w:rsid w:val="40CD48B1"/>
    <w:rsid w:val="40CE4185"/>
    <w:rsid w:val="40CF687B"/>
    <w:rsid w:val="40D23C76"/>
    <w:rsid w:val="40D2591E"/>
    <w:rsid w:val="40D519B8"/>
    <w:rsid w:val="40D53766"/>
    <w:rsid w:val="40D93256"/>
    <w:rsid w:val="40DB5220"/>
    <w:rsid w:val="40DB6EBE"/>
    <w:rsid w:val="40DC2D46"/>
    <w:rsid w:val="40DE6ABE"/>
    <w:rsid w:val="40E045E4"/>
    <w:rsid w:val="40E12B6F"/>
    <w:rsid w:val="40E63BC5"/>
    <w:rsid w:val="40E85247"/>
    <w:rsid w:val="40ED0AAF"/>
    <w:rsid w:val="40F04D7E"/>
    <w:rsid w:val="40F94E1F"/>
    <w:rsid w:val="40FC6F44"/>
    <w:rsid w:val="410A340F"/>
    <w:rsid w:val="410B1EE2"/>
    <w:rsid w:val="410B461F"/>
    <w:rsid w:val="410D4CAE"/>
    <w:rsid w:val="410D7C62"/>
    <w:rsid w:val="41197AF6"/>
    <w:rsid w:val="411E510D"/>
    <w:rsid w:val="411F213D"/>
    <w:rsid w:val="41202C33"/>
    <w:rsid w:val="41205106"/>
    <w:rsid w:val="41265D6F"/>
    <w:rsid w:val="41273B47"/>
    <w:rsid w:val="412D5350"/>
    <w:rsid w:val="41320BB8"/>
    <w:rsid w:val="41330DA8"/>
    <w:rsid w:val="4134674D"/>
    <w:rsid w:val="41354204"/>
    <w:rsid w:val="41391F47"/>
    <w:rsid w:val="413B181B"/>
    <w:rsid w:val="413B5CBF"/>
    <w:rsid w:val="41401527"/>
    <w:rsid w:val="414032D5"/>
    <w:rsid w:val="41405083"/>
    <w:rsid w:val="41406E31"/>
    <w:rsid w:val="41412BA9"/>
    <w:rsid w:val="4143582D"/>
    <w:rsid w:val="41453051"/>
    <w:rsid w:val="414A1681"/>
    <w:rsid w:val="414C1879"/>
    <w:rsid w:val="414C1C7A"/>
    <w:rsid w:val="414D154E"/>
    <w:rsid w:val="414F3518"/>
    <w:rsid w:val="41517290"/>
    <w:rsid w:val="41526B64"/>
    <w:rsid w:val="41537A0C"/>
    <w:rsid w:val="415828C5"/>
    <w:rsid w:val="41596145"/>
    <w:rsid w:val="41596B11"/>
    <w:rsid w:val="415B010F"/>
    <w:rsid w:val="415D5C35"/>
    <w:rsid w:val="415E19AD"/>
    <w:rsid w:val="416166E5"/>
    <w:rsid w:val="4162324B"/>
    <w:rsid w:val="416845DA"/>
    <w:rsid w:val="416D1BF0"/>
    <w:rsid w:val="417116E0"/>
    <w:rsid w:val="41735459"/>
    <w:rsid w:val="417411D1"/>
    <w:rsid w:val="41762AA5"/>
    <w:rsid w:val="41766CF7"/>
    <w:rsid w:val="417C1E33"/>
    <w:rsid w:val="417E43C1"/>
    <w:rsid w:val="417F1B00"/>
    <w:rsid w:val="41801923"/>
    <w:rsid w:val="41815C1F"/>
    <w:rsid w:val="41847666"/>
    <w:rsid w:val="4187368F"/>
    <w:rsid w:val="418E2DD5"/>
    <w:rsid w:val="418F1B67"/>
    <w:rsid w:val="418F600A"/>
    <w:rsid w:val="419158DF"/>
    <w:rsid w:val="41923405"/>
    <w:rsid w:val="41931657"/>
    <w:rsid w:val="41940C0B"/>
    <w:rsid w:val="41962EF5"/>
    <w:rsid w:val="41986C6D"/>
    <w:rsid w:val="419D2747"/>
    <w:rsid w:val="41A05B22"/>
    <w:rsid w:val="41A25D3E"/>
    <w:rsid w:val="41A55CDF"/>
    <w:rsid w:val="41A90A28"/>
    <w:rsid w:val="41AE376E"/>
    <w:rsid w:val="41B15F81"/>
    <w:rsid w:val="41B314DC"/>
    <w:rsid w:val="41B455E2"/>
    <w:rsid w:val="41B45A71"/>
    <w:rsid w:val="41B82326"/>
    <w:rsid w:val="41BB6E00"/>
    <w:rsid w:val="41BD66D4"/>
    <w:rsid w:val="41C07F72"/>
    <w:rsid w:val="41C9151C"/>
    <w:rsid w:val="41C932CA"/>
    <w:rsid w:val="41C95079"/>
    <w:rsid w:val="41CE268F"/>
    <w:rsid w:val="41D946B8"/>
    <w:rsid w:val="41DD0B24"/>
    <w:rsid w:val="41E00614"/>
    <w:rsid w:val="41EF0857"/>
    <w:rsid w:val="41F1637D"/>
    <w:rsid w:val="41F30347"/>
    <w:rsid w:val="41F61BE6"/>
    <w:rsid w:val="41F8595E"/>
    <w:rsid w:val="41F90D19"/>
    <w:rsid w:val="41F93484"/>
    <w:rsid w:val="41FA16D6"/>
    <w:rsid w:val="41FB544E"/>
    <w:rsid w:val="42002A64"/>
    <w:rsid w:val="42004812"/>
    <w:rsid w:val="4202058A"/>
    <w:rsid w:val="42022339"/>
    <w:rsid w:val="42044568"/>
    <w:rsid w:val="42097B6B"/>
    <w:rsid w:val="420A743F"/>
    <w:rsid w:val="420E5181"/>
    <w:rsid w:val="420E6F2F"/>
    <w:rsid w:val="42102B0B"/>
    <w:rsid w:val="421309EA"/>
    <w:rsid w:val="4215030D"/>
    <w:rsid w:val="42156510"/>
    <w:rsid w:val="42181B5C"/>
    <w:rsid w:val="42186000"/>
    <w:rsid w:val="421B33FA"/>
    <w:rsid w:val="422449A5"/>
    <w:rsid w:val="42254279"/>
    <w:rsid w:val="4226071D"/>
    <w:rsid w:val="42293D69"/>
    <w:rsid w:val="42294DF3"/>
    <w:rsid w:val="42295B17"/>
    <w:rsid w:val="422C2C46"/>
    <w:rsid w:val="422D5F3D"/>
    <w:rsid w:val="422E5823"/>
    <w:rsid w:val="422E75D1"/>
    <w:rsid w:val="42312C1E"/>
    <w:rsid w:val="4235270E"/>
    <w:rsid w:val="423F533B"/>
    <w:rsid w:val="42401BEA"/>
    <w:rsid w:val="42424E2B"/>
    <w:rsid w:val="42426BD9"/>
    <w:rsid w:val="424E557E"/>
    <w:rsid w:val="425036A4"/>
    <w:rsid w:val="4250579A"/>
    <w:rsid w:val="425311DE"/>
    <w:rsid w:val="425764B6"/>
    <w:rsid w:val="4258626D"/>
    <w:rsid w:val="425A03C6"/>
    <w:rsid w:val="425B67F2"/>
    <w:rsid w:val="425C413F"/>
    <w:rsid w:val="425D1C65"/>
    <w:rsid w:val="425D3A13"/>
    <w:rsid w:val="42612675"/>
    <w:rsid w:val="42664FBD"/>
    <w:rsid w:val="4269060A"/>
    <w:rsid w:val="426A4432"/>
    <w:rsid w:val="426D00FA"/>
    <w:rsid w:val="426E5C20"/>
    <w:rsid w:val="42733236"/>
    <w:rsid w:val="42755200"/>
    <w:rsid w:val="42817701"/>
    <w:rsid w:val="42862F6A"/>
    <w:rsid w:val="428B5341"/>
    <w:rsid w:val="428B67D2"/>
    <w:rsid w:val="428C60A6"/>
    <w:rsid w:val="428E4CC2"/>
    <w:rsid w:val="42903638"/>
    <w:rsid w:val="42927B60"/>
    <w:rsid w:val="42932E51"/>
    <w:rsid w:val="42975177"/>
    <w:rsid w:val="42A11B51"/>
    <w:rsid w:val="42AD752A"/>
    <w:rsid w:val="42AE24C0"/>
    <w:rsid w:val="42B15B0D"/>
    <w:rsid w:val="42B23D5F"/>
    <w:rsid w:val="42B30389"/>
    <w:rsid w:val="42B432BB"/>
    <w:rsid w:val="42B71375"/>
    <w:rsid w:val="42C10446"/>
    <w:rsid w:val="42C121F4"/>
    <w:rsid w:val="42C1425F"/>
    <w:rsid w:val="42C22BD2"/>
    <w:rsid w:val="42C43A92"/>
    <w:rsid w:val="42C91C7A"/>
    <w:rsid w:val="42CB6BCE"/>
    <w:rsid w:val="42CD2946"/>
    <w:rsid w:val="42CE4911"/>
    <w:rsid w:val="42D57A4D"/>
    <w:rsid w:val="42D9578F"/>
    <w:rsid w:val="42DA5063"/>
    <w:rsid w:val="42DF267A"/>
    <w:rsid w:val="42E163F2"/>
    <w:rsid w:val="42E45EE2"/>
    <w:rsid w:val="42E756CD"/>
    <w:rsid w:val="42E934F8"/>
    <w:rsid w:val="42EB302F"/>
    <w:rsid w:val="42F00D2B"/>
    <w:rsid w:val="42F73E67"/>
    <w:rsid w:val="42F74269"/>
    <w:rsid w:val="43014CE6"/>
    <w:rsid w:val="430420E0"/>
    <w:rsid w:val="43065E58"/>
    <w:rsid w:val="430B16C1"/>
    <w:rsid w:val="430D368B"/>
    <w:rsid w:val="430D71E7"/>
    <w:rsid w:val="43104F29"/>
    <w:rsid w:val="43122A4F"/>
    <w:rsid w:val="431230C4"/>
    <w:rsid w:val="43144A19"/>
    <w:rsid w:val="43175059"/>
    <w:rsid w:val="431932BD"/>
    <w:rsid w:val="431A1904"/>
    <w:rsid w:val="431B4E6A"/>
    <w:rsid w:val="431B50A4"/>
    <w:rsid w:val="431B5DA8"/>
    <w:rsid w:val="431C1B20"/>
    <w:rsid w:val="431C38CE"/>
    <w:rsid w:val="431E7646"/>
    <w:rsid w:val="43210EE4"/>
    <w:rsid w:val="43291B47"/>
    <w:rsid w:val="43370708"/>
    <w:rsid w:val="433724B6"/>
    <w:rsid w:val="43384391"/>
    <w:rsid w:val="43397FDC"/>
    <w:rsid w:val="433B1FA6"/>
    <w:rsid w:val="434075BC"/>
    <w:rsid w:val="43430E5B"/>
    <w:rsid w:val="434370AD"/>
    <w:rsid w:val="43452E25"/>
    <w:rsid w:val="4345568E"/>
    <w:rsid w:val="434626F9"/>
    <w:rsid w:val="43485895"/>
    <w:rsid w:val="434A21E9"/>
    <w:rsid w:val="434B5F61"/>
    <w:rsid w:val="434D1CD9"/>
    <w:rsid w:val="434F1917"/>
    <w:rsid w:val="43523425"/>
    <w:rsid w:val="43525542"/>
    <w:rsid w:val="43570DAA"/>
    <w:rsid w:val="4358322F"/>
    <w:rsid w:val="435979DC"/>
    <w:rsid w:val="435A7F52"/>
    <w:rsid w:val="435C1F1C"/>
    <w:rsid w:val="43647752"/>
    <w:rsid w:val="43686B13"/>
    <w:rsid w:val="436A3581"/>
    <w:rsid w:val="436A63E7"/>
    <w:rsid w:val="437159C8"/>
    <w:rsid w:val="43721740"/>
    <w:rsid w:val="43790D20"/>
    <w:rsid w:val="437C436D"/>
    <w:rsid w:val="438C0A54"/>
    <w:rsid w:val="438D657A"/>
    <w:rsid w:val="43917E18"/>
    <w:rsid w:val="4393251E"/>
    <w:rsid w:val="43994F1E"/>
    <w:rsid w:val="43996CCD"/>
    <w:rsid w:val="439E0787"/>
    <w:rsid w:val="43A044FF"/>
    <w:rsid w:val="43A538C3"/>
    <w:rsid w:val="43A63197"/>
    <w:rsid w:val="43A85162"/>
    <w:rsid w:val="43AC2EA4"/>
    <w:rsid w:val="43AE09CA"/>
    <w:rsid w:val="43AF029E"/>
    <w:rsid w:val="43B34232"/>
    <w:rsid w:val="43B41D58"/>
    <w:rsid w:val="43BA13F1"/>
    <w:rsid w:val="43C31F9B"/>
    <w:rsid w:val="43C755E8"/>
    <w:rsid w:val="43CA50D8"/>
    <w:rsid w:val="43CB512D"/>
    <w:rsid w:val="43CD4BC8"/>
    <w:rsid w:val="43CE2E1A"/>
    <w:rsid w:val="43CF26EE"/>
    <w:rsid w:val="43CF3D81"/>
    <w:rsid w:val="43D47D05"/>
    <w:rsid w:val="43E268C5"/>
    <w:rsid w:val="43E53CC0"/>
    <w:rsid w:val="43E71B8B"/>
    <w:rsid w:val="43EC504E"/>
    <w:rsid w:val="43EE79A9"/>
    <w:rsid w:val="43F3462F"/>
    <w:rsid w:val="43F403A7"/>
    <w:rsid w:val="43F565F9"/>
    <w:rsid w:val="43F62371"/>
    <w:rsid w:val="43FA6A6A"/>
    <w:rsid w:val="43FE4D82"/>
    <w:rsid w:val="440305EA"/>
    <w:rsid w:val="44096BEA"/>
    <w:rsid w:val="44143923"/>
    <w:rsid w:val="44150A49"/>
    <w:rsid w:val="441822E7"/>
    <w:rsid w:val="441E1C36"/>
    <w:rsid w:val="441E515D"/>
    <w:rsid w:val="441F33FF"/>
    <w:rsid w:val="441F5424"/>
    <w:rsid w:val="442073EE"/>
    <w:rsid w:val="44210097"/>
    <w:rsid w:val="44250560"/>
    <w:rsid w:val="442D6577"/>
    <w:rsid w:val="442E1B0B"/>
    <w:rsid w:val="443C4228"/>
    <w:rsid w:val="44445CEF"/>
    <w:rsid w:val="44450C02"/>
    <w:rsid w:val="444924A1"/>
    <w:rsid w:val="444A7FC7"/>
    <w:rsid w:val="444C4E5D"/>
    <w:rsid w:val="444E3F5B"/>
    <w:rsid w:val="444E7AB7"/>
    <w:rsid w:val="44564BBE"/>
    <w:rsid w:val="44586B88"/>
    <w:rsid w:val="445B3BA4"/>
    <w:rsid w:val="44623562"/>
    <w:rsid w:val="44627A06"/>
    <w:rsid w:val="44663053"/>
    <w:rsid w:val="44687C45"/>
    <w:rsid w:val="44703ED1"/>
    <w:rsid w:val="44712BD9"/>
    <w:rsid w:val="44760DBC"/>
    <w:rsid w:val="44781ACB"/>
    <w:rsid w:val="447859B7"/>
    <w:rsid w:val="447F2366"/>
    <w:rsid w:val="447F26E2"/>
    <w:rsid w:val="44823C05"/>
    <w:rsid w:val="44826608"/>
    <w:rsid w:val="44872504"/>
    <w:rsid w:val="4488746D"/>
    <w:rsid w:val="44894F93"/>
    <w:rsid w:val="448B0BED"/>
    <w:rsid w:val="448C7EBE"/>
    <w:rsid w:val="448E4357"/>
    <w:rsid w:val="44935E12"/>
    <w:rsid w:val="44965602"/>
    <w:rsid w:val="449D0A3E"/>
    <w:rsid w:val="44A92F3F"/>
    <w:rsid w:val="44AB4F09"/>
    <w:rsid w:val="44AE7F0F"/>
    <w:rsid w:val="44B57B36"/>
    <w:rsid w:val="44B6565C"/>
    <w:rsid w:val="44B738AE"/>
    <w:rsid w:val="44BA514C"/>
    <w:rsid w:val="44BD69EB"/>
    <w:rsid w:val="44BF6C07"/>
    <w:rsid w:val="44C10289"/>
    <w:rsid w:val="44C24001"/>
    <w:rsid w:val="44C4421D"/>
    <w:rsid w:val="44C63AF1"/>
    <w:rsid w:val="44CD30D2"/>
    <w:rsid w:val="44D0671E"/>
    <w:rsid w:val="44D426B2"/>
    <w:rsid w:val="44D501D8"/>
    <w:rsid w:val="44D83825"/>
    <w:rsid w:val="44E71FBD"/>
    <w:rsid w:val="44ED4D84"/>
    <w:rsid w:val="44ED5522"/>
    <w:rsid w:val="44EF0897"/>
    <w:rsid w:val="44F0364F"/>
    <w:rsid w:val="44F3065E"/>
    <w:rsid w:val="44F763A1"/>
    <w:rsid w:val="44FC7513"/>
    <w:rsid w:val="450137AD"/>
    <w:rsid w:val="45050ABD"/>
    <w:rsid w:val="45097E82"/>
    <w:rsid w:val="450B3BFA"/>
    <w:rsid w:val="450D1720"/>
    <w:rsid w:val="450D34CE"/>
    <w:rsid w:val="45132AAF"/>
    <w:rsid w:val="451A3E3D"/>
    <w:rsid w:val="451B4809"/>
    <w:rsid w:val="452D1DC2"/>
    <w:rsid w:val="452F78E8"/>
    <w:rsid w:val="45321187"/>
    <w:rsid w:val="45390767"/>
    <w:rsid w:val="453942C3"/>
    <w:rsid w:val="453A3F1C"/>
    <w:rsid w:val="453C0257"/>
    <w:rsid w:val="453D6639"/>
    <w:rsid w:val="453E3FCF"/>
    <w:rsid w:val="45435142"/>
    <w:rsid w:val="45482758"/>
    <w:rsid w:val="45486BFC"/>
    <w:rsid w:val="454964D0"/>
    <w:rsid w:val="454B2248"/>
    <w:rsid w:val="454D5FC1"/>
    <w:rsid w:val="454F5136"/>
    <w:rsid w:val="45500CDC"/>
    <w:rsid w:val="4550785F"/>
    <w:rsid w:val="455235D7"/>
    <w:rsid w:val="455410FD"/>
    <w:rsid w:val="455441AD"/>
    <w:rsid w:val="455530C7"/>
    <w:rsid w:val="4558450C"/>
    <w:rsid w:val="455C6204"/>
    <w:rsid w:val="455E3D2A"/>
    <w:rsid w:val="455F0C25"/>
    <w:rsid w:val="45682DFA"/>
    <w:rsid w:val="456B28EB"/>
    <w:rsid w:val="456D6663"/>
    <w:rsid w:val="45702988"/>
    <w:rsid w:val="45723C79"/>
    <w:rsid w:val="4574179F"/>
    <w:rsid w:val="4574354D"/>
    <w:rsid w:val="457479F1"/>
    <w:rsid w:val="457814FA"/>
    <w:rsid w:val="457C68A6"/>
    <w:rsid w:val="457E43CC"/>
    <w:rsid w:val="457E617A"/>
    <w:rsid w:val="4582210E"/>
    <w:rsid w:val="45837C34"/>
    <w:rsid w:val="45863281"/>
    <w:rsid w:val="458A4B1F"/>
    <w:rsid w:val="458D0AB3"/>
    <w:rsid w:val="45924862"/>
    <w:rsid w:val="45943BEF"/>
    <w:rsid w:val="45986F93"/>
    <w:rsid w:val="45A100BA"/>
    <w:rsid w:val="45A8769B"/>
    <w:rsid w:val="45A94723"/>
    <w:rsid w:val="45AB0528"/>
    <w:rsid w:val="45AD4CB1"/>
    <w:rsid w:val="45AD6A5F"/>
    <w:rsid w:val="45C04121"/>
    <w:rsid w:val="45C55410"/>
    <w:rsid w:val="45C75D73"/>
    <w:rsid w:val="45C8467F"/>
    <w:rsid w:val="45CA7611"/>
    <w:rsid w:val="45CC15DB"/>
    <w:rsid w:val="45CD0EAF"/>
    <w:rsid w:val="45CF69D6"/>
    <w:rsid w:val="45D24718"/>
    <w:rsid w:val="45D264C6"/>
    <w:rsid w:val="45D57CCA"/>
    <w:rsid w:val="45D65FB6"/>
    <w:rsid w:val="45DC10F2"/>
    <w:rsid w:val="45E22BAD"/>
    <w:rsid w:val="45E32481"/>
    <w:rsid w:val="45EF52CA"/>
    <w:rsid w:val="45F20916"/>
    <w:rsid w:val="45F36B68"/>
    <w:rsid w:val="45F42696"/>
    <w:rsid w:val="45F823D0"/>
    <w:rsid w:val="45FF8E83"/>
    <w:rsid w:val="460021A2"/>
    <w:rsid w:val="46004DE1"/>
    <w:rsid w:val="460743C1"/>
    <w:rsid w:val="460A3EB2"/>
    <w:rsid w:val="460D74FE"/>
    <w:rsid w:val="460F3276"/>
    <w:rsid w:val="460F771A"/>
    <w:rsid w:val="46141AA7"/>
    <w:rsid w:val="46156CEC"/>
    <w:rsid w:val="461618BA"/>
    <w:rsid w:val="4616725F"/>
    <w:rsid w:val="461940F5"/>
    <w:rsid w:val="461C16C9"/>
    <w:rsid w:val="461D20A0"/>
    <w:rsid w:val="461D5993"/>
    <w:rsid w:val="462431C5"/>
    <w:rsid w:val="4626526C"/>
    <w:rsid w:val="462705C0"/>
    <w:rsid w:val="462907DC"/>
    <w:rsid w:val="462C207A"/>
    <w:rsid w:val="462E6545"/>
    <w:rsid w:val="462F3918"/>
    <w:rsid w:val="463045ED"/>
    <w:rsid w:val="46317690"/>
    <w:rsid w:val="46342CDD"/>
    <w:rsid w:val="46357180"/>
    <w:rsid w:val="46364CA7"/>
    <w:rsid w:val="463827CD"/>
    <w:rsid w:val="463A4797"/>
    <w:rsid w:val="463B050F"/>
    <w:rsid w:val="463C1243"/>
    <w:rsid w:val="46445615"/>
    <w:rsid w:val="46472A10"/>
    <w:rsid w:val="46491E27"/>
    <w:rsid w:val="464949DA"/>
    <w:rsid w:val="464B2752"/>
    <w:rsid w:val="464B69A4"/>
    <w:rsid w:val="464C0026"/>
    <w:rsid w:val="46522414"/>
    <w:rsid w:val="46554743"/>
    <w:rsid w:val="465670F7"/>
    <w:rsid w:val="465A0995"/>
    <w:rsid w:val="46617183"/>
    <w:rsid w:val="46625A9C"/>
    <w:rsid w:val="46641814"/>
    <w:rsid w:val="46647A66"/>
    <w:rsid w:val="46674E60"/>
    <w:rsid w:val="466857AC"/>
    <w:rsid w:val="46690BD8"/>
    <w:rsid w:val="466B2BA2"/>
    <w:rsid w:val="466C06C8"/>
    <w:rsid w:val="466F1F67"/>
    <w:rsid w:val="46794B93"/>
    <w:rsid w:val="467F03FC"/>
    <w:rsid w:val="467F1EF6"/>
    <w:rsid w:val="467F664E"/>
    <w:rsid w:val="46843C64"/>
    <w:rsid w:val="468A0B4E"/>
    <w:rsid w:val="468C48C7"/>
    <w:rsid w:val="468E063F"/>
    <w:rsid w:val="4690085B"/>
    <w:rsid w:val="469519CD"/>
    <w:rsid w:val="469814BD"/>
    <w:rsid w:val="469C7200"/>
    <w:rsid w:val="46A47E62"/>
    <w:rsid w:val="46AE794B"/>
    <w:rsid w:val="46B2635F"/>
    <w:rsid w:val="46B72C6E"/>
    <w:rsid w:val="46BC33FE"/>
    <w:rsid w:val="46BD2CD2"/>
    <w:rsid w:val="46BD7176"/>
    <w:rsid w:val="46C04C97"/>
    <w:rsid w:val="46C71DA3"/>
    <w:rsid w:val="46C978C9"/>
    <w:rsid w:val="46CC73B9"/>
    <w:rsid w:val="46DC584E"/>
    <w:rsid w:val="46E24870"/>
    <w:rsid w:val="46E464B1"/>
    <w:rsid w:val="46E97F6B"/>
    <w:rsid w:val="46EA3E1C"/>
    <w:rsid w:val="46EC35B7"/>
    <w:rsid w:val="46ED1809"/>
    <w:rsid w:val="46EE732F"/>
    <w:rsid w:val="46F012F9"/>
    <w:rsid w:val="46F04E55"/>
    <w:rsid w:val="46F36279"/>
    <w:rsid w:val="46F5246C"/>
    <w:rsid w:val="46F661E4"/>
    <w:rsid w:val="46F74D86"/>
    <w:rsid w:val="46FD7572"/>
    <w:rsid w:val="46FF32EA"/>
    <w:rsid w:val="47013507"/>
    <w:rsid w:val="47022DDB"/>
    <w:rsid w:val="4703102D"/>
    <w:rsid w:val="47065A93"/>
    <w:rsid w:val="47086643"/>
    <w:rsid w:val="47096BEB"/>
    <w:rsid w:val="470B1C8F"/>
    <w:rsid w:val="471072A6"/>
    <w:rsid w:val="47147484"/>
    <w:rsid w:val="47176886"/>
    <w:rsid w:val="4718604C"/>
    <w:rsid w:val="471B2E4B"/>
    <w:rsid w:val="47215957"/>
    <w:rsid w:val="47226FD9"/>
    <w:rsid w:val="47264D1B"/>
    <w:rsid w:val="4729480B"/>
    <w:rsid w:val="472B2331"/>
    <w:rsid w:val="472E597E"/>
    <w:rsid w:val="473016F6"/>
    <w:rsid w:val="47304D8B"/>
    <w:rsid w:val="47307948"/>
    <w:rsid w:val="473236C0"/>
    <w:rsid w:val="4734568A"/>
    <w:rsid w:val="47347438"/>
    <w:rsid w:val="47354F5E"/>
    <w:rsid w:val="473735DA"/>
    <w:rsid w:val="47384869"/>
    <w:rsid w:val="473867FC"/>
    <w:rsid w:val="47393C8D"/>
    <w:rsid w:val="473A07C7"/>
    <w:rsid w:val="473F5DDD"/>
    <w:rsid w:val="47401F74"/>
    <w:rsid w:val="474451A1"/>
    <w:rsid w:val="47484C91"/>
    <w:rsid w:val="47486A40"/>
    <w:rsid w:val="474B29D4"/>
    <w:rsid w:val="474C182F"/>
    <w:rsid w:val="474D04FA"/>
    <w:rsid w:val="474D22A8"/>
    <w:rsid w:val="474E32C2"/>
    <w:rsid w:val="47503B46"/>
    <w:rsid w:val="47525B10"/>
    <w:rsid w:val="4755115C"/>
    <w:rsid w:val="475C073D"/>
    <w:rsid w:val="476067BD"/>
    <w:rsid w:val="47633879"/>
    <w:rsid w:val="47686C14"/>
    <w:rsid w:val="476D294A"/>
    <w:rsid w:val="47727F60"/>
    <w:rsid w:val="47775577"/>
    <w:rsid w:val="477912EF"/>
    <w:rsid w:val="477C493B"/>
    <w:rsid w:val="477E06B3"/>
    <w:rsid w:val="477E0A07"/>
    <w:rsid w:val="478101A3"/>
    <w:rsid w:val="47811F51"/>
    <w:rsid w:val="478B4B7E"/>
    <w:rsid w:val="478D08F6"/>
    <w:rsid w:val="47941C85"/>
    <w:rsid w:val="479637DB"/>
    <w:rsid w:val="47971775"/>
    <w:rsid w:val="479E6FA7"/>
    <w:rsid w:val="47A10846"/>
    <w:rsid w:val="47A52FD2"/>
    <w:rsid w:val="47AA6646"/>
    <w:rsid w:val="47B265AF"/>
    <w:rsid w:val="47B464F3"/>
    <w:rsid w:val="47B9793D"/>
    <w:rsid w:val="47BC567F"/>
    <w:rsid w:val="47C02A7A"/>
    <w:rsid w:val="47C22C96"/>
    <w:rsid w:val="47C80F98"/>
    <w:rsid w:val="47CC66AC"/>
    <w:rsid w:val="47CD72E7"/>
    <w:rsid w:val="47D06A35"/>
    <w:rsid w:val="47D55D3E"/>
    <w:rsid w:val="47DB3D58"/>
    <w:rsid w:val="47DB411D"/>
    <w:rsid w:val="47EA3F9B"/>
    <w:rsid w:val="47EA5D49"/>
    <w:rsid w:val="47ED2304"/>
    <w:rsid w:val="47F60B91"/>
    <w:rsid w:val="480037BE"/>
    <w:rsid w:val="48030BB8"/>
    <w:rsid w:val="4803505C"/>
    <w:rsid w:val="48052B82"/>
    <w:rsid w:val="48073713"/>
    <w:rsid w:val="480A0199"/>
    <w:rsid w:val="480A1F47"/>
    <w:rsid w:val="481029EC"/>
    <w:rsid w:val="48103EB0"/>
    <w:rsid w:val="481951DF"/>
    <w:rsid w:val="48223734"/>
    <w:rsid w:val="482254E2"/>
    <w:rsid w:val="4823125B"/>
    <w:rsid w:val="48247180"/>
    <w:rsid w:val="48276F9D"/>
    <w:rsid w:val="48286871"/>
    <w:rsid w:val="482D1F14"/>
    <w:rsid w:val="48335942"/>
    <w:rsid w:val="48360F8E"/>
    <w:rsid w:val="48362D3C"/>
    <w:rsid w:val="48396CD0"/>
    <w:rsid w:val="483D056E"/>
    <w:rsid w:val="483D231C"/>
    <w:rsid w:val="483E6094"/>
    <w:rsid w:val="48480CC1"/>
    <w:rsid w:val="48492B70"/>
    <w:rsid w:val="48496F13"/>
    <w:rsid w:val="484C13BD"/>
    <w:rsid w:val="484D62D8"/>
    <w:rsid w:val="484F3A50"/>
    <w:rsid w:val="48521152"/>
    <w:rsid w:val="48531B40"/>
    <w:rsid w:val="48547666"/>
    <w:rsid w:val="485B09F4"/>
    <w:rsid w:val="485E2293"/>
    <w:rsid w:val="48604DA3"/>
    <w:rsid w:val="48621D83"/>
    <w:rsid w:val="48684BFE"/>
    <w:rsid w:val="48691363"/>
    <w:rsid w:val="48693111"/>
    <w:rsid w:val="486D0AE8"/>
    <w:rsid w:val="48702454"/>
    <w:rsid w:val="4871646A"/>
    <w:rsid w:val="48741AB6"/>
    <w:rsid w:val="48751233"/>
    <w:rsid w:val="487A3570"/>
    <w:rsid w:val="487D4E0F"/>
    <w:rsid w:val="4880045B"/>
    <w:rsid w:val="48802209"/>
    <w:rsid w:val="488241D3"/>
    <w:rsid w:val="488416E9"/>
    <w:rsid w:val="48853CC3"/>
    <w:rsid w:val="48855A71"/>
    <w:rsid w:val="48877A3B"/>
    <w:rsid w:val="48897310"/>
    <w:rsid w:val="488B2930"/>
    <w:rsid w:val="488B752C"/>
    <w:rsid w:val="488C32A4"/>
    <w:rsid w:val="488C5B39"/>
    <w:rsid w:val="48914416"/>
    <w:rsid w:val="48934632"/>
    <w:rsid w:val="48941B34"/>
    <w:rsid w:val="48980BC4"/>
    <w:rsid w:val="48981C49"/>
    <w:rsid w:val="489839F7"/>
    <w:rsid w:val="489A151D"/>
    <w:rsid w:val="489D100D"/>
    <w:rsid w:val="489F6B33"/>
    <w:rsid w:val="48A028AB"/>
    <w:rsid w:val="48A57EC2"/>
    <w:rsid w:val="48A759E8"/>
    <w:rsid w:val="48AC74A2"/>
    <w:rsid w:val="48B06F92"/>
    <w:rsid w:val="48BB76E5"/>
    <w:rsid w:val="48BC0AC0"/>
    <w:rsid w:val="48C20A74"/>
    <w:rsid w:val="48C90054"/>
    <w:rsid w:val="48CD06A1"/>
    <w:rsid w:val="48CE566A"/>
    <w:rsid w:val="48D013E2"/>
    <w:rsid w:val="48D07BD4"/>
    <w:rsid w:val="48D10CB7"/>
    <w:rsid w:val="48D12A65"/>
    <w:rsid w:val="48D16F09"/>
    <w:rsid w:val="48D82045"/>
    <w:rsid w:val="48DC6353"/>
    <w:rsid w:val="48DD3AFF"/>
    <w:rsid w:val="48E22EC4"/>
    <w:rsid w:val="48E72288"/>
    <w:rsid w:val="48E7672C"/>
    <w:rsid w:val="48E84496"/>
    <w:rsid w:val="48EA1955"/>
    <w:rsid w:val="48EB621C"/>
    <w:rsid w:val="48F84495"/>
    <w:rsid w:val="48FB42D1"/>
    <w:rsid w:val="48FE0CD4"/>
    <w:rsid w:val="490162E4"/>
    <w:rsid w:val="490746D8"/>
    <w:rsid w:val="49094305"/>
    <w:rsid w:val="490B3DC5"/>
    <w:rsid w:val="490E5A67"/>
    <w:rsid w:val="49105C83"/>
    <w:rsid w:val="49115557"/>
    <w:rsid w:val="491312CF"/>
    <w:rsid w:val="49135830"/>
    <w:rsid w:val="491868E5"/>
    <w:rsid w:val="4924528A"/>
    <w:rsid w:val="49247038"/>
    <w:rsid w:val="49280838"/>
    <w:rsid w:val="49303C2F"/>
    <w:rsid w:val="493059DD"/>
    <w:rsid w:val="4933090C"/>
    <w:rsid w:val="49331F47"/>
    <w:rsid w:val="49351245"/>
    <w:rsid w:val="49396F88"/>
    <w:rsid w:val="493B1763"/>
    <w:rsid w:val="4941408E"/>
    <w:rsid w:val="494378CC"/>
    <w:rsid w:val="494476DB"/>
    <w:rsid w:val="494922C4"/>
    <w:rsid w:val="49494CF1"/>
    <w:rsid w:val="494B6CBB"/>
    <w:rsid w:val="494D2A33"/>
    <w:rsid w:val="494D658F"/>
    <w:rsid w:val="494E2307"/>
    <w:rsid w:val="494F79F1"/>
    <w:rsid w:val="49503A12"/>
    <w:rsid w:val="49536C1A"/>
    <w:rsid w:val="49543DC1"/>
    <w:rsid w:val="495913D8"/>
    <w:rsid w:val="495A5150"/>
    <w:rsid w:val="495A6080"/>
    <w:rsid w:val="495A6EFE"/>
    <w:rsid w:val="49613A01"/>
    <w:rsid w:val="49706721"/>
    <w:rsid w:val="4972249A"/>
    <w:rsid w:val="49793828"/>
    <w:rsid w:val="497C0C22"/>
    <w:rsid w:val="497E2BEC"/>
    <w:rsid w:val="498126DD"/>
    <w:rsid w:val="49861AA1"/>
    <w:rsid w:val="49891591"/>
    <w:rsid w:val="4989333F"/>
    <w:rsid w:val="498C100B"/>
    <w:rsid w:val="498D72D3"/>
    <w:rsid w:val="49920DF9"/>
    <w:rsid w:val="49956188"/>
    <w:rsid w:val="49995C78"/>
    <w:rsid w:val="499E328F"/>
    <w:rsid w:val="49A56145"/>
    <w:rsid w:val="49A64660"/>
    <w:rsid w:val="49A95790"/>
    <w:rsid w:val="49AD702E"/>
    <w:rsid w:val="49B44860"/>
    <w:rsid w:val="49B760FE"/>
    <w:rsid w:val="49B900C8"/>
    <w:rsid w:val="49BB4089"/>
    <w:rsid w:val="49BB5BEF"/>
    <w:rsid w:val="49BF6D61"/>
    <w:rsid w:val="49C56A6D"/>
    <w:rsid w:val="49CD147E"/>
    <w:rsid w:val="49CD5922"/>
    <w:rsid w:val="49D767A1"/>
    <w:rsid w:val="49D860B5"/>
    <w:rsid w:val="49D97E23"/>
    <w:rsid w:val="49DA3B9B"/>
    <w:rsid w:val="49DF11B1"/>
    <w:rsid w:val="49E05655"/>
    <w:rsid w:val="49E07403"/>
    <w:rsid w:val="49E1317B"/>
    <w:rsid w:val="49E35145"/>
    <w:rsid w:val="49E40EAD"/>
    <w:rsid w:val="49E50EBD"/>
    <w:rsid w:val="49EA0282"/>
    <w:rsid w:val="49EB7B56"/>
    <w:rsid w:val="49EC3FFA"/>
    <w:rsid w:val="49F00D11"/>
    <w:rsid w:val="49F27C20"/>
    <w:rsid w:val="49F860B6"/>
    <w:rsid w:val="49FB248F"/>
    <w:rsid w:val="49FE1B68"/>
    <w:rsid w:val="49FE5ADB"/>
    <w:rsid w:val="49FF7D34"/>
    <w:rsid w:val="4A003601"/>
    <w:rsid w:val="4A0357C1"/>
    <w:rsid w:val="4A037596"/>
    <w:rsid w:val="4A050C18"/>
    <w:rsid w:val="4A08005A"/>
    <w:rsid w:val="4A08695A"/>
    <w:rsid w:val="4A1277A3"/>
    <w:rsid w:val="4A161077"/>
    <w:rsid w:val="4A192915"/>
    <w:rsid w:val="4A1C0F44"/>
    <w:rsid w:val="4A1E617D"/>
    <w:rsid w:val="4A2319E6"/>
    <w:rsid w:val="4A253068"/>
    <w:rsid w:val="4A282B58"/>
    <w:rsid w:val="4A2C089A"/>
    <w:rsid w:val="4A2F038B"/>
    <w:rsid w:val="4A2F3EE7"/>
    <w:rsid w:val="4A301A0D"/>
    <w:rsid w:val="4A361719"/>
    <w:rsid w:val="4A365275"/>
    <w:rsid w:val="4A3E275F"/>
    <w:rsid w:val="4A3E412A"/>
    <w:rsid w:val="4A3F3BDC"/>
    <w:rsid w:val="4A4060F4"/>
    <w:rsid w:val="4A421E6C"/>
    <w:rsid w:val="4A437992"/>
    <w:rsid w:val="4A477482"/>
    <w:rsid w:val="4A4F27DB"/>
    <w:rsid w:val="4A534079"/>
    <w:rsid w:val="4A541B9F"/>
    <w:rsid w:val="4A544985"/>
    <w:rsid w:val="4A554A11"/>
    <w:rsid w:val="4A5971B6"/>
    <w:rsid w:val="4A5C2802"/>
    <w:rsid w:val="4A633B90"/>
    <w:rsid w:val="4A6730E8"/>
    <w:rsid w:val="4A677B24"/>
    <w:rsid w:val="4A69564B"/>
    <w:rsid w:val="4A6A3171"/>
    <w:rsid w:val="4A6A4F1F"/>
    <w:rsid w:val="4A6F5A6E"/>
    <w:rsid w:val="4A730277"/>
    <w:rsid w:val="4A743346"/>
    <w:rsid w:val="4A7A7858"/>
    <w:rsid w:val="4A8203FE"/>
    <w:rsid w:val="4A8835F7"/>
    <w:rsid w:val="4A897A9B"/>
    <w:rsid w:val="4A8F2BD7"/>
    <w:rsid w:val="4A954692"/>
    <w:rsid w:val="4A965D14"/>
    <w:rsid w:val="4A99057F"/>
    <w:rsid w:val="4A9B1CEA"/>
    <w:rsid w:val="4A9C6A17"/>
    <w:rsid w:val="4A9D000A"/>
    <w:rsid w:val="4A9D70A2"/>
    <w:rsid w:val="4A9F72BE"/>
    <w:rsid w:val="4AA246B9"/>
    <w:rsid w:val="4AA448D5"/>
    <w:rsid w:val="4AA46683"/>
    <w:rsid w:val="4AA77F21"/>
    <w:rsid w:val="4AB12B4E"/>
    <w:rsid w:val="4AB663B6"/>
    <w:rsid w:val="4AB97C54"/>
    <w:rsid w:val="4ABA5EA6"/>
    <w:rsid w:val="4ABF1D81"/>
    <w:rsid w:val="4ABF6514"/>
    <w:rsid w:val="4AC05487"/>
    <w:rsid w:val="4AC17D39"/>
    <w:rsid w:val="4AC62A9D"/>
    <w:rsid w:val="4AC65A04"/>
    <w:rsid w:val="4ACA58EF"/>
    <w:rsid w:val="4ACB00B3"/>
    <w:rsid w:val="4ADA0FDC"/>
    <w:rsid w:val="4ADB7BCB"/>
    <w:rsid w:val="4AE41175"/>
    <w:rsid w:val="4AE44CD1"/>
    <w:rsid w:val="4AE50A49"/>
    <w:rsid w:val="4AE5274A"/>
    <w:rsid w:val="4AEB2504"/>
    <w:rsid w:val="4AF55130"/>
    <w:rsid w:val="4AF62C56"/>
    <w:rsid w:val="4AF64A04"/>
    <w:rsid w:val="4AFA44F5"/>
    <w:rsid w:val="4AFD5D93"/>
    <w:rsid w:val="4B0B04B0"/>
    <w:rsid w:val="4B0B4954"/>
    <w:rsid w:val="4B0C5FD6"/>
    <w:rsid w:val="4B0E1D4E"/>
    <w:rsid w:val="4B106B52"/>
    <w:rsid w:val="4B125CE2"/>
    <w:rsid w:val="4B187071"/>
    <w:rsid w:val="4B187171"/>
    <w:rsid w:val="4B1B26BD"/>
    <w:rsid w:val="4B1D6435"/>
    <w:rsid w:val="4B1F03FF"/>
    <w:rsid w:val="4B201A81"/>
    <w:rsid w:val="4B26377E"/>
    <w:rsid w:val="4B2B6DA4"/>
    <w:rsid w:val="4B2C6678"/>
    <w:rsid w:val="4B2E23F0"/>
    <w:rsid w:val="4B306168"/>
    <w:rsid w:val="4B38063D"/>
    <w:rsid w:val="4B3A6FE7"/>
    <w:rsid w:val="4B430661"/>
    <w:rsid w:val="4B434A44"/>
    <w:rsid w:val="4B46598C"/>
    <w:rsid w:val="4B493CD4"/>
    <w:rsid w:val="4B49547C"/>
    <w:rsid w:val="4B4B2FA2"/>
    <w:rsid w:val="4B502367"/>
    <w:rsid w:val="4B577B99"/>
    <w:rsid w:val="4B5A1074"/>
    <w:rsid w:val="4B5C0362"/>
    <w:rsid w:val="4B5D2CD5"/>
    <w:rsid w:val="4B6978CC"/>
    <w:rsid w:val="4B726781"/>
    <w:rsid w:val="4B756271"/>
    <w:rsid w:val="4B773D97"/>
    <w:rsid w:val="4B7A5635"/>
    <w:rsid w:val="4B7D11FA"/>
    <w:rsid w:val="4B7E4E3D"/>
    <w:rsid w:val="4B8134C2"/>
    <w:rsid w:val="4B855A03"/>
    <w:rsid w:val="4B86222C"/>
    <w:rsid w:val="4B871B00"/>
    <w:rsid w:val="4B893ACB"/>
    <w:rsid w:val="4B8C5D00"/>
    <w:rsid w:val="4B8D35BB"/>
    <w:rsid w:val="4B983D0E"/>
    <w:rsid w:val="4B9C1803"/>
    <w:rsid w:val="4B9D30D2"/>
    <w:rsid w:val="4B9E12B5"/>
    <w:rsid w:val="4B9E144F"/>
    <w:rsid w:val="4B9F6E4A"/>
    <w:rsid w:val="4BA426B2"/>
    <w:rsid w:val="4BA54CA7"/>
    <w:rsid w:val="4BA9144B"/>
    <w:rsid w:val="4BAB023D"/>
    <w:rsid w:val="4BAC3563"/>
    <w:rsid w:val="4BB07CCC"/>
    <w:rsid w:val="4BB5666E"/>
    <w:rsid w:val="4BBF3760"/>
    <w:rsid w:val="4BC863A1"/>
    <w:rsid w:val="4BCB5E91"/>
    <w:rsid w:val="4BCD1C09"/>
    <w:rsid w:val="4BCF3BD3"/>
    <w:rsid w:val="4BCF5981"/>
    <w:rsid w:val="4BD05255"/>
    <w:rsid w:val="4BD42F98"/>
    <w:rsid w:val="4BD87226"/>
    <w:rsid w:val="4BD905AE"/>
    <w:rsid w:val="4BD9235C"/>
    <w:rsid w:val="4BD96800"/>
    <w:rsid w:val="4BDB2578"/>
    <w:rsid w:val="4BDC3BFA"/>
    <w:rsid w:val="4BDE3E16"/>
    <w:rsid w:val="4BE31237"/>
    <w:rsid w:val="4BE450F6"/>
    <w:rsid w:val="4BE60F1D"/>
    <w:rsid w:val="4BE71640"/>
    <w:rsid w:val="4BE727D6"/>
    <w:rsid w:val="4BE807F1"/>
    <w:rsid w:val="4BE86A43"/>
    <w:rsid w:val="4BEB02E1"/>
    <w:rsid w:val="4BF54CBC"/>
    <w:rsid w:val="4BFC25A9"/>
    <w:rsid w:val="4BFC598E"/>
    <w:rsid w:val="4C080E93"/>
    <w:rsid w:val="4C084A3A"/>
    <w:rsid w:val="4C094415"/>
    <w:rsid w:val="4C0C3C89"/>
    <w:rsid w:val="4C0F3FD0"/>
    <w:rsid w:val="4C0F4BC6"/>
    <w:rsid w:val="4C101AF6"/>
    <w:rsid w:val="4C143C11"/>
    <w:rsid w:val="4C15535E"/>
    <w:rsid w:val="4C20442F"/>
    <w:rsid w:val="4C2061DD"/>
    <w:rsid w:val="4C211F55"/>
    <w:rsid w:val="4C215AB1"/>
    <w:rsid w:val="4C2630C7"/>
    <w:rsid w:val="4C2832E3"/>
    <w:rsid w:val="4C2F6420"/>
    <w:rsid w:val="4C303F46"/>
    <w:rsid w:val="4C327CBE"/>
    <w:rsid w:val="4C39729F"/>
    <w:rsid w:val="4C3C0B3D"/>
    <w:rsid w:val="4C404189"/>
    <w:rsid w:val="4C417F01"/>
    <w:rsid w:val="4C455C43"/>
    <w:rsid w:val="4C465518"/>
    <w:rsid w:val="4C4719BC"/>
    <w:rsid w:val="4C481290"/>
    <w:rsid w:val="4C4C5224"/>
    <w:rsid w:val="4C4C6FD2"/>
    <w:rsid w:val="4C545E87"/>
    <w:rsid w:val="4C5F1ABB"/>
    <w:rsid w:val="4C6205A3"/>
    <w:rsid w:val="4C63256E"/>
    <w:rsid w:val="4C673E0C"/>
    <w:rsid w:val="4C683829"/>
    <w:rsid w:val="4C6C59A5"/>
    <w:rsid w:val="4C6D6F48"/>
    <w:rsid w:val="4C6F0F12"/>
    <w:rsid w:val="4C742085"/>
    <w:rsid w:val="4C7A26B7"/>
    <w:rsid w:val="4C7B1FC6"/>
    <w:rsid w:val="4C7B78B7"/>
    <w:rsid w:val="4C7D53DD"/>
    <w:rsid w:val="4C806C7C"/>
    <w:rsid w:val="4C8508A6"/>
    <w:rsid w:val="4C8524E4"/>
    <w:rsid w:val="4C871DB8"/>
    <w:rsid w:val="4C8D1398"/>
    <w:rsid w:val="4C8E75EA"/>
    <w:rsid w:val="4C8F5111"/>
    <w:rsid w:val="4C8F6EBF"/>
    <w:rsid w:val="4C92075D"/>
    <w:rsid w:val="4C9A5359"/>
    <w:rsid w:val="4C9D15DC"/>
    <w:rsid w:val="4C9E7102"/>
    <w:rsid w:val="4CA0731E"/>
    <w:rsid w:val="4CA23096"/>
    <w:rsid w:val="4CA50B71"/>
    <w:rsid w:val="4CA63FAC"/>
    <w:rsid w:val="4CA92473"/>
    <w:rsid w:val="4CAC7A71"/>
    <w:rsid w:val="4CAD5597"/>
    <w:rsid w:val="4CAF57B3"/>
    <w:rsid w:val="4CB46925"/>
    <w:rsid w:val="4CB608EF"/>
    <w:rsid w:val="4CB66B41"/>
    <w:rsid w:val="4CBA34C8"/>
    <w:rsid w:val="4CBC2051"/>
    <w:rsid w:val="4CBF6C9B"/>
    <w:rsid w:val="4CC0351C"/>
    <w:rsid w:val="4CCA495A"/>
    <w:rsid w:val="4CD15729"/>
    <w:rsid w:val="4CD61141"/>
    <w:rsid w:val="4CDA2830"/>
    <w:rsid w:val="4CE008B3"/>
    <w:rsid w:val="4CE06D7A"/>
    <w:rsid w:val="4CE54D31"/>
    <w:rsid w:val="4CE627DD"/>
    <w:rsid w:val="4CEA1E12"/>
    <w:rsid w:val="4CEB00CB"/>
    <w:rsid w:val="4CEC4311"/>
    <w:rsid w:val="4CEE62DB"/>
    <w:rsid w:val="4CF11927"/>
    <w:rsid w:val="4CF338F1"/>
    <w:rsid w:val="4CF95691"/>
    <w:rsid w:val="4D063625"/>
    <w:rsid w:val="4D0C49B3"/>
    <w:rsid w:val="4D0D18D2"/>
    <w:rsid w:val="4D13734F"/>
    <w:rsid w:val="4D172F9A"/>
    <w:rsid w:val="4D193597"/>
    <w:rsid w:val="4D1A0E7E"/>
    <w:rsid w:val="4D1A70D0"/>
    <w:rsid w:val="4D1A7A5A"/>
    <w:rsid w:val="4D1F6494"/>
    <w:rsid w:val="4D292E6F"/>
    <w:rsid w:val="4D2A6379"/>
    <w:rsid w:val="4D2C4E5B"/>
    <w:rsid w:val="4D2C6E03"/>
    <w:rsid w:val="4D3570B8"/>
    <w:rsid w:val="4D357A66"/>
    <w:rsid w:val="4D362EDB"/>
    <w:rsid w:val="4D387556"/>
    <w:rsid w:val="4D3A32CE"/>
    <w:rsid w:val="4D3D2DBF"/>
    <w:rsid w:val="4D3F0B4F"/>
    <w:rsid w:val="4D423F31"/>
    <w:rsid w:val="4D453A21"/>
    <w:rsid w:val="4D48595D"/>
    <w:rsid w:val="4D4E28D6"/>
    <w:rsid w:val="4D52686A"/>
    <w:rsid w:val="4D53613E"/>
    <w:rsid w:val="4D5679DC"/>
    <w:rsid w:val="4D583754"/>
    <w:rsid w:val="4D5A127B"/>
    <w:rsid w:val="4D5A2E05"/>
    <w:rsid w:val="4D5C1497"/>
    <w:rsid w:val="4D602609"/>
    <w:rsid w:val="4D602AE2"/>
    <w:rsid w:val="4D61085B"/>
    <w:rsid w:val="4D665E71"/>
    <w:rsid w:val="4D697710"/>
    <w:rsid w:val="4D6C59D9"/>
    <w:rsid w:val="4D6D36A4"/>
    <w:rsid w:val="4D720CBA"/>
    <w:rsid w:val="4D752558"/>
    <w:rsid w:val="4D761E2D"/>
    <w:rsid w:val="4D782049"/>
    <w:rsid w:val="4D7B7443"/>
    <w:rsid w:val="4D7F6F33"/>
    <w:rsid w:val="4D810EFD"/>
    <w:rsid w:val="4D826A23"/>
    <w:rsid w:val="4D834C75"/>
    <w:rsid w:val="4D8602C2"/>
    <w:rsid w:val="4D88228C"/>
    <w:rsid w:val="4D8C33FE"/>
    <w:rsid w:val="4D8E361A"/>
    <w:rsid w:val="4D92310A"/>
    <w:rsid w:val="4D9329DF"/>
    <w:rsid w:val="4D950505"/>
    <w:rsid w:val="4D9724CF"/>
    <w:rsid w:val="4D986247"/>
    <w:rsid w:val="4D9C1893"/>
    <w:rsid w:val="4D9C5D37"/>
    <w:rsid w:val="4D9F10B0"/>
    <w:rsid w:val="4DA1334D"/>
    <w:rsid w:val="4DA62712"/>
    <w:rsid w:val="4DA644C0"/>
    <w:rsid w:val="4DA93FB0"/>
    <w:rsid w:val="4DAB1AD6"/>
    <w:rsid w:val="4DAC584E"/>
    <w:rsid w:val="4DB766CD"/>
    <w:rsid w:val="4DB841F3"/>
    <w:rsid w:val="4DBB3B00"/>
    <w:rsid w:val="4DBC0187"/>
    <w:rsid w:val="4DBC3CE3"/>
    <w:rsid w:val="4DC219A6"/>
    <w:rsid w:val="4DC66910"/>
    <w:rsid w:val="4DC757F7"/>
    <w:rsid w:val="4DC82688"/>
    <w:rsid w:val="4DCA2957"/>
    <w:rsid w:val="4DCB03CA"/>
    <w:rsid w:val="4DCC3EE8"/>
    <w:rsid w:val="4DCD7C9F"/>
    <w:rsid w:val="4DD059E1"/>
    <w:rsid w:val="4DD51249"/>
    <w:rsid w:val="4DDC3B86"/>
    <w:rsid w:val="4DDE1EAC"/>
    <w:rsid w:val="4DE1374A"/>
    <w:rsid w:val="4DE63297"/>
    <w:rsid w:val="4DE82D2A"/>
    <w:rsid w:val="4DEB45C9"/>
    <w:rsid w:val="4DEB6377"/>
    <w:rsid w:val="4DEC6F51"/>
    <w:rsid w:val="4DEF7282"/>
    <w:rsid w:val="4DF01BDF"/>
    <w:rsid w:val="4DF032E3"/>
    <w:rsid w:val="4DF040E6"/>
    <w:rsid w:val="4DF07E31"/>
    <w:rsid w:val="4DF23AF3"/>
    <w:rsid w:val="4DF3347D"/>
    <w:rsid w:val="4DF96CE5"/>
    <w:rsid w:val="4DFA0CB0"/>
    <w:rsid w:val="4DFC03F6"/>
    <w:rsid w:val="4DFF1E22"/>
    <w:rsid w:val="4E015B9A"/>
    <w:rsid w:val="4E037B64"/>
    <w:rsid w:val="4E0833CC"/>
    <w:rsid w:val="4E094A4F"/>
    <w:rsid w:val="4E0F02B7"/>
    <w:rsid w:val="4E165AE9"/>
    <w:rsid w:val="4E17716C"/>
    <w:rsid w:val="4E1A6C5C"/>
    <w:rsid w:val="4E1B78BF"/>
    <w:rsid w:val="4E1D19DE"/>
    <w:rsid w:val="4E231FB4"/>
    <w:rsid w:val="4E241889"/>
    <w:rsid w:val="4E257ADB"/>
    <w:rsid w:val="4E2A3343"/>
    <w:rsid w:val="4E2D698F"/>
    <w:rsid w:val="4E2F0959"/>
    <w:rsid w:val="4E323FA5"/>
    <w:rsid w:val="4E345F70"/>
    <w:rsid w:val="4E3715BC"/>
    <w:rsid w:val="4E3B43F9"/>
    <w:rsid w:val="4E3B72FE"/>
    <w:rsid w:val="4E3C6BD2"/>
    <w:rsid w:val="4E3E294A"/>
    <w:rsid w:val="4E3E6DEE"/>
    <w:rsid w:val="4E451F2B"/>
    <w:rsid w:val="4E4525D3"/>
    <w:rsid w:val="4E465CA3"/>
    <w:rsid w:val="4E467A51"/>
    <w:rsid w:val="4E487C6D"/>
    <w:rsid w:val="4E4B32B9"/>
    <w:rsid w:val="4E4B5067"/>
    <w:rsid w:val="4E4C7F4F"/>
    <w:rsid w:val="4E50267E"/>
    <w:rsid w:val="4E516B22"/>
    <w:rsid w:val="4E546612"/>
    <w:rsid w:val="4E555EE6"/>
    <w:rsid w:val="4E573A0C"/>
    <w:rsid w:val="4E597F4D"/>
    <w:rsid w:val="4E5B174E"/>
    <w:rsid w:val="4E5E2FEC"/>
    <w:rsid w:val="4E5E4D9B"/>
    <w:rsid w:val="4E5F56D9"/>
    <w:rsid w:val="4E606D65"/>
    <w:rsid w:val="4E636855"/>
    <w:rsid w:val="4E6C75B0"/>
    <w:rsid w:val="4E710F72"/>
    <w:rsid w:val="4E766588"/>
    <w:rsid w:val="4E7740AE"/>
    <w:rsid w:val="4E7904BF"/>
    <w:rsid w:val="4E7C3473"/>
    <w:rsid w:val="4E7D2F56"/>
    <w:rsid w:val="4E7D7917"/>
    <w:rsid w:val="4E824F2D"/>
    <w:rsid w:val="4E854A1D"/>
    <w:rsid w:val="4E8C2811"/>
    <w:rsid w:val="4E946A0E"/>
    <w:rsid w:val="4E962786"/>
    <w:rsid w:val="4E9C58C3"/>
    <w:rsid w:val="4E9E5ADF"/>
    <w:rsid w:val="4E9F7009"/>
    <w:rsid w:val="4EA56E6D"/>
    <w:rsid w:val="4EAC1FAA"/>
    <w:rsid w:val="4EB8094F"/>
    <w:rsid w:val="4EBA588F"/>
    <w:rsid w:val="4EBD41B7"/>
    <w:rsid w:val="4EBD5F65"/>
    <w:rsid w:val="4EBE18EB"/>
    <w:rsid w:val="4EC026F1"/>
    <w:rsid w:val="4EC0313A"/>
    <w:rsid w:val="4EC13A0C"/>
    <w:rsid w:val="4EC217CD"/>
    <w:rsid w:val="4EC5306C"/>
    <w:rsid w:val="4EC963DB"/>
    <w:rsid w:val="4ED223D5"/>
    <w:rsid w:val="4EDB288F"/>
    <w:rsid w:val="4EDD74E8"/>
    <w:rsid w:val="4EDE5EDB"/>
    <w:rsid w:val="4EE23C1E"/>
    <w:rsid w:val="4EE259CC"/>
    <w:rsid w:val="4EE51018"/>
    <w:rsid w:val="4EE5726A"/>
    <w:rsid w:val="4EE57D03"/>
    <w:rsid w:val="4EE72FE2"/>
    <w:rsid w:val="4EEA2E64"/>
    <w:rsid w:val="4EEC5593"/>
    <w:rsid w:val="4EEE25C2"/>
    <w:rsid w:val="4EF1052E"/>
    <w:rsid w:val="4EF23FDF"/>
    <w:rsid w:val="4EF94AC3"/>
    <w:rsid w:val="4EFD443D"/>
    <w:rsid w:val="4EFE20DA"/>
    <w:rsid w:val="4F000A4C"/>
    <w:rsid w:val="4F006369"/>
    <w:rsid w:val="4F0358B0"/>
    <w:rsid w:val="4F073684"/>
    <w:rsid w:val="4F0973FC"/>
    <w:rsid w:val="4F0E67C1"/>
    <w:rsid w:val="4F1418FD"/>
    <w:rsid w:val="4F18763F"/>
    <w:rsid w:val="4F1D6A04"/>
    <w:rsid w:val="4F2558B8"/>
    <w:rsid w:val="4F277882"/>
    <w:rsid w:val="4F2A1121"/>
    <w:rsid w:val="4F2A4BBE"/>
    <w:rsid w:val="4F2D66ED"/>
    <w:rsid w:val="4F2E0C11"/>
    <w:rsid w:val="4F304989"/>
    <w:rsid w:val="4F365D17"/>
    <w:rsid w:val="4F380302"/>
    <w:rsid w:val="4F38518E"/>
    <w:rsid w:val="4F3A5808"/>
    <w:rsid w:val="4F457D08"/>
    <w:rsid w:val="4F470789"/>
    <w:rsid w:val="4F493C9D"/>
    <w:rsid w:val="4F4B5F47"/>
    <w:rsid w:val="4F4F0B87"/>
    <w:rsid w:val="4F521C2D"/>
    <w:rsid w:val="4F5543EF"/>
    <w:rsid w:val="4F587A3C"/>
    <w:rsid w:val="4F5A7C58"/>
    <w:rsid w:val="4F5F526E"/>
    <w:rsid w:val="4F602D94"/>
    <w:rsid w:val="4F624D5E"/>
    <w:rsid w:val="4F6463E1"/>
    <w:rsid w:val="4F6603AB"/>
    <w:rsid w:val="4F670F33"/>
    <w:rsid w:val="4F675ED1"/>
    <w:rsid w:val="4F697E9B"/>
    <w:rsid w:val="4F6B3C13"/>
    <w:rsid w:val="4F6C1739"/>
    <w:rsid w:val="4F701229"/>
    <w:rsid w:val="4F710AFD"/>
    <w:rsid w:val="4F786330"/>
    <w:rsid w:val="4F7D74A2"/>
    <w:rsid w:val="4F824AB9"/>
    <w:rsid w:val="4F840831"/>
    <w:rsid w:val="4F844CD5"/>
    <w:rsid w:val="4F85135B"/>
    <w:rsid w:val="4F8847C5"/>
    <w:rsid w:val="4F8D1DDB"/>
    <w:rsid w:val="4F9111A0"/>
    <w:rsid w:val="4F995F33"/>
    <w:rsid w:val="4F9D18F3"/>
    <w:rsid w:val="4F9D5D96"/>
    <w:rsid w:val="4F9F1B0F"/>
    <w:rsid w:val="4FA15887"/>
    <w:rsid w:val="4FA40ED3"/>
    <w:rsid w:val="4FAC7D88"/>
    <w:rsid w:val="4FB235F0"/>
    <w:rsid w:val="4FBC446F"/>
    <w:rsid w:val="4FBD1F95"/>
    <w:rsid w:val="4FBF3F5F"/>
    <w:rsid w:val="4FC7696F"/>
    <w:rsid w:val="4FD33566"/>
    <w:rsid w:val="4FD62F6C"/>
    <w:rsid w:val="4FE17A31"/>
    <w:rsid w:val="4FE53500"/>
    <w:rsid w:val="4FE82F87"/>
    <w:rsid w:val="4FE85264"/>
    <w:rsid w:val="4FEB4D54"/>
    <w:rsid w:val="4FED6DF9"/>
    <w:rsid w:val="4FEE214E"/>
    <w:rsid w:val="4FEE65F2"/>
    <w:rsid w:val="4FF77255"/>
    <w:rsid w:val="4FF82FCD"/>
    <w:rsid w:val="4FF9121F"/>
    <w:rsid w:val="4FF97E43"/>
    <w:rsid w:val="4FFC0D0F"/>
    <w:rsid w:val="50000824"/>
    <w:rsid w:val="50011267"/>
    <w:rsid w:val="50047BC4"/>
    <w:rsid w:val="50067498"/>
    <w:rsid w:val="500D4CCA"/>
    <w:rsid w:val="500E27F0"/>
    <w:rsid w:val="50120532"/>
    <w:rsid w:val="5012408F"/>
    <w:rsid w:val="50124AB3"/>
    <w:rsid w:val="5014535C"/>
    <w:rsid w:val="501648C4"/>
    <w:rsid w:val="50243DC2"/>
    <w:rsid w:val="50277195"/>
    <w:rsid w:val="502913D8"/>
    <w:rsid w:val="502B33A2"/>
    <w:rsid w:val="502D5DD1"/>
    <w:rsid w:val="502E69EF"/>
    <w:rsid w:val="50355FCF"/>
    <w:rsid w:val="503C55AF"/>
    <w:rsid w:val="503E1327"/>
    <w:rsid w:val="503E30D6"/>
    <w:rsid w:val="503E6C32"/>
    <w:rsid w:val="50412BC6"/>
    <w:rsid w:val="50483F54"/>
    <w:rsid w:val="50493828"/>
    <w:rsid w:val="505060F8"/>
    <w:rsid w:val="50510AB6"/>
    <w:rsid w:val="505521CD"/>
    <w:rsid w:val="5059746B"/>
    <w:rsid w:val="505A1790"/>
    <w:rsid w:val="505A5A36"/>
    <w:rsid w:val="505C355C"/>
    <w:rsid w:val="505C523C"/>
    <w:rsid w:val="506A5C79"/>
    <w:rsid w:val="5073345A"/>
    <w:rsid w:val="50744D49"/>
    <w:rsid w:val="507765E7"/>
    <w:rsid w:val="50780C10"/>
    <w:rsid w:val="50792EE1"/>
    <w:rsid w:val="50825D33"/>
    <w:rsid w:val="508A1E77"/>
    <w:rsid w:val="508D5E0B"/>
    <w:rsid w:val="508D5E54"/>
    <w:rsid w:val="50926250"/>
    <w:rsid w:val="50962F12"/>
    <w:rsid w:val="50974594"/>
    <w:rsid w:val="5099030C"/>
    <w:rsid w:val="5099783C"/>
    <w:rsid w:val="509C604E"/>
    <w:rsid w:val="509D44EB"/>
    <w:rsid w:val="509F40D0"/>
    <w:rsid w:val="50A218B6"/>
    <w:rsid w:val="50A2676A"/>
    <w:rsid w:val="50A3118B"/>
    <w:rsid w:val="50A33B22"/>
    <w:rsid w:val="50A70C7B"/>
    <w:rsid w:val="50A96316"/>
    <w:rsid w:val="50AA2519"/>
    <w:rsid w:val="50B138A7"/>
    <w:rsid w:val="50B415EA"/>
    <w:rsid w:val="50B45146"/>
    <w:rsid w:val="50B60EBE"/>
    <w:rsid w:val="50BC224C"/>
    <w:rsid w:val="50C138E6"/>
    <w:rsid w:val="50C17863"/>
    <w:rsid w:val="50C23D07"/>
    <w:rsid w:val="50C3182D"/>
    <w:rsid w:val="50C8299F"/>
    <w:rsid w:val="50C86E43"/>
    <w:rsid w:val="50CC6933"/>
    <w:rsid w:val="50D37CC2"/>
    <w:rsid w:val="50D6547C"/>
    <w:rsid w:val="50D77A96"/>
    <w:rsid w:val="50D7E6A9"/>
    <w:rsid w:val="50D94BAC"/>
    <w:rsid w:val="50DE6667"/>
    <w:rsid w:val="50E0418D"/>
    <w:rsid w:val="50E05F3B"/>
    <w:rsid w:val="50E13A61"/>
    <w:rsid w:val="50E21CB3"/>
    <w:rsid w:val="50E579F5"/>
    <w:rsid w:val="50E84DEF"/>
    <w:rsid w:val="50EB4717"/>
    <w:rsid w:val="50EE68AA"/>
    <w:rsid w:val="50F149A8"/>
    <w:rsid w:val="50F32112"/>
    <w:rsid w:val="50F473C4"/>
    <w:rsid w:val="50F6750C"/>
    <w:rsid w:val="50FB0588"/>
    <w:rsid w:val="50FB2D75"/>
    <w:rsid w:val="51002139"/>
    <w:rsid w:val="51024103"/>
    <w:rsid w:val="51025EB1"/>
    <w:rsid w:val="510313C3"/>
    <w:rsid w:val="51051E45"/>
    <w:rsid w:val="510734C7"/>
    <w:rsid w:val="5107796B"/>
    <w:rsid w:val="51087240"/>
    <w:rsid w:val="51095DCA"/>
    <w:rsid w:val="510A120A"/>
    <w:rsid w:val="510D4856"/>
    <w:rsid w:val="510F4A72"/>
    <w:rsid w:val="51114346"/>
    <w:rsid w:val="51126E79"/>
    <w:rsid w:val="511300BE"/>
    <w:rsid w:val="51167BAE"/>
    <w:rsid w:val="511D2CEB"/>
    <w:rsid w:val="51200A2D"/>
    <w:rsid w:val="51273B6A"/>
    <w:rsid w:val="5135631C"/>
    <w:rsid w:val="514412D5"/>
    <w:rsid w:val="514566E6"/>
    <w:rsid w:val="51477D68"/>
    <w:rsid w:val="51493AE0"/>
    <w:rsid w:val="51542485"/>
    <w:rsid w:val="51552F41"/>
    <w:rsid w:val="515626A1"/>
    <w:rsid w:val="51581F75"/>
    <w:rsid w:val="515B3813"/>
    <w:rsid w:val="515E5628"/>
    <w:rsid w:val="515F3303"/>
    <w:rsid w:val="51600E2A"/>
    <w:rsid w:val="516813B7"/>
    <w:rsid w:val="516A1CA8"/>
    <w:rsid w:val="516B614C"/>
    <w:rsid w:val="516B63A0"/>
    <w:rsid w:val="516E3547"/>
    <w:rsid w:val="51703763"/>
    <w:rsid w:val="517174DB"/>
    <w:rsid w:val="51750D79"/>
    <w:rsid w:val="517F5754"/>
    <w:rsid w:val="51844B18"/>
    <w:rsid w:val="51865C83"/>
    <w:rsid w:val="51894824"/>
    <w:rsid w:val="518965D2"/>
    <w:rsid w:val="519136D9"/>
    <w:rsid w:val="51956D25"/>
    <w:rsid w:val="519640A7"/>
    <w:rsid w:val="5196484B"/>
    <w:rsid w:val="519D207E"/>
    <w:rsid w:val="519F5DF6"/>
    <w:rsid w:val="51A27694"/>
    <w:rsid w:val="51A46F68"/>
    <w:rsid w:val="51A72744"/>
    <w:rsid w:val="51A72EFC"/>
    <w:rsid w:val="51A753BA"/>
    <w:rsid w:val="51AA02F7"/>
    <w:rsid w:val="51AC0513"/>
    <w:rsid w:val="51AC406F"/>
    <w:rsid w:val="51AE6039"/>
    <w:rsid w:val="51B01DB1"/>
    <w:rsid w:val="51B11685"/>
    <w:rsid w:val="51B66C9C"/>
    <w:rsid w:val="51B977CF"/>
    <w:rsid w:val="51BC0756"/>
    <w:rsid w:val="51C413B8"/>
    <w:rsid w:val="51C55131"/>
    <w:rsid w:val="51CC64BF"/>
    <w:rsid w:val="51D27F79"/>
    <w:rsid w:val="51D51818"/>
    <w:rsid w:val="51D75590"/>
    <w:rsid w:val="51DD247A"/>
    <w:rsid w:val="51DD691E"/>
    <w:rsid w:val="51DF2696"/>
    <w:rsid w:val="51DF5FE7"/>
    <w:rsid w:val="51E26721"/>
    <w:rsid w:val="51E30DF4"/>
    <w:rsid w:val="51E50CE7"/>
    <w:rsid w:val="51EC1CCF"/>
    <w:rsid w:val="51ED6B61"/>
    <w:rsid w:val="51F021AD"/>
    <w:rsid w:val="51F2145C"/>
    <w:rsid w:val="51F31C9E"/>
    <w:rsid w:val="51F55A16"/>
    <w:rsid w:val="51F7178E"/>
    <w:rsid w:val="51FF4AE6"/>
    <w:rsid w:val="52065E75"/>
    <w:rsid w:val="520A7249"/>
    <w:rsid w:val="52100AA2"/>
    <w:rsid w:val="521137FA"/>
    <w:rsid w:val="52151C14"/>
    <w:rsid w:val="521560B8"/>
    <w:rsid w:val="52157E66"/>
    <w:rsid w:val="52174AA4"/>
    <w:rsid w:val="52197F39"/>
    <w:rsid w:val="521A1920"/>
    <w:rsid w:val="521A6DB2"/>
    <w:rsid w:val="521C2FA3"/>
    <w:rsid w:val="521C7446"/>
    <w:rsid w:val="521D4F6D"/>
    <w:rsid w:val="5221680B"/>
    <w:rsid w:val="522307D5"/>
    <w:rsid w:val="52232583"/>
    <w:rsid w:val="52270592"/>
    <w:rsid w:val="52285DEB"/>
    <w:rsid w:val="522A389E"/>
    <w:rsid w:val="522B0225"/>
    <w:rsid w:val="522B49CF"/>
    <w:rsid w:val="522C1839"/>
    <w:rsid w:val="522D3402"/>
    <w:rsid w:val="522E717A"/>
    <w:rsid w:val="523647F1"/>
    <w:rsid w:val="52391DA6"/>
    <w:rsid w:val="523D7334"/>
    <w:rsid w:val="523E06FD"/>
    <w:rsid w:val="52454C15"/>
    <w:rsid w:val="5246001F"/>
    <w:rsid w:val="52481FEA"/>
    <w:rsid w:val="524B1ADA"/>
    <w:rsid w:val="524B7D2C"/>
    <w:rsid w:val="524D5852"/>
    <w:rsid w:val="524E5126"/>
    <w:rsid w:val="524E6F67"/>
    <w:rsid w:val="524F15CA"/>
    <w:rsid w:val="525070F0"/>
    <w:rsid w:val="52512F7D"/>
    <w:rsid w:val="525564B4"/>
    <w:rsid w:val="525766D1"/>
    <w:rsid w:val="52592369"/>
    <w:rsid w:val="525941F7"/>
    <w:rsid w:val="525C3CE7"/>
    <w:rsid w:val="525C50DE"/>
    <w:rsid w:val="525F10E1"/>
    <w:rsid w:val="525F7333"/>
    <w:rsid w:val="52614E59"/>
    <w:rsid w:val="52625053"/>
    <w:rsid w:val="5265579F"/>
    <w:rsid w:val="52666914"/>
    <w:rsid w:val="52691F60"/>
    <w:rsid w:val="526A01B2"/>
    <w:rsid w:val="526B3F2A"/>
    <w:rsid w:val="526E7576"/>
    <w:rsid w:val="526F3A1A"/>
    <w:rsid w:val="52701540"/>
    <w:rsid w:val="5273385E"/>
    <w:rsid w:val="52761CC6"/>
    <w:rsid w:val="527A5F1B"/>
    <w:rsid w:val="527C1C93"/>
    <w:rsid w:val="52846D9A"/>
    <w:rsid w:val="52854FEC"/>
    <w:rsid w:val="5288688A"/>
    <w:rsid w:val="528943B0"/>
    <w:rsid w:val="528C45CC"/>
    <w:rsid w:val="528C7014"/>
    <w:rsid w:val="528D5C4E"/>
    <w:rsid w:val="52911BE2"/>
    <w:rsid w:val="52923265"/>
    <w:rsid w:val="52927709"/>
    <w:rsid w:val="529A036B"/>
    <w:rsid w:val="529C40E3"/>
    <w:rsid w:val="529E6941"/>
    <w:rsid w:val="529F5982"/>
    <w:rsid w:val="52A10FF1"/>
    <w:rsid w:val="52A5226E"/>
    <w:rsid w:val="52A5743C"/>
    <w:rsid w:val="52A64F62"/>
    <w:rsid w:val="52A66D10"/>
    <w:rsid w:val="52A8103C"/>
    <w:rsid w:val="52AA4A52"/>
    <w:rsid w:val="52AB4326"/>
    <w:rsid w:val="52AD009F"/>
    <w:rsid w:val="52B00AE6"/>
    <w:rsid w:val="52B15DE1"/>
    <w:rsid w:val="52B458D1"/>
    <w:rsid w:val="52B633F7"/>
    <w:rsid w:val="52B70F1D"/>
    <w:rsid w:val="52B94EE9"/>
    <w:rsid w:val="52BB4769"/>
    <w:rsid w:val="52BF6524"/>
    <w:rsid w:val="52C13B4A"/>
    <w:rsid w:val="52C27FEE"/>
    <w:rsid w:val="52C5188C"/>
    <w:rsid w:val="52C84ED8"/>
    <w:rsid w:val="52D15F58"/>
    <w:rsid w:val="52D23FA9"/>
    <w:rsid w:val="52D27B05"/>
    <w:rsid w:val="52D4387D"/>
    <w:rsid w:val="52D675F5"/>
    <w:rsid w:val="52D7450A"/>
    <w:rsid w:val="52D97CF2"/>
    <w:rsid w:val="52E066C6"/>
    <w:rsid w:val="52E33AC0"/>
    <w:rsid w:val="52E46A9D"/>
    <w:rsid w:val="52E53CDC"/>
    <w:rsid w:val="52E8557B"/>
    <w:rsid w:val="52E87329"/>
    <w:rsid w:val="52EA4E4F"/>
    <w:rsid w:val="52ED493F"/>
    <w:rsid w:val="52EF06B7"/>
    <w:rsid w:val="52EF4B5B"/>
    <w:rsid w:val="52F67C97"/>
    <w:rsid w:val="52FB52AE"/>
    <w:rsid w:val="530A3743"/>
    <w:rsid w:val="531356F0"/>
    <w:rsid w:val="531445C2"/>
    <w:rsid w:val="53146370"/>
    <w:rsid w:val="53165C44"/>
    <w:rsid w:val="531A11E6"/>
    <w:rsid w:val="531B76FE"/>
    <w:rsid w:val="531D3476"/>
    <w:rsid w:val="53204D14"/>
    <w:rsid w:val="532145E9"/>
    <w:rsid w:val="532A071E"/>
    <w:rsid w:val="532A7941"/>
    <w:rsid w:val="532D11DF"/>
    <w:rsid w:val="532F6D06"/>
    <w:rsid w:val="53422EDD"/>
    <w:rsid w:val="53424C8B"/>
    <w:rsid w:val="53487DC7"/>
    <w:rsid w:val="534A1D91"/>
    <w:rsid w:val="534D3630"/>
    <w:rsid w:val="534F1156"/>
    <w:rsid w:val="53511372"/>
    <w:rsid w:val="5352215E"/>
    <w:rsid w:val="535449BE"/>
    <w:rsid w:val="53566988"/>
    <w:rsid w:val="535B7AFB"/>
    <w:rsid w:val="536015B5"/>
    <w:rsid w:val="53603363"/>
    <w:rsid w:val="53607807"/>
    <w:rsid w:val="53633E09"/>
    <w:rsid w:val="536E5A80"/>
    <w:rsid w:val="53742287"/>
    <w:rsid w:val="537A5CBA"/>
    <w:rsid w:val="537B63EF"/>
    <w:rsid w:val="537D416E"/>
    <w:rsid w:val="537D6E41"/>
    <w:rsid w:val="53803A05"/>
    <w:rsid w:val="5385644A"/>
    <w:rsid w:val="53894668"/>
    <w:rsid w:val="538C23AA"/>
    <w:rsid w:val="53937294"/>
    <w:rsid w:val="5394300C"/>
    <w:rsid w:val="539574B0"/>
    <w:rsid w:val="53963229"/>
    <w:rsid w:val="5399205E"/>
    <w:rsid w:val="539A4AC7"/>
    <w:rsid w:val="53A07C03"/>
    <w:rsid w:val="53A17E78"/>
    <w:rsid w:val="53A30B5C"/>
    <w:rsid w:val="53A5778E"/>
    <w:rsid w:val="53A72D40"/>
    <w:rsid w:val="53A771E4"/>
    <w:rsid w:val="53AE4A2E"/>
    <w:rsid w:val="53B04187"/>
    <w:rsid w:val="53B23D9A"/>
    <w:rsid w:val="53B4545D"/>
    <w:rsid w:val="53B61BA3"/>
    <w:rsid w:val="53B92A73"/>
    <w:rsid w:val="53BA6F17"/>
    <w:rsid w:val="53BF62DB"/>
    <w:rsid w:val="53C60658"/>
    <w:rsid w:val="53C71634"/>
    <w:rsid w:val="53C930E4"/>
    <w:rsid w:val="53C9715A"/>
    <w:rsid w:val="53CC27A6"/>
    <w:rsid w:val="53D004E8"/>
    <w:rsid w:val="53D4255B"/>
    <w:rsid w:val="53D578AD"/>
    <w:rsid w:val="53DA1367"/>
    <w:rsid w:val="53DB523C"/>
    <w:rsid w:val="53DF3594"/>
    <w:rsid w:val="53E06252"/>
    <w:rsid w:val="53E126F6"/>
    <w:rsid w:val="53E21FCA"/>
    <w:rsid w:val="53E43F94"/>
    <w:rsid w:val="53E73A84"/>
    <w:rsid w:val="53E93050"/>
    <w:rsid w:val="53EC2E48"/>
    <w:rsid w:val="53EE096F"/>
    <w:rsid w:val="53EE6BC1"/>
    <w:rsid w:val="53F266B1"/>
    <w:rsid w:val="53F3571F"/>
    <w:rsid w:val="53F561A1"/>
    <w:rsid w:val="53F65A75"/>
    <w:rsid w:val="53F8359B"/>
    <w:rsid w:val="53FB308C"/>
    <w:rsid w:val="540042E1"/>
    <w:rsid w:val="540168F4"/>
    <w:rsid w:val="54041F40"/>
    <w:rsid w:val="54071A30"/>
    <w:rsid w:val="540957A8"/>
    <w:rsid w:val="54106B37"/>
    <w:rsid w:val="54115BAD"/>
    <w:rsid w:val="541505F1"/>
    <w:rsid w:val="541A5C08"/>
    <w:rsid w:val="541A79B6"/>
    <w:rsid w:val="541B4B0C"/>
    <w:rsid w:val="541D3002"/>
    <w:rsid w:val="541D74A6"/>
    <w:rsid w:val="54273E81"/>
    <w:rsid w:val="542813F0"/>
    <w:rsid w:val="54295E4B"/>
    <w:rsid w:val="542B1BC3"/>
    <w:rsid w:val="542B571F"/>
    <w:rsid w:val="542D76E9"/>
    <w:rsid w:val="54316AAD"/>
    <w:rsid w:val="54317483"/>
    <w:rsid w:val="54330A77"/>
    <w:rsid w:val="5435659E"/>
    <w:rsid w:val="54372316"/>
    <w:rsid w:val="54386DE9"/>
    <w:rsid w:val="543A3BB4"/>
    <w:rsid w:val="543C792C"/>
    <w:rsid w:val="543E18F6"/>
    <w:rsid w:val="543F11CA"/>
    <w:rsid w:val="543F667E"/>
    <w:rsid w:val="5440409A"/>
    <w:rsid w:val="544561BC"/>
    <w:rsid w:val="5447544E"/>
    <w:rsid w:val="54485B16"/>
    <w:rsid w:val="544A08EB"/>
    <w:rsid w:val="544B3A05"/>
    <w:rsid w:val="544B4013"/>
    <w:rsid w:val="544D38E7"/>
    <w:rsid w:val="544E2750"/>
    <w:rsid w:val="544F3B03"/>
    <w:rsid w:val="5455279C"/>
    <w:rsid w:val="54556C40"/>
    <w:rsid w:val="54596730"/>
    <w:rsid w:val="545C1D7C"/>
    <w:rsid w:val="54617393"/>
    <w:rsid w:val="54646E83"/>
    <w:rsid w:val="546A2608"/>
    <w:rsid w:val="54705828"/>
    <w:rsid w:val="5472334E"/>
    <w:rsid w:val="547A48F8"/>
    <w:rsid w:val="547C241E"/>
    <w:rsid w:val="547D6C5E"/>
    <w:rsid w:val="547F3CBD"/>
    <w:rsid w:val="54802430"/>
    <w:rsid w:val="54802CFF"/>
    <w:rsid w:val="548337AD"/>
    <w:rsid w:val="5487365F"/>
    <w:rsid w:val="54880DC3"/>
    <w:rsid w:val="548A5438"/>
    <w:rsid w:val="548B2661"/>
    <w:rsid w:val="548F0958"/>
    <w:rsid w:val="54930E84"/>
    <w:rsid w:val="549332C4"/>
    <w:rsid w:val="549A28A4"/>
    <w:rsid w:val="549C400B"/>
    <w:rsid w:val="549E2395"/>
    <w:rsid w:val="54A0435F"/>
    <w:rsid w:val="54A11E85"/>
    <w:rsid w:val="54A43723"/>
    <w:rsid w:val="54A454D1"/>
    <w:rsid w:val="54AA6F8B"/>
    <w:rsid w:val="54AB0870"/>
    <w:rsid w:val="54B0031A"/>
    <w:rsid w:val="54B24092"/>
    <w:rsid w:val="54BB2F47"/>
    <w:rsid w:val="54BE2A37"/>
    <w:rsid w:val="54C53DC5"/>
    <w:rsid w:val="54C64C57"/>
    <w:rsid w:val="54C92A81"/>
    <w:rsid w:val="54C94F38"/>
    <w:rsid w:val="54D00DAF"/>
    <w:rsid w:val="54D013CA"/>
    <w:rsid w:val="54D2203E"/>
    <w:rsid w:val="54D51B2F"/>
    <w:rsid w:val="54D917CC"/>
    <w:rsid w:val="54DE30BA"/>
    <w:rsid w:val="54E15BBD"/>
    <w:rsid w:val="54E3249D"/>
    <w:rsid w:val="54E67898"/>
    <w:rsid w:val="54EA7388"/>
    <w:rsid w:val="54F0598E"/>
    <w:rsid w:val="54F14BBA"/>
    <w:rsid w:val="54F46459"/>
    <w:rsid w:val="54F77CF7"/>
    <w:rsid w:val="54FB0F77"/>
    <w:rsid w:val="54FE1085"/>
    <w:rsid w:val="54FE7E42"/>
    <w:rsid w:val="54FF095A"/>
    <w:rsid w:val="550D3076"/>
    <w:rsid w:val="550F3292"/>
    <w:rsid w:val="55104E28"/>
    <w:rsid w:val="55115317"/>
    <w:rsid w:val="551201FD"/>
    <w:rsid w:val="551408A9"/>
    <w:rsid w:val="551C775D"/>
    <w:rsid w:val="55200FFC"/>
    <w:rsid w:val="552503C0"/>
    <w:rsid w:val="55256612"/>
    <w:rsid w:val="55262A58"/>
    <w:rsid w:val="55264138"/>
    <w:rsid w:val="55284354"/>
    <w:rsid w:val="552863E9"/>
    <w:rsid w:val="552A4319"/>
    <w:rsid w:val="552D54C7"/>
    <w:rsid w:val="55303207"/>
    <w:rsid w:val="55326F81"/>
    <w:rsid w:val="55346855"/>
    <w:rsid w:val="553A55CC"/>
    <w:rsid w:val="55425416"/>
    <w:rsid w:val="55447185"/>
    <w:rsid w:val="554802C6"/>
    <w:rsid w:val="55490003"/>
    <w:rsid w:val="55497DA9"/>
    <w:rsid w:val="554A79C4"/>
    <w:rsid w:val="554D7917"/>
    <w:rsid w:val="554F18E1"/>
    <w:rsid w:val="554F7907"/>
    <w:rsid w:val="554F7B33"/>
    <w:rsid w:val="555159E4"/>
    <w:rsid w:val="5554127A"/>
    <w:rsid w:val="55562C6F"/>
    <w:rsid w:val="555775BD"/>
    <w:rsid w:val="55592760"/>
    <w:rsid w:val="555A35CD"/>
    <w:rsid w:val="555C2CD7"/>
    <w:rsid w:val="555C3226"/>
    <w:rsid w:val="555D3FFE"/>
    <w:rsid w:val="555D5DAC"/>
    <w:rsid w:val="55603AEE"/>
    <w:rsid w:val="55676C2B"/>
    <w:rsid w:val="55690BF5"/>
    <w:rsid w:val="556A04C9"/>
    <w:rsid w:val="556E7FB9"/>
    <w:rsid w:val="556F788D"/>
    <w:rsid w:val="55760C1C"/>
    <w:rsid w:val="55766E6E"/>
    <w:rsid w:val="557A0A7D"/>
    <w:rsid w:val="557D01FC"/>
    <w:rsid w:val="55833339"/>
    <w:rsid w:val="558772CD"/>
    <w:rsid w:val="55883D35"/>
    <w:rsid w:val="558B35BF"/>
    <w:rsid w:val="558C762B"/>
    <w:rsid w:val="558E065B"/>
    <w:rsid w:val="559317CE"/>
    <w:rsid w:val="55937A20"/>
    <w:rsid w:val="55945546"/>
    <w:rsid w:val="559509EF"/>
    <w:rsid w:val="559A7000"/>
    <w:rsid w:val="559E63C4"/>
    <w:rsid w:val="55A0038E"/>
    <w:rsid w:val="55A11558"/>
    <w:rsid w:val="55A27C63"/>
    <w:rsid w:val="55A439DB"/>
    <w:rsid w:val="55A47850"/>
    <w:rsid w:val="55A51501"/>
    <w:rsid w:val="55A96E65"/>
    <w:rsid w:val="55B300C2"/>
    <w:rsid w:val="55B33C1E"/>
    <w:rsid w:val="55B654BC"/>
    <w:rsid w:val="55B90637"/>
    <w:rsid w:val="55C0633B"/>
    <w:rsid w:val="55C148DD"/>
    <w:rsid w:val="55C37BD9"/>
    <w:rsid w:val="55C51BA3"/>
    <w:rsid w:val="55C776C9"/>
    <w:rsid w:val="55C955BD"/>
    <w:rsid w:val="55CE6CAA"/>
    <w:rsid w:val="55CF47D0"/>
    <w:rsid w:val="55D02A22"/>
    <w:rsid w:val="55D10548"/>
    <w:rsid w:val="55D1679A"/>
    <w:rsid w:val="55D3606E"/>
    <w:rsid w:val="55D61F35"/>
    <w:rsid w:val="55DA73FC"/>
    <w:rsid w:val="55DB0099"/>
    <w:rsid w:val="55DD0C9B"/>
    <w:rsid w:val="55E24503"/>
    <w:rsid w:val="55E262B1"/>
    <w:rsid w:val="55E62245"/>
    <w:rsid w:val="55EB785C"/>
    <w:rsid w:val="55EE0E23"/>
    <w:rsid w:val="55F36710"/>
    <w:rsid w:val="55F75928"/>
    <w:rsid w:val="55F81F79"/>
    <w:rsid w:val="55F83D27"/>
    <w:rsid w:val="56026953"/>
    <w:rsid w:val="560501F2"/>
    <w:rsid w:val="56073F6A"/>
    <w:rsid w:val="560B1CAC"/>
    <w:rsid w:val="560D0EEC"/>
    <w:rsid w:val="56130B60"/>
    <w:rsid w:val="5613290E"/>
    <w:rsid w:val="56187F25"/>
    <w:rsid w:val="561D553B"/>
    <w:rsid w:val="561D6ED6"/>
    <w:rsid w:val="56206DD9"/>
    <w:rsid w:val="56206E5C"/>
    <w:rsid w:val="562341D8"/>
    <w:rsid w:val="56242D6E"/>
    <w:rsid w:val="56244B1C"/>
    <w:rsid w:val="56262642"/>
    <w:rsid w:val="5626429A"/>
    <w:rsid w:val="56310FE7"/>
    <w:rsid w:val="5632548A"/>
    <w:rsid w:val="56334D5F"/>
    <w:rsid w:val="563D3E2F"/>
    <w:rsid w:val="563E06F0"/>
    <w:rsid w:val="563F1955"/>
    <w:rsid w:val="56494582"/>
    <w:rsid w:val="564C5E20"/>
    <w:rsid w:val="56554CD5"/>
    <w:rsid w:val="56570A4D"/>
    <w:rsid w:val="565A053D"/>
    <w:rsid w:val="565D3B8A"/>
    <w:rsid w:val="56644F18"/>
    <w:rsid w:val="56682C5A"/>
    <w:rsid w:val="56694C24"/>
    <w:rsid w:val="566A0AB3"/>
    <w:rsid w:val="567333AD"/>
    <w:rsid w:val="56784286"/>
    <w:rsid w:val="56786C15"/>
    <w:rsid w:val="567C24C2"/>
    <w:rsid w:val="567E247E"/>
    <w:rsid w:val="567F1D52"/>
    <w:rsid w:val="56837A94"/>
    <w:rsid w:val="56841075"/>
    <w:rsid w:val="569246E8"/>
    <w:rsid w:val="56955A19"/>
    <w:rsid w:val="56985F83"/>
    <w:rsid w:val="569C0B56"/>
    <w:rsid w:val="569F41A2"/>
    <w:rsid w:val="56A45C5C"/>
    <w:rsid w:val="56A73B30"/>
    <w:rsid w:val="56AA14DA"/>
    <w:rsid w:val="56AB2B47"/>
    <w:rsid w:val="56B00850"/>
    <w:rsid w:val="56B04601"/>
    <w:rsid w:val="56B063AF"/>
    <w:rsid w:val="56B57E6A"/>
    <w:rsid w:val="56B61FDB"/>
    <w:rsid w:val="56B714EC"/>
    <w:rsid w:val="56B90D23"/>
    <w:rsid w:val="56BC2FA6"/>
    <w:rsid w:val="56BF4844"/>
    <w:rsid w:val="56BF65F2"/>
    <w:rsid w:val="56C02A96"/>
    <w:rsid w:val="56C360E3"/>
    <w:rsid w:val="56C540E1"/>
    <w:rsid w:val="56C97471"/>
    <w:rsid w:val="56CE3C91"/>
    <w:rsid w:val="56CE6835"/>
    <w:rsid w:val="56DF0A43"/>
    <w:rsid w:val="56E04EE6"/>
    <w:rsid w:val="56E12A0D"/>
    <w:rsid w:val="56E542AB"/>
    <w:rsid w:val="56E62FC8"/>
    <w:rsid w:val="56E66275"/>
    <w:rsid w:val="56E7100F"/>
    <w:rsid w:val="56E85B49"/>
    <w:rsid w:val="56E878F7"/>
    <w:rsid w:val="56EA7B13"/>
    <w:rsid w:val="56FC15F5"/>
    <w:rsid w:val="56FE536D"/>
    <w:rsid w:val="570010E5"/>
    <w:rsid w:val="5706231D"/>
    <w:rsid w:val="57076C37"/>
    <w:rsid w:val="57087CE9"/>
    <w:rsid w:val="570D0312"/>
    <w:rsid w:val="570D3802"/>
    <w:rsid w:val="571526B6"/>
    <w:rsid w:val="5717642E"/>
    <w:rsid w:val="57201787"/>
    <w:rsid w:val="57203535"/>
    <w:rsid w:val="572052E3"/>
    <w:rsid w:val="57212E09"/>
    <w:rsid w:val="57236B81"/>
    <w:rsid w:val="57266914"/>
    <w:rsid w:val="572A4F61"/>
    <w:rsid w:val="572A6162"/>
    <w:rsid w:val="572B1EDA"/>
    <w:rsid w:val="57342B3C"/>
    <w:rsid w:val="57362D58"/>
    <w:rsid w:val="57364B06"/>
    <w:rsid w:val="57392849"/>
    <w:rsid w:val="573A3ECB"/>
    <w:rsid w:val="573C5E95"/>
    <w:rsid w:val="573C7C43"/>
    <w:rsid w:val="573F4984"/>
    <w:rsid w:val="574035DF"/>
    <w:rsid w:val="574378EA"/>
    <w:rsid w:val="574511ED"/>
    <w:rsid w:val="574865E8"/>
    <w:rsid w:val="5749020C"/>
    <w:rsid w:val="574D00A2"/>
    <w:rsid w:val="574E7815"/>
    <w:rsid w:val="574F3E1A"/>
    <w:rsid w:val="575012DB"/>
    <w:rsid w:val="575C02E5"/>
    <w:rsid w:val="575E70BA"/>
    <w:rsid w:val="576014DD"/>
    <w:rsid w:val="57635426"/>
    <w:rsid w:val="57650F48"/>
    <w:rsid w:val="5765719A"/>
    <w:rsid w:val="57664CC0"/>
    <w:rsid w:val="576E1D1D"/>
    <w:rsid w:val="577613A7"/>
    <w:rsid w:val="57790E97"/>
    <w:rsid w:val="577D7621"/>
    <w:rsid w:val="577E200A"/>
    <w:rsid w:val="577E64AD"/>
    <w:rsid w:val="57825F9E"/>
    <w:rsid w:val="57827D4C"/>
    <w:rsid w:val="57831D16"/>
    <w:rsid w:val="57855BEF"/>
    <w:rsid w:val="57882E88"/>
    <w:rsid w:val="578C2978"/>
    <w:rsid w:val="57921934"/>
    <w:rsid w:val="57923D07"/>
    <w:rsid w:val="5793283F"/>
    <w:rsid w:val="5794121A"/>
    <w:rsid w:val="579637F7"/>
    <w:rsid w:val="57982E12"/>
    <w:rsid w:val="57995095"/>
    <w:rsid w:val="579D6A47"/>
    <w:rsid w:val="57A14B99"/>
    <w:rsid w:val="57A44166"/>
    <w:rsid w:val="57A8352A"/>
    <w:rsid w:val="57A9177C"/>
    <w:rsid w:val="57AA2DFF"/>
    <w:rsid w:val="57AB2BAE"/>
    <w:rsid w:val="57B123DF"/>
    <w:rsid w:val="57B25476"/>
    <w:rsid w:val="57B64481"/>
    <w:rsid w:val="57BA5F6E"/>
    <w:rsid w:val="57BC2B32"/>
    <w:rsid w:val="57BE4AFC"/>
    <w:rsid w:val="57C00874"/>
    <w:rsid w:val="57C02622"/>
    <w:rsid w:val="57C33EC0"/>
    <w:rsid w:val="57C6025A"/>
    <w:rsid w:val="57C71C02"/>
    <w:rsid w:val="57C739B1"/>
    <w:rsid w:val="57CA34A1"/>
    <w:rsid w:val="57D8796C"/>
    <w:rsid w:val="57D90823"/>
    <w:rsid w:val="57DB745C"/>
    <w:rsid w:val="57DD58C9"/>
    <w:rsid w:val="57E04A72"/>
    <w:rsid w:val="57E07C89"/>
    <w:rsid w:val="57E24C8E"/>
    <w:rsid w:val="57E32145"/>
    <w:rsid w:val="57E44245"/>
    <w:rsid w:val="57E502DB"/>
    <w:rsid w:val="57E5652D"/>
    <w:rsid w:val="57E75E01"/>
    <w:rsid w:val="57E85BA6"/>
    <w:rsid w:val="57EC78BB"/>
    <w:rsid w:val="57EE4C30"/>
    <w:rsid w:val="57EE53E1"/>
    <w:rsid w:val="57EE718F"/>
    <w:rsid w:val="57F239CD"/>
    <w:rsid w:val="57F347A6"/>
    <w:rsid w:val="57F76C1A"/>
    <w:rsid w:val="57F86260"/>
    <w:rsid w:val="57F95B34"/>
    <w:rsid w:val="57FA1FD8"/>
    <w:rsid w:val="57FF5312"/>
    <w:rsid w:val="580249E9"/>
    <w:rsid w:val="58043125"/>
    <w:rsid w:val="580538F1"/>
    <w:rsid w:val="58095D77"/>
    <w:rsid w:val="580D19E3"/>
    <w:rsid w:val="580D61FE"/>
    <w:rsid w:val="5813309A"/>
    <w:rsid w:val="58136BF6"/>
    <w:rsid w:val="58156E12"/>
    <w:rsid w:val="581B1F4E"/>
    <w:rsid w:val="581C7EDC"/>
    <w:rsid w:val="581F37ED"/>
    <w:rsid w:val="5826241E"/>
    <w:rsid w:val="582C5F09"/>
    <w:rsid w:val="58317AA5"/>
    <w:rsid w:val="58353010"/>
    <w:rsid w:val="58382B00"/>
    <w:rsid w:val="583B5BBA"/>
    <w:rsid w:val="583D0117"/>
    <w:rsid w:val="583F3E8F"/>
    <w:rsid w:val="583F72D1"/>
    <w:rsid w:val="58417C07"/>
    <w:rsid w:val="58430402"/>
    <w:rsid w:val="58445001"/>
    <w:rsid w:val="584C035A"/>
    <w:rsid w:val="584C3543"/>
    <w:rsid w:val="584C44C3"/>
    <w:rsid w:val="5857124C"/>
    <w:rsid w:val="585A2A77"/>
    <w:rsid w:val="585D2567"/>
    <w:rsid w:val="58607961"/>
    <w:rsid w:val="58627B7D"/>
    <w:rsid w:val="58643E2C"/>
    <w:rsid w:val="586456A3"/>
    <w:rsid w:val="58675193"/>
    <w:rsid w:val="58692CBA"/>
    <w:rsid w:val="58773629"/>
    <w:rsid w:val="587C0C3F"/>
    <w:rsid w:val="587D1AD7"/>
    <w:rsid w:val="587F5DC6"/>
    <w:rsid w:val="587F6039"/>
    <w:rsid w:val="58823D7B"/>
    <w:rsid w:val="58825B29"/>
    <w:rsid w:val="588418A2"/>
    <w:rsid w:val="58847305"/>
    <w:rsid w:val="5886561A"/>
    <w:rsid w:val="58866B8B"/>
    <w:rsid w:val="5889335C"/>
    <w:rsid w:val="588B2C30"/>
    <w:rsid w:val="588D4BFA"/>
    <w:rsid w:val="589046EA"/>
    <w:rsid w:val="589246FB"/>
    <w:rsid w:val="589645C5"/>
    <w:rsid w:val="58965D44"/>
    <w:rsid w:val="5898359F"/>
    <w:rsid w:val="58985108"/>
    <w:rsid w:val="5898534D"/>
    <w:rsid w:val="589C4470"/>
    <w:rsid w:val="589C6BEB"/>
    <w:rsid w:val="58A07557"/>
    <w:rsid w:val="58A106A5"/>
    <w:rsid w:val="58A24C93"/>
    <w:rsid w:val="58A81A34"/>
    <w:rsid w:val="58A957AC"/>
    <w:rsid w:val="58AB5080"/>
    <w:rsid w:val="58AD704A"/>
    <w:rsid w:val="58AE4C17"/>
    <w:rsid w:val="58B303D9"/>
    <w:rsid w:val="58B33F35"/>
    <w:rsid w:val="58C738D4"/>
    <w:rsid w:val="58C84C62"/>
    <w:rsid w:val="58C93758"/>
    <w:rsid w:val="58CA27FB"/>
    <w:rsid w:val="58CB74D0"/>
    <w:rsid w:val="58CD4FF7"/>
    <w:rsid w:val="58D628BA"/>
    <w:rsid w:val="58D75E75"/>
    <w:rsid w:val="58D77C23"/>
    <w:rsid w:val="58DE7204"/>
    <w:rsid w:val="58E862D4"/>
    <w:rsid w:val="58EA204C"/>
    <w:rsid w:val="58ED7447"/>
    <w:rsid w:val="58F509F1"/>
    <w:rsid w:val="58F702C5"/>
    <w:rsid w:val="58F72073"/>
    <w:rsid w:val="58FA7DB6"/>
    <w:rsid w:val="58FF53CC"/>
    <w:rsid w:val="58FF717A"/>
    <w:rsid w:val="59002D7E"/>
    <w:rsid w:val="59003F37"/>
    <w:rsid w:val="59016342"/>
    <w:rsid w:val="59101387"/>
    <w:rsid w:val="59103135"/>
    <w:rsid w:val="591075D9"/>
    <w:rsid w:val="59126EAD"/>
    <w:rsid w:val="5915699E"/>
    <w:rsid w:val="59184E6E"/>
    <w:rsid w:val="591A3FB4"/>
    <w:rsid w:val="591C775F"/>
    <w:rsid w:val="591F15CA"/>
    <w:rsid w:val="59254E33"/>
    <w:rsid w:val="59262F8F"/>
    <w:rsid w:val="59284923"/>
    <w:rsid w:val="592858A0"/>
    <w:rsid w:val="592941F7"/>
    <w:rsid w:val="592A2449"/>
    <w:rsid w:val="592B4413"/>
    <w:rsid w:val="592D0668"/>
    <w:rsid w:val="592F5CB1"/>
    <w:rsid w:val="59345076"/>
    <w:rsid w:val="593B4656"/>
    <w:rsid w:val="593C03CE"/>
    <w:rsid w:val="593C3F2A"/>
    <w:rsid w:val="59401C6C"/>
    <w:rsid w:val="594554D5"/>
    <w:rsid w:val="59457283"/>
    <w:rsid w:val="594667E9"/>
    <w:rsid w:val="5947124D"/>
    <w:rsid w:val="594A4899"/>
    <w:rsid w:val="594A4C77"/>
    <w:rsid w:val="594D4389"/>
    <w:rsid w:val="594D6137"/>
    <w:rsid w:val="594F3C5E"/>
    <w:rsid w:val="595079D6"/>
    <w:rsid w:val="59545718"/>
    <w:rsid w:val="59576FB6"/>
    <w:rsid w:val="595F0856"/>
    <w:rsid w:val="5963595B"/>
    <w:rsid w:val="59653481"/>
    <w:rsid w:val="596B480F"/>
    <w:rsid w:val="596C2A61"/>
    <w:rsid w:val="596C37C8"/>
    <w:rsid w:val="5975743C"/>
    <w:rsid w:val="597731B4"/>
    <w:rsid w:val="5980475F"/>
    <w:rsid w:val="59837DAB"/>
    <w:rsid w:val="59840381"/>
    <w:rsid w:val="5988716F"/>
    <w:rsid w:val="59897E96"/>
    <w:rsid w:val="598A113A"/>
    <w:rsid w:val="598A2EE8"/>
    <w:rsid w:val="598A5738"/>
    <w:rsid w:val="598E5B28"/>
    <w:rsid w:val="59981AA8"/>
    <w:rsid w:val="59995821"/>
    <w:rsid w:val="599975CF"/>
    <w:rsid w:val="599B3347"/>
    <w:rsid w:val="599B50F5"/>
    <w:rsid w:val="599B6EA3"/>
    <w:rsid w:val="59A246D5"/>
    <w:rsid w:val="59A321FB"/>
    <w:rsid w:val="59A55F73"/>
    <w:rsid w:val="59A83E3F"/>
    <w:rsid w:val="59AD6BD6"/>
    <w:rsid w:val="59B2243E"/>
    <w:rsid w:val="59B241EC"/>
    <w:rsid w:val="59B26A4A"/>
    <w:rsid w:val="59B35D77"/>
    <w:rsid w:val="59B60181"/>
    <w:rsid w:val="59B91A1F"/>
    <w:rsid w:val="59BB12F3"/>
    <w:rsid w:val="59BD32BD"/>
    <w:rsid w:val="59BF7118"/>
    <w:rsid w:val="59C15707"/>
    <w:rsid w:val="59C234D4"/>
    <w:rsid w:val="59C7413C"/>
    <w:rsid w:val="59C75EEA"/>
    <w:rsid w:val="59C93CE6"/>
    <w:rsid w:val="59CD1026"/>
    <w:rsid w:val="59CF1242"/>
    <w:rsid w:val="59D65A17"/>
    <w:rsid w:val="59D800F7"/>
    <w:rsid w:val="59D80FE8"/>
    <w:rsid w:val="59D95C1D"/>
    <w:rsid w:val="59D95E81"/>
    <w:rsid w:val="59DC230F"/>
    <w:rsid w:val="59DD395F"/>
    <w:rsid w:val="59DF76D7"/>
    <w:rsid w:val="59E00D5A"/>
    <w:rsid w:val="59E22D24"/>
    <w:rsid w:val="59E44CEE"/>
    <w:rsid w:val="59E940B2"/>
    <w:rsid w:val="59EC5F33"/>
    <w:rsid w:val="59F111B9"/>
    <w:rsid w:val="59F42A57"/>
    <w:rsid w:val="59F46672"/>
    <w:rsid w:val="59F504F4"/>
    <w:rsid w:val="59F76AA3"/>
    <w:rsid w:val="59F842F5"/>
    <w:rsid w:val="59F9006D"/>
    <w:rsid w:val="59FA5A78"/>
    <w:rsid w:val="59FD5DAF"/>
    <w:rsid w:val="5A023D21"/>
    <w:rsid w:val="5A04713E"/>
    <w:rsid w:val="5A0507C0"/>
    <w:rsid w:val="5A0529AB"/>
    <w:rsid w:val="5A0532AE"/>
    <w:rsid w:val="5A054C64"/>
    <w:rsid w:val="5A0A04CC"/>
    <w:rsid w:val="5A0C1B4F"/>
    <w:rsid w:val="5A0E58C7"/>
    <w:rsid w:val="5A102D6B"/>
    <w:rsid w:val="5A186745"/>
    <w:rsid w:val="5A1B4488"/>
    <w:rsid w:val="5A2033EE"/>
    <w:rsid w:val="5A20384C"/>
    <w:rsid w:val="5A246325"/>
    <w:rsid w:val="5A276988"/>
    <w:rsid w:val="5A2D0C00"/>
    <w:rsid w:val="5A2F2D4A"/>
    <w:rsid w:val="5A3115B5"/>
    <w:rsid w:val="5A3966BC"/>
    <w:rsid w:val="5A3D182F"/>
    <w:rsid w:val="5A3D7F5A"/>
    <w:rsid w:val="5A407A4A"/>
    <w:rsid w:val="5A446DF9"/>
    <w:rsid w:val="5A470DD9"/>
    <w:rsid w:val="5A480741"/>
    <w:rsid w:val="5A492DA3"/>
    <w:rsid w:val="5A4A08C9"/>
    <w:rsid w:val="5A4D35C0"/>
    <w:rsid w:val="5A4E0252"/>
    <w:rsid w:val="5A4F76CD"/>
    <w:rsid w:val="5A504131"/>
    <w:rsid w:val="5A513A05"/>
    <w:rsid w:val="5A533C21"/>
    <w:rsid w:val="5A5359CF"/>
    <w:rsid w:val="5A557999"/>
    <w:rsid w:val="5A5654C0"/>
    <w:rsid w:val="5A582FE6"/>
    <w:rsid w:val="5A657932"/>
    <w:rsid w:val="5A673229"/>
    <w:rsid w:val="5A6951F3"/>
    <w:rsid w:val="5A6B0F6B"/>
    <w:rsid w:val="5A7871E4"/>
    <w:rsid w:val="5A867B53"/>
    <w:rsid w:val="5A875679"/>
    <w:rsid w:val="5A8B5169"/>
    <w:rsid w:val="5A8C4E0C"/>
    <w:rsid w:val="5A9145A3"/>
    <w:rsid w:val="5A932270"/>
    <w:rsid w:val="5A9658BC"/>
    <w:rsid w:val="5A985AD8"/>
    <w:rsid w:val="5A9F29C3"/>
    <w:rsid w:val="5AA12BDF"/>
    <w:rsid w:val="5AA224B3"/>
    <w:rsid w:val="5AB26B9A"/>
    <w:rsid w:val="5AB521E6"/>
    <w:rsid w:val="5AB53F94"/>
    <w:rsid w:val="5AB64552"/>
    <w:rsid w:val="5AB7558E"/>
    <w:rsid w:val="5AB75F5E"/>
    <w:rsid w:val="5ABA15AB"/>
    <w:rsid w:val="5ABA77FD"/>
    <w:rsid w:val="5ABE4F01"/>
    <w:rsid w:val="5AC03E2B"/>
    <w:rsid w:val="5AC4181B"/>
    <w:rsid w:val="5AC52679"/>
    <w:rsid w:val="5AC609D5"/>
    <w:rsid w:val="5AC62645"/>
    <w:rsid w:val="5AC661A1"/>
    <w:rsid w:val="5AC95C92"/>
    <w:rsid w:val="5AD76600"/>
    <w:rsid w:val="5ADD34EB"/>
    <w:rsid w:val="5ADF3707"/>
    <w:rsid w:val="5AE26D53"/>
    <w:rsid w:val="5AE42ACB"/>
    <w:rsid w:val="5AE623A0"/>
    <w:rsid w:val="5AE96334"/>
    <w:rsid w:val="5AEA0EC0"/>
    <w:rsid w:val="5AEC372E"/>
    <w:rsid w:val="5AF076C2"/>
    <w:rsid w:val="5AF93BF7"/>
    <w:rsid w:val="5AF947C9"/>
    <w:rsid w:val="5AFB39CD"/>
    <w:rsid w:val="5AFC6067"/>
    <w:rsid w:val="5AFF783B"/>
    <w:rsid w:val="5B03623B"/>
    <w:rsid w:val="5B0373F5"/>
    <w:rsid w:val="5B044F1C"/>
    <w:rsid w:val="5B046CCA"/>
    <w:rsid w:val="5B062A42"/>
    <w:rsid w:val="5B0647F0"/>
    <w:rsid w:val="5B0B1E06"/>
    <w:rsid w:val="5B0B62AA"/>
    <w:rsid w:val="5B0D5B7E"/>
    <w:rsid w:val="5B136F0D"/>
    <w:rsid w:val="5B150ED7"/>
    <w:rsid w:val="5B174C4F"/>
    <w:rsid w:val="5B1A64ED"/>
    <w:rsid w:val="5B1D5ACB"/>
    <w:rsid w:val="5B1E3EF5"/>
    <w:rsid w:val="5B21787C"/>
    <w:rsid w:val="5B224AB4"/>
    <w:rsid w:val="5B242EC8"/>
    <w:rsid w:val="5B2575EE"/>
    <w:rsid w:val="5B264E92"/>
    <w:rsid w:val="5B280C0A"/>
    <w:rsid w:val="5B2829B8"/>
    <w:rsid w:val="5B2D7FCE"/>
    <w:rsid w:val="5B2F1F99"/>
    <w:rsid w:val="5B305D11"/>
    <w:rsid w:val="5B341C47"/>
    <w:rsid w:val="5B3559A3"/>
    <w:rsid w:val="5B37709F"/>
    <w:rsid w:val="5B3951AC"/>
    <w:rsid w:val="5B3C2907"/>
    <w:rsid w:val="5B3C46B5"/>
    <w:rsid w:val="5B3D3F8A"/>
    <w:rsid w:val="5B411CCC"/>
    <w:rsid w:val="5B481056"/>
    <w:rsid w:val="5B48305A"/>
    <w:rsid w:val="5B4A5024"/>
    <w:rsid w:val="5B4B1D4C"/>
    <w:rsid w:val="5B4B48F9"/>
    <w:rsid w:val="5B4B66A7"/>
    <w:rsid w:val="5B555777"/>
    <w:rsid w:val="5B590DC3"/>
    <w:rsid w:val="5B5E287E"/>
    <w:rsid w:val="5B634D8B"/>
    <w:rsid w:val="5B647768"/>
    <w:rsid w:val="5B675852"/>
    <w:rsid w:val="5B6B0AF7"/>
    <w:rsid w:val="5B6D2AC1"/>
    <w:rsid w:val="5B6F4A8B"/>
    <w:rsid w:val="5B6F58CD"/>
    <w:rsid w:val="5B705474"/>
    <w:rsid w:val="5B7756EE"/>
    <w:rsid w:val="5B791466"/>
    <w:rsid w:val="5B7C67D0"/>
    <w:rsid w:val="5B7F45A2"/>
    <w:rsid w:val="5B8147BE"/>
    <w:rsid w:val="5B8163F9"/>
    <w:rsid w:val="5B8C73EB"/>
    <w:rsid w:val="5B914B70"/>
    <w:rsid w:val="5B92355A"/>
    <w:rsid w:val="5B9462A0"/>
    <w:rsid w:val="5B9B5880"/>
    <w:rsid w:val="5B9C2638"/>
    <w:rsid w:val="5B9C5154"/>
    <w:rsid w:val="5BA179AA"/>
    <w:rsid w:val="5BA30291"/>
    <w:rsid w:val="5BA54009"/>
    <w:rsid w:val="5BA65FD3"/>
    <w:rsid w:val="5BA83AF9"/>
    <w:rsid w:val="5BAB7F25"/>
    <w:rsid w:val="5BAD110F"/>
    <w:rsid w:val="5BB16E51"/>
    <w:rsid w:val="5BB22BCA"/>
    <w:rsid w:val="5BB24978"/>
    <w:rsid w:val="5BB64468"/>
    <w:rsid w:val="5BB97AB4"/>
    <w:rsid w:val="5BBC6C32"/>
    <w:rsid w:val="5BBD4F0B"/>
    <w:rsid w:val="5BC07095"/>
    <w:rsid w:val="5BC135AA"/>
    <w:rsid w:val="5BC16969"/>
    <w:rsid w:val="5BC36B85"/>
    <w:rsid w:val="5BC546AB"/>
    <w:rsid w:val="5BC87CF7"/>
    <w:rsid w:val="5BCA3A06"/>
    <w:rsid w:val="5BCC3C8B"/>
    <w:rsid w:val="5BCE7A03"/>
    <w:rsid w:val="5BCF1086"/>
    <w:rsid w:val="5BD05C66"/>
    <w:rsid w:val="5BD40D92"/>
    <w:rsid w:val="5BD878D3"/>
    <w:rsid w:val="5BDE39BF"/>
    <w:rsid w:val="5BDE576D"/>
    <w:rsid w:val="5BE2700B"/>
    <w:rsid w:val="5BE52F77"/>
    <w:rsid w:val="5BE54D4D"/>
    <w:rsid w:val="5BE73C31"/>
    <w:rsid w:val="5BE865EB"/>
    <w:rsid w:val="5BEC7E8A"/>
    <w:rsid w:val="5BEF34D6"/>
    <w:rsid w:val="5BF06051"/>
    <w:rsid w:val="5BF38446"/>
    <w:rsid w:val="5BF47BAB"/>
    <w:rsid w:val="5BF8682E"/>
    <w:rsid w:val="5BFB1E7B"/>
    <w:rsid w:val="5BFC1C05"/>
    <w:rsid w:val="5BFE5E0F"/>
    <w:rsid w:val="5C003858"/>
    <w:rsid w:val="5C0056E3"/>
    <w:rsid w:val="5C007491"/>
    <w:rsid w:val="5C007E73"/>
    <w:rsid w:val="5C025B2B"/>
    <w:rsid w:val="5C050F4B"/>
    <w:rsid w:val="5C092082"/>
    <w:rsid w:val="5C0A6562"/>
    <w:rsid w:val="5C0C7573"/>
    <w:rsid w:val="5C115B42"/>
    <w:rsid w:val="5C142E86"/>
    <w:rsid w:val="5C163158"/>
    <w:rsid w:val="5C1B42CB"/>
    <w:rsid w:val="5C1E5B57"/>
    <w:rsid w:val="5C25339C"/>
    <w:rsid w:val="5C2A2760"/>
    <w:rsid w:val="5C2F421A"/>
    <w:rsid w:val="5C390BF5"/>
    <w:rsid w:val="5C3B4EF8"/>
    <w:rsid w:val="5C4001D5"/>
    <w:rsid w:val="5C423F4D"/>
    <w:rsid w:val="5C425CFC"/>
    <w:rsid w:val="5C473312"/>
    <w:rsid w:val="5C495718"/>
    <w:rsid w:val="5C4C7FF5"/>
    <w:rsid w:val="5C4E30E8"/>
    <w:rsid w:val="5C4E46A0"/>
    <w:rsid w:val="5C531CB7"/>
    <w:rsid w:val="5C545A2F"/>
    <w:rsid w:val="5C5617A7"/>
    <w:rsid w:val="5C5872CD"/>
    <w:rsid w:val="5C587862"/>
    <w:rsid w:val="5C5A1297"/>
    <w:rsid w:val="5C5B6DBD"/>
    <w:rsid w:val="5C602626"/>
    <w:rsid w:val="5C62014C"/>
    <w:rsid w:val="5C62639E"/>
    <w:rsid w:val="5C643EC4"/>
    <w:rsid w:val="5C6469CC"/>
    <w:rsid w:val="5C6914DA"/>
    <w:rsid w:val="5C6C4B26"/>
    <w:rsid w:val="5C6E4D42"/>
    <w:rsid w:val="5C766AB1"/>
    <w:rsid w:val="5C773637"/>
    <w:rsid w:val="5C8267E6"/>
    <w:rsid w:val="5C891B7C"/>
    <w:rsid w:val="5C89392A"/>
    <w:rsid w:val="5C8956D8"/>
    <w:rsid w:val="5C8C0E24"/>
    <w:rsid w:val="5C8D47B8"/>
    <w:rsid w:val="5C8F6A67"/>
    <w:rsid w:val="5C902F0B"/>
    <w:rsid w:val="5C910A31"/>
    <w:rsid w:val="5C9127DF"/>
    <w:rsid w:val="5C9962C6"/>
    <w:rsid w:val="5C9A5B38"/>
    <w:rsid w:val="5CA249EC"/>
    <w:rsid w:val="5CA469DE"/>
    <w:rsid w:val="5CA53FEB"/>
    <w:rsid w:val="5CA541F3"/>
    <w:rsid w:val="5CAA4852"/>
    <w:rsid w:val="5CAD1369"/>
    <w:rsid w:val="5CAE513F"/>
    <w:rsid w:val="5CAF2C65"/>
    <w:rsid w:val="5CB07B52"/>
    <w:rsid w:val="5CB54D70"/>
    <w:rsid w:val="5CB63FF4"/>
    <w:rsid w:val="5CBB785C"/>
    <w:rsid w:val="5CBD5382"/>
    <w:rsid w:val="5CBF734C"/>
    <w:rsid w:val="5CC04DC4"/>
    <w:rsid w:val="5CC05393"/>
    <w:rsid w:val="5CC74453"/>
    <w:rsid w:val="5CCA26AB"/>
    <w:rsid w:val="5CD1707F"/>
    <w:rsid w:val="5CD32DF8"/>
    <w:rsid w:val="5CD56B70"/>
    <w:rsid w:val="5CD728E8"/>
    <w:rsid w:val="5CDA5F34"/>
    <w:rsid w:val="5CE04FC8"/>
    <w:rsid w:val="5CE2128D"/>
    <w:rsid w:val="5CE45005"/>
    <w:rsid w:val="5CE70651"/>
    <w:rsid w:val="5CE96177"/>
    <w:rsid w:val="5CEA6009"/>
    <w:rsid w:val="5CEB20B3"/>
    <w:rsid w:val="5CEC2F75"/>
    <w:rsid w:val="5CEE378D"/>
    <w:rsid w:val="5CEE5E83"/>
    <w:rsid w:val="5CF27722"/>
    <w:rsid w:val="5CF43DC4"/>
    <w:rsid w:val="5CF50FC0"/>
    <w:rsid w:val="5CF70BA6"/>
    <w:rsid w:val="5CF80AB0"/>
    <w:rsid w:val="5CF8285E"/>
    <w:rsid w:val="5CFB5EAA"/>
    <w:rsid w:val="5D027239"/>
    <w:rsid w:val="5D0631CD"/>
    <w:rsid w:val="5D0946FC"/>
    <w:rsid w:val="5D0B0FAD"/>
    <w:rsid w:val="5D0C190F"/>
    <w:rsid w:val="5D11431E"/>
    <w:rsid w:val="5D1460C1"/>
    <w:rsid w:val="5D156F6C"/>
    <w:rsid w:val="5D1C479E"/>
    <w:rsid w:val="5D213B63"/>
    <w:rsid w:val="5D2A0FD8"/>
    <w:rsid w:val="5D2B49E2"/>
    <w:rsid w:val="5D2D2508"/>
    <w:rsid w:val="5D2E002E"/>
    <w:rsid w:val="5D380EAD"/>
    <w:rsid w:val="5D3A2E77"/>
    <w:rsid w:val="5D3C20B5"/>
    <w:rsid w:val="5D3C274B"/>
    <w:rsid w:val="5D3E4715"/>
    <w:rsid w:val="5D3E599D"/>
    <w:rsid w:val="5D3F66DF"/>
    <w:rsid w:val="5D4133FD"/>
    <w:rsid w:val="5D414205"/>
    <w:rsid w:val="5D443CF5"/>
    <w:rsid w:val="5D4D2BAA"/>
    <w:rsid w:val="5D4D6706"/>
    <w:rsid w:val="5D50269A"/>
    <w:rsid w:val="5D5A7075"/>
    <w:rsid w:val="5D5D2178"/>
    <w:rsid w:val="5D616655"/>
    <w:rsid w:val="5D6204FF"/>
    <w:rsid w:val="5D635F29"/>
    <w:rsid w:val="5D6B74D4"/>
    <w:rsid w:val="5D6D0B56"/>
    <w:rsid w:val="5D6D702B"/>
    <w:rsid w:val="5D740137"/>
    <w:rsid w:val="5D7E0FB5"/>
    <w:rsid w:val="5D80166A"/>
    <w:rsid w:val="5D852344"/>
    <w:rsid w:val="5D867E6A"/>
    <w:rsid w:val="5D883BE2"/>
    <w:rsid w:val="5D88420E"/>
    <w:rsid w:val="5D8F31C2"/>
    <w:rsid w:val="5D916F3A"/>
    <w:rsid w:val="5D924B45"/>
    <w:rsid w:val="5D964551"/>
    <w:rsid w:val="5D99194B"/>
    <w:rsid w:val="5D9C143B"/>
    <w:rsid w:val="5D9C768D"/>
    <w:rsid w:val="5D9D7F5E"/>
    <w:rsid w:val="5DA14CA4"/>
    <w:rsid w:val="5DA938E3"/>
    <w:rsid w:val="5DAA3B58"/>
    <w:rsid w:val="5DAB5B22"/>
    <w:rsid w:val="5DB03139"/>
    <w:rsid w:val="5DB744C7"/>
    <w:rsid w:val="5DBA7B13"/>
    <w:rsid w:val="5DBB3FB7"/>
    <w:rsid w:val="5DBB6063"/>
    <w:rsid w:val="5DC170F4"/>
    <w:rsid w:val="5DC664B8"/>
    <w:rsid w:val="5DC84987"/>
    <w:rsid w:val="5DCC278B"/>
    <w:rsid w:val="5DCD5A99"/>
    <w:rsid w:val="5DD42FAF"/>
    <w:rsid w:val="5DD46E27"/>
    <w:rsid w:val="5DD5494D"/>
    <w:rsid w:val="5DDB1F64"/>
    <w:rsid w:val="5DE30E18"/>
    <w:rsid w:val="5DE352BC"/>
    <w:rsid w:val="5DE3706A"/>
    <w:rsid w:val="5DE54B90"/>
    <w:rsid w:val="5DE74DAC"/>
    <w:rsid w:val="5DE80B25"/>
    <w:rsid w:val="5DE84681"/>
    <w:rsid w:val="5DEA287F"/>
    <w:rsid w:val="5DF254FF"/>
    <w:rsid w:val="5DF41319"/>
    <w:rsid w:val="5DF67B71"/>
    <w:rsid w:val="5DF748C4"/>
    <w:rsid w:val="5DF9436A"/>
    <w:rsid w:val="5DFB3BF1"/>
    <w:rsid w:val="5DFE5C52"/>
    <w:rsid w:val="5E0019C1"/>
    <w:rsid w:val="5E023994"/>
    <w:rsid w:val="5E03709A"/>
    <w:rsid w:val="5E0378B2"/>
    <w:rsid w:val="5E055233"/>
    <w:rsid w:val="5E062D59"/>
    <w:rsid w:val="5E0771FD"/>
    <w:rsid w:val="5E0A45F7"/>
    <w:rsid w:val="5E0B036F"/>
    <w:rsid w:val="5E0C67CE"/>
    <w:rsid w:val="5E162F9C"/>
    <w:rsid w:val="5E167440"/>
    <w:rsid w:val="5E174F66"/>
    <w:rsid w:val="5E1A7207"/>
    <w:rsid w:val="5E1B2CA8"/>
    <w:rsid w:val="5E1C432A"/>
    <w:rsid w:val="5E1D07CE"/>
    <w:rsid w:val="5E2002BE"/>
    <w:rsid w:val="5E23390B"/>
    <w:rsid w:val="5E2356B9"/>
    <w:rsid w:val="5E2751A9"/>
    <w:rsid w:val="5E2A6A47"/>
    <w:rsid w:val="5E2C27BF"/>
    <w:rsid w:val="5E2C6C63"/>
    <w:rsid w:val="5E2D4789"/>
    <w:rsid w:val="5E2D7116"/>
    <w:rsid w:val="5E306353"/>
    <w:rsid w:val="5E316028"/>
    <w:rsid w:val="5E323FC1"/>
    <w:rsid w:val="5E327412"/>
    <w:rsid w:val="5E345B18"/>
    <w:rsid w:val="5E3478C6"/>
    <w:rsid w:val="5E36363E"/>
    <w:rsid w:val="5E39312E"/>
    <w:rsid w:val="5E3C7D5A"/>
    <w:rsid w:val="5E3D2C1E"/>
    <w:rsid w:val="5E421FE3"/>
    <w:rsid w:val="5E443FAD"/>
    <w:rsid w:val="5E48511F"/>
    <w:rsid w:val="5E4A6AF2"/>
    <w:rsid w:val="5E4D0988"/>
    <w:rsid w:val="5E512226"/>
    <w:rsid w:val="5E5529BE"/>
    <w:rsid w:val="5E5B30A5"/>
    <w:rsid w:val="5E5E4943"/>
    <w:rsid w:val="5E621BD8"/>
    <w:rsid w:val="5E622685"/>
    <w:rsid w:val="5E624433"/>
    <w:rsid w:val="5E6261E1"/>
    <w:rsid w:val="5E671A49"/>
    <w:rsid w:val="5E6737F7"/>
    <w:rsid w:val="5E723503"/>
    <w:rsid w:val="5E7303EE"/>
    <w:rsid w:val="5E736640"/>
    <w:rsid w:val="5E7423B8"/>
    <w:rsid w:val="5E744166"/>
    <w:rsid w:val="5E761C8C"/>
    <w:rsid w:val="5E781EA8"/>
    <w:rsid w:val="5E79177D"/>
    <w:rsid w:val="5E7C6E35"/>
    <w:rsid w:val="5E7F3237"/>
    <w:rsid w:val="5E800D5D"/>
    <w:rsid w:val="5E820631"/>
    <w:rsid w:val="5E8332D2"/>
    <w:rsid w:val="5E84084D"/>
    <w:rsid w:val="5E8545C5"/>
    <w:rsid w:val="5E8A398A"/>
    <w:rsid w:val="5E8B1BDC"/>
    <w:rsid w:val="5E8C325E"/>
    <w:rsid w:val="5E9D546B"/>
    <w:rsid w:val="5E9E1A3D"/>
    <w:rsid w:val="5E9F11E3"/>
    <w:rsid w:val="5EA04F5B"/>
    <w:rsid w:val="5EA22A81"/>
    <w:rsid w:val="5EA762EA"/>
    <w:rsid w:val="5EA902B4"/>
    <w:rsid w:val="5EA92CC0"/>
    <w:rsid w:val="5EB10F16"/>
    <w:rsid w:val="5EB153BA"/>
    <w:rsid w:val="5EB34C8F"/>
    <w:rsid w:val="5EB36A3D"/>
    <w:rsid w:val="5EB77D37"/>
    <w:rsid w:val="5EB86749"/>
    <w:rsid w:val="5EBA426F"/>
    <w:rsid w:val="5EC0115A"/>
    <w:rsid w:val="5EC43E73"/>
    <w:rsid w:val="5EC450EE"/>
    <w:rsid w:val="5ECA1FD8"/>
    <w:rsid w:val="5ECC7AFE"/>
    <w:rsid w:val="5ED24B49"/>
    <w:rsid w:val="5ED74E21"/>
    <w:rsid w:val="5EDA046D"/>
    <w:rsid w:val="5EDF203E"/>
    <w:rsid w:val="5EE94B47"/>
    <w:rsid w:val="5EE96902"/>
    <w:rsid w:val="5EEA61D6"/>
    <w:rsid w:val="5EED2869"/>
    <w:rsid w:val="5EF46B60"/>
    <w:rsid w:val="5EF552A7"/>
    <w:rsid w:val="5EF808F3"/>
    <w:rsid w:val="5EFD75C8"/>
    <w:rsid w:val="5EFE19A4"/>
    <w:rsid w:val="5F021772"/>
    <w:rsid w:val="5F092B01"/>
    <w:rsid w:val="5F0B0627"/>
    <w:rsid w:val="5F0C439F"/>
    <w:rsid w:val="5F135F44"/>
    <w:rsid w:val="5F1804B9"/>
    <w:rsid w:val="5F1F2324"/>
    <w:rsid w:val="5F2126D2"/>
    <w:rsid w:val="5F2142EE"/>
    <w:rsid w:val="5F217E4A"/>
    <w:rsid w:val="5F224B68"/>
    <w:rsid w:val="5F24793A"/>
    <w:rsid w:val="5F2636B2"/>
    <w:rsid w:val="5F281A76"/>
    <w:rsid w:val="5F322057"/>
    <w:rsid w:val="5F331209"/>
    <w:rsid w:val="5F34078A"/>
    <w:rsid w:val="5F37766E"/>
    <w:rsid w:val="5F440E28"/>
    <w:rsid w:val="5F4B136B"/>
    <w:rsid w:val="5F4D50E3"/>
    <w:rsid w:val="5F4F0E5B"/>
    <w:rsid w:val="5F5310CC"/>
    <w:rsid w:val="5F533996"/>
    <w:rsid w:val="5F557AF4"/>
    <w:rsid w:val="5F571ABE"/>
    <w:rsid w:val="5F57386C"/>
    <w:rsid w:val="5F585836"/>
    <w:rsid w:val="5F606C8D"/>
    <w:rsid w:val="5F6135FE"/>
    <w:rsid w:val="5F697A43"/>
    <w:rsid w:val="5F6C62F4"/>
    <w:rsid w:val="5F6D12E1"/>
    <w:rsid w:val="5F6E0BB6"/>
    <w:rsid w:val="5F72431F"/>
    <w:rsid w:val="5F763632"/>
    <w:rsid w:val="5F773F0E"/>
    <w:rsid w:val="5F781A34"/>
    <w:rsid w:val="5F785962"/>
    <w:rsid w:val="5F7A57AC"/>
    <w:rsid w:val="5F7A755A"/>
    <w:rsid w:val="5F7C7776"/>
    <w:rsid w:val="5F7D5FDB"/>
    <w:rsid w:val="5F7E34EF"/>
    <w:rsid w:val="5F8108E9"/>
    <w:rsid w:val="5F814D8D"/>
    <w:rsid w:val="5F8156E7"/>
    <w:rsid w:val="5F8403D9"/>
    <w:rsid w:val="5F84662B"/>
    <w:rsid w:val="5F867CB5"/>
    <w:rsid w:val="5F881C77"/>
    <w:rsid w:val="5F8B27B2"/>
    <w:rsid w:val="5F8D65FE"/>
    <w:rsid w:val="5F8E3006"/>
    <w:rsid w:val="5F903222"/>
    <w:rsid w:val="5F942D12"/>
    <w:rsid w:val="5F9E149B"/>
    <w:rsid w:val="5FA02E17"/>
    <w:rsid w:val="5FA171DD"/>
    <w:rsid w:val="5FA647F3"/>
    <w:rsid w:val="5FAF0602"/>
    <w:rsid w:val="5FB011CE"/>
    <w:rsid w:val="5FB24F46"/>
    <w:rsid w:val="5FB40CBE"/>
    <w:rsid w:val="5FB70BF2"/>
    <w:rsid w:val="5FB76A2A"/>
    <w:rsid w:val="5FBA4C29"/>
    <w:rsid w:val="5FC1162D"/>
    <w:rsid w:val="5FC30F01"/>
    <w:rsid w:val="5FC66C44"/>
    <w:rsid w:val="5FC829BC"/>
    <w:rsid w:val="5FCB6008"/>
    <w:rsid w:val="5FD05F75"/>
    <w:rsid w:val="5FD255E8"/>
    <w:rsid w:val="5FD96977"/>
    <w:rsid w:val="5FDA624B"/>
    <w:rsid w:val="5FDB26EF"/>
    <w:rsid w:val="5FDE3F8D"/>
    <w:rsid w:val="5FDF3861"/>
    <w:rsid w:val="5FDF6A1D"/>
    <w:rsid w:val="5FE07D05"/>
    <w:rsid w:val="5FE123BA"/>
    <w:rsid w:val="5FE307B8"/>
    <w:rsid w:val="5FE5356E"/>
    <w:rsid w:val="5FE570CA"/>
    <w:rsid w:val="5FED5F7E"/>
    <w:rsid w:val="5FEF1CF6"/>
    <w:rsid w:val="5FF57A88"/>
    <w:rsid w:val="5FF732A1"/>
    <w:rsid w:val="5FF7504F"/>
    <w:rsid w:val="5FF7FF90"/>
    <w:rsid w:val="5FF861ED"/>
    <w:rsid w:val="5FFA069B"/>
    <w:rsid w:val="5FFC4413"/>
    <w:rsid w:val="5FFC5A7B"/>
    <w:rsid w:val="5FFCCF74"/>
    <w:rsid w:val="5FFD7DE8"/>
    <w:rsid w:val="60003E70"/>
    <w:rsid w:val="60003F04"/>
    <w:rsid w:val="60031DD8"/>
    <w:rsid w:val="600357A2"/>
    <w:rsid w:val="600450EA"/>
    <w:rsid w:val="600D4872"/>
    <w:rsid w:val="60107EBF"/>
    <w:rsid w:val="60161979"/>
    <w:rsid w:val="601B6F8F"/>
    <w:rsid w:val="601E6469"/>
    <w:rsid w:val="60234096"/>
    <w:rsid w:val="60295975"/>
    <w:rsid w:val="602966A2"/>
    <w:rsid w:val="602A0F80"/>
    <w:rsid w:val="603911C4"/>
    <w:rsid w:val="603B13E0"/>
    <w:rsid w:val="603B4F3C"/>
    <w:rsid w:val="604007A4"/>
    <w:rsid w:val="604134FC"/>
    <w:rsid w:val="60455DBA"/>
    <w:rsid w:val="604638E0"/>
    <w:rsid w:val="604E1113"/>
    <w:rsid w:val="604F09E7"/>
    <w:rsid w:val="604F6C39"/>
    <w:rsid w:val="6051475F"/>
    <w:rsid w:val="60545FFD"/>
    <w:rsid w:val="6057550C"/>
    <w:rsid w:val="6057789C"/>
    <w:rsid w:val="60591866"/>
    <w:rsid w:val="60621A18"/>
    <w:rsid w:val="6065020A"/>
    <w:rsid w:val="60660A05"/>
    <w:rsid w:val="60681AA9"/>
    <w:rsid w:val="606A3A73"/>
    <w:rsid w:val="606C2ECA"/>
    <w:rsid w:val="606C3347"/>
    <w:rsid w:val="606C77EB"/>
    <w:rsid w:val="606F1089"/>
    <w:rsid w:val="6071095D"/>
    <w:rsid w:val="60716BAF"/>
    <w:rsid w:val="60730B79"/>
    <w:rsid w:val="607448F1"/>
    <w:rsid w:val="607C7302"/>
    <w:rsid w:val="608149DC"/>
    <w:rsid w:val="60820DBC"/>
    <w:rsid w:val="60831C82"/>
    <w:rsid w:val="608654CC"/>
    <w:rsid w:val="60874625"/>
    <w:rsid w:val="60883EF9"/>
    <w:rsid w:val="608A1A1F"/>
    <w:rsid w:val="608A28CE"/>
    <w:rsid w:val="608A36C4"/>
    <w:rsid w:val="608F38D0"/>
    <w:rsid w:val="609014D0"/>
    <w:rsid w:val="60911000"/>
    <w:rsid w:val="60917251"/>
    <w:rsid w:val="6094289E"/>
    <w:rsid w:val="60964868"/>
    <w:rsid w:val="60996106"/>
    <w:rsid w:val="60A056E7"/>
    <w:rsid w:val="60A52CFD"/>
    <w:rsid w:val="60A71236"/>
    <w:rsid w:val="60A7597A"/>
    <w:rsid w:val="60A95105"/>
    <w:rsid w:val="60AC5E39"/>
    <w:rsid w:val="60B116A2"/>
    <w:rsid w:val="60B3541A"/>
    <w:rsid w:val="60B3565E"/>
    <w:rsid w:val="60B372D5"/>
    <w:rsid w:val="60B40FB2"/>
    <w:rsid w:val="60B42F40"/>
    <w:rsid w:val="60B44CEE"/>
    <w:rsid w:val="60B83D2E"/>
    <w:rsid w:val="60B868FF"/>
    <w:rsid w:val="60C2740B"/>
    <w:rsid w:val="60C352D7"/>
    <w:rsid w:val="60C82547"/>
    <w:rsid w:val="60C90799"/>
    <w:rsid w:val="60D333C6"/>
    <w:rsid w:val="60D40EEC"/>
    <w:rsid w:val="60DF3BC2"/>
    <w:rsid w:val="60E008A9"/>
    <w:rsid w:val="60E27AAD"/>
    <w:rsid w:val="60E71D02"/>
    <w:rsid w:val="60E76E71"/>
    <w:rsid w:val="60EB4BB4"/>
    <w:rsid w:val="60EC26DA"/>
    <w:rsid w:val="60EC6712"/>
    <w:rsid w:val="60ED41C1"/>
    <w:rsid w:val="60F23EC9"/>
    <w:rsid w:val="60F90953"/>
    <w:rsid w:val="60FA4DF7"/>
    <w:rsid w:val="60FD2E3F"/>
    <w:rsid w:val="610572F8"/>
    <w:rsid w:val="6106379C"/>
    <w:rsid w:val="610A418A"/>
    <w:rsid w:val="611063C8"/>
    <w:rsid w:val="611258B1"/>
    <w:rsid w:val="61137C66"/>
    <w:rsid w:val="61151C31"/>
    <w:rsid w:val="611539DF"/>
    <w:rsid w:val="611D6D37"/>
    <w:rsid w:val="61202383"/>
    <w:rsid w:val="61204131"/>
    <w:rsid w:val="61291238"/>
    <w:rsid w:val="61306A6A"/>
    <w:rsid w:val="61363955"/>
    <w:rsid w:val="614222FA"/>
    <w:rsid w:val="61441E24"/>
    <w:rsid w:val="61446072"/>
    <w:rsid w:val="614726C5"/>
    <w:rsid w:val="614B38A4"/>
    <w:rsid w:val="614B5652"/>
    <w:rsid w:val="614B7400"/>
    <w:rsid w:val="614C4F26"/>
    <w:rsid w:val="614F601C"/>
    <w:rsid w:val="61534507"/>
    <w:rsid w:val="61572249"/>
    <w:rsid w:val="615838CB"/>
    <w:rsid w:val="615D5386"/>
    <w:rsid w:val="615F10FE"/>
    <w:rsid w:val="615F4C5A"/>
    <w:rsid w:val="61630BEE"/>
    <w:rsid w:val="61665FE8"/>
    <w:rsid w:val="6171498D"/>
    <w:rsid w:val="61730705"/>
    <w:rsid w:val="61734BA9"/>
    <w:rsid w:val="61773E15"/>
    <w:rsid w:val="61783F6D"/>
    <w:rsid w:val="61785D1C"/>
    <w:rsid w:val="617F70AA"/>
    <w:rsid w:val="61817916"/>
    <w:rsid w:val="618B3CA1"/>
    <w:rsid w:val="618B5A4F"/>
    <w:rsid w:val="61972646"/>
    <w:rsid w:val="619A57D2"/>
    <w:rsid w:val="619D5782"/>
    <w:rsid w:val="619E7E05"/>
    <w:rsid w:val="619F774C"/>
    <w:rsid w:val="61A134C4"/>
    <w:rsid w:val="61A60ADB"/>
    <w:rsid w:val="61AD00BB"/>
    <w:rsid w:val="61AE798F"/>
    <w:rsid w:val="61B76844"/>
    <w:rsid w:val="61B96A60"/>
    <w:rsid w:val="61BA27D8"/>
    <w:rsid w:val="61C848CE"/>
    <w:rsid w:val="61C86CA3"/>
    <w:rsid w:val="61C95D6B"/>
    <w:rsid w:val="61CC0880"/>
    <w:rsid w:val="61CE1DDF"/>
    <w:rsid w:val="61CE47BB"/>
    <w:rsid w:val="61D04BC5"/>
    <w:rsid w:val="61D373F6"/>
    <w:rsid w:val="61D90EB0"/>
    <w:rsid w:val="61DA0784"/>
    <w:rsid w:val="61DF3FED"/>
    <w:rsid w:val="61E15FB7"/>
    <w:rsid w:val="61EB0BE3"/>
    <w:rsid w:val="61ED6709"/>
    <w:rsid w:val="61EF4230"/>
    <w:rsid w:val="61F061FA"/>
    <w:rsid w:val="61F730E4"/>
    <w:rsid w:val="61F93300"/>
    <w:rsid w:val="61FA14C7"/>
    <w:rsid w:val="620121B5"/>
    <w:rsid w:val="6205092E"/>
    <w:rsid w:val="62053A53"/>
    <w:rsid w:val="62057BF9"/>
    <w:rsid w:val="62064F45"/>
    <w:rsid w:val="620677CB"/>
    <w:rsid w:val="621517BC"/>
    <w:rsid w:val="62173786"/>
    <w:rsid w:val="621A6DD3"/>
    <w:rsid w:val="6220263B"/>
    <w:rsid w:val="6223212B"/>
    <w:rsid w:val="622814F0"/>
    <w:rsid w:val="622D4D58"/>
    <w:rsid w:val="622F0AD0"/>
    <w:rsid w:val="622F287E"/>
    <w:rsid w:val="62353C0D"/>
    <w:rsid w:val="62361E5F"/>
    <w:rsid w:val="6239194F"/>
    <w:rsid w:val="62410803"/>
    <w:rsid w:val="6243457B"/>
    <w:rsid w:val="62465E1A"/>
    <w:rsid w:val="624B3430"/>
    <w:rsid w:val="624E28BB"/>
    <w:rsid w:val="62513DB2"/>
    <w:rsid w:val="62516C98"/>
    <w:rsid w:val="62540537"/>
    <w:rsid w:val="625475C2"/>
    <w:rsid w:val="6256605D"/>
    <w:rsid w:val="62586279"/>
    <w:rsid w:val="625C563D"/>
    <w:rsid w:val="625E0206"/>
    <w:rsid w:val="62613F3B"/>
    <w:rsid w:val="62621AF5"/>
    <w:rsid w:val="6263077A"/>
    <w:rsid w:val="62634C1E"/>
    <w:rsid w:val="62652744"/>
    <w:rsid w:val="626C5880"/>
    <w:rsid w:val="626F5370"/>
    <w:rsid w:val="62782028"/>
    <w:rsid w:val="62797F9D"/>
    <w:rsid w:val="627A43CD"/>
    <w:rsid w:val="627C183B"/>
    <w:rsid w:val="627C6D78"/>
    <w:rsid w:val="6280132C"/>
    <w:rsid w:val="628030DA"/>
    <w:rsid w:val="628250A4"/>
    <w:rsid w:val="628506F0"/>
    <w:rsid w:val="628A2481"/>
    <w:rsid w:val="628B49E1"/>
    <w:rsid w:val="628C7CD0"/>
    <w:rsid w:val="628D57F7"/>
    <w:rsid w:val="6291178B"/>
    <w:rsid w:val="62960EBF"/>
    <w:rsid w:val="629C79CA"/>
    <w:rsid w:val="629D3C8C"/>
    <w:rsid w:val="62A52B40"/>
    <w:rsid w:val="62B735F4"/>
    <w:rsid w:val="62B80AC5"/>
    <w:rsid w:val="62B9483E"/>
    <w:rsid w:val="62BD2580"/>
    <w:rsid w:val="62BD432E"/>
    <w:rsid w:val="62BF00A6"/>
    <w:rsid w:val="62C05BCC"/>
    <w:rsid w:val="62C70D09"/>
    <w:rsid w:val="62C90F25"/>
    <w:rsid w:val="62CC4571"/>
    <w:rsid w:val="62CC631F"/>
    <w:rsid w:val="62CF4061"/>
    <w:rsid w:val="62CF7BBD"/>
    <w:rsid w:val="62D11B87"/>
    <w:rsid w:val="62D33B51"/>
    <w:rsid w:val="62D578C9"/>
    <w:rsid w:val="62D84CC4"/>
    <w:rsid w:val="62DB0C58"/>
    <w:rsid w:val="62DB2A06"/>
    <w:rsid w:val="62DF1CF1"/>
    <w:rsid w:val="62E21FE6"/>
    <w:rsid w:val="62E25B42"/>
    <w:rsid w:val="62E31181"/>
    <w:rsid w:val="62E47B0C"/>
    <w:rsid w:val="62E53885"/>
    <w:rsid w:val="62E775FD"/>
    <w:rsid w:val="62E96ED1"/>
    <w:rsid w:val="62EB6498"/>
    <w:rsid w:val="62EC0DA3"/>
    <w:rsid w:val="62F16356"/>
    <w:rsid w:val="62FD0BCE"/>
    <w:rsid w:val="63021D41"/>
    <w:rsid w:val="630261E5"/>
    <w:rsid w:val="63057A83"/>
    <w:rsid w:val="630A1F68"/>
    <w:rsid w:val="630E2DDB"/>
    <w:rsid w:val="63112D6F"/>
    <w:rsid w:val="63141AE2"/>
    <w:rsid w:val="63173DD0"/>
    <w:rsid w:val="6318361B"/>
    <w:rsid w:val="63185A08"/>
    <w:rsid w:val="631A5562"/>
    <w:rsid w:val="631B72A6"/>
    <w:rsid w:val="631D6B7A"/>
    <w:rsid w:val="63200C00"/>
    <w:rsid w:val="63212B0F"/>
    <w:rsid w:val="6324615B"/>
    <w:rsid w:val="63275C4B"/>
    <w:rsid w:val="6329551F"/>
    <w:rsid w:val="632E3727"/>
    <w:rsid w:val="63343EC4"/>
    <w:rsid w:val="633A3BD0"/>
    <w:rsid w:val="633B5253"/>
    <w:rsid w:val="633F4D43"/>
    <w:rsid w:val="6345051E"/>
    <w:rsid w:val="63464323"/>
    <w:rsid w:val="63474BEA"/>
    <w:rsid w:val="63493E13"/>
    <w:rsid w:val="634C6E13"/>
    <w:rsid w:val="634C7460"/>
    <w:rsid w:val="634E4F86"/>
    <w:rsid w:val="63506F50"/>
    <w:rsid w:val="63514A76"/>
    <w:rsid w:val="63521831"/>
    <w:rsid w:val="635326D6"/>
    <w:rsid w:val="63536A40"/>
    <w:rsid w:val="63545E34"/>
    <w:rsid w:val="63586DCF"/>
    <w:rsid w:val="635C3B47"/>
    <w:rsid w:val="635F7193"/>
    <w:rsid w:val="63604E6B"/>
    <w:rsid w:val="63612F0B"/>
    <w:rsid w:val="63626C83"/>
    <w:rsid w:val="63640C4D"/>
    <w:rsid w:val="63660521"/>
    <w:rsid w:val="636724EC"/>
    <w:rsid w:val="636B1FDC"/>
    <w:rsid w:val="636C365E"/>
    <w:rsid w:val="637644DD"/>
    <w:rsid w:val="63781642"/>
    <w:rsid w:val="637A14B5"/>
    <w:rsid w:val="637D586B"/>
    <w:rsid w:val="637F6350"/>
    <w:rsid w:val="63807109"/>
    <w:rsid w:val="638135AD"/>
    <w:rsid w:val="63822E81"/>
    <w:rsid w:val="63873689"/>
    <w:rsid w:val="638B7F88"/>
    <w:rsid w:val="638C5AAE"/>
    <w:rsid w:val="638E7A78"/>
    <w:rsid w:val="63974B7F"/>
    <w:rsid w:val="639C03E7"/>
    <w:rsid w:val="639C109D"/>
    <w:rsid w:val="639D5F0D"/>
    <w:rsid w:val="639E7C98"/>
    <w:rsid w:val="63A23524"/>
    <w:rsid w:val="63A26BF0"/>
    <w:rsid w:val="63A4104A"/>
    <w:rsid w:val="63A63014"/>
    <w:rsid w:val="63AB4186"/>
    <w:rsid w:val="63AE1EC8"/>
    <w:rsid w:val="63B23767"/>
    <w:rsid w:val="63B3128D"/>
    <w:rsid w:val="63B472ED"/>
    <w:rsid w:val="63B76FCF"/>
    <w:rsid w:val="63BE035D"/>
    <w:rsid w:val="63BF38CF"/>
    <w:rsid w:val="63C67212"/>
    <w:rsid w:val="63C90AB0"/>
    <w:rsid w:val="63CC0145"/>
    <w:rsid w:val="63CF256B"/>
    <w:rsid w:val="63CF540A"/>
    <w:rsid w:val="63D168B4"/>
    <w:rsid w:val="63D25BB7"/>
    <w:rsid w:val="63D30592"/>
    <w:rsid w:val="63D336DD"/>
    <w:rsid w:val="63D57455"/>
    <w:rsid w:val="63D7141F"/>
    <w:rsid w:val="63D74F7B"/>
    <w:rsid w:val="63D95197"/>
    <w:rsid w:val="63DA0F0F"/>
    <w:rsid w:val="63DF3085"/>
    <w:rsid w:val="63DF6526"/>
    <w:rsid w:val="63E458EA"/>
    <w:rsid w:val="63E61662"/>
    <w:rsid w:val="63E8362C"/>
    <w:rsid w:val="63EB6C79"/>
    <w:rsid w:val="63ED0C43"/>
    <w:rsid w:val="63EF5B81"/>
    <w:rsid w:val="63F0428F"/>
    <w:rsid w:val="63F720DC"/>
    <w:rsid w:val="63FA6EBC"/>
    <w:rsid w:val="63FC0E86"/>
    <w:rsid w:val="63FD5F19"/>
    <w:rsid w:val="63FE69AC"/>
    <w:rsid w:val="63FF0976"/>
    <w:rsid w:val="64032214"/>
    <w:rsid w:val="64065861"/>
    <w:rsid w:val="64095351"/>
    <w:rsid w:val="640970FF"/>
    <w:rsid w:val="640E2970"/>
    <w:rsid w:val="64133D6A"/>
    <w:rsid w:val="6416019A"/>
    <w:rsid w:val="64160C84"/>
    <w:rsid w:val="641B4CCE"/>
    <w:rsid w:val="641F6922"/>
    <w:rsid w:val="642207D6"/>
    <w:rsid w:val="64264155"/>
    <w:rsid w:val="64267CB1"/>
    <w:rsid w:val="6429154F"/>
    <w:rsid w:val="64306D81"/>
    <w:rsid w:val="6437288A"/>
    <w:rsid w:val="643C1282"/>
    <w:rsid w:val="64444FF8"/>
    <w:rsid w:val="6445282D"/>
    <w:rsid w:val="644840CB"/>
    <w:rsid w:val="64487C27"/>
    <w:rsid w:val="644B5A4E"/>
    <w:rsid w:val="644D16E1"/>
    <w:rsid w:val="644F5459"/>
    <w:rsid w:val="645111D2"/>
    <w:rsid w:val="645268DD"/>
    <w:rsid w:val="64583F9D"/>
    <w:rsid w:val="645B04FE"/>
    <w:rsid w:val="645C1924"/>
    <w:rsid w:val="645E3A07"/>
    <w:rsid w:val="64654C7D"/>
    <w:rsid w:val="64656A2B"/>
    <w:rsid w:val="646C1F9C"/>
    <w:rsid w:val="646D768E"/>
    <w:rsid w:val="6477675E"/>
    <w:rsid w:val="647805F8"/>
    <w:rsid w:val="647B624F"/>
    <w:rsid w:val="647E7AED"/>
    <w:rsid w:val="6480021A"/>
    <w:rsid w:val="64803865"/>
    <w:rsid w:val="64837687"/>
    <w:rsid w:val="6484176C"/>
    <w:rsid w:val="648A064C"/>
    <w:rsid w:val="648F5856"/>
    <w:rsid w:val="64915A72"/>
    <w:rsid w:val="64963088"/>
    <w:rsid w:val="64992B79"/>
    <w:rsid w:val="64A05CB5"/>
    <w:rsid w:val="64A24FF2"/>
    <w:rsid w:val="64A31301"/>
    <w:rsid w:val="64A81A7D"/>
    <w:rsid w:val="64AA6B34"/>
    <w:rsid w:val="64AE48EF"/>
    <w:rsid w:val="64B21B7C"/>
    <w:rsid w:val="64B67287"/>
    <w:rsid w:val="64B74DAD"/>
    <w:rsid w:val="64BB489D"/>
    <w:rsid w:val="64BB664B"/>
    <w:rsid w:val="64BC23C3"/>
    <w:rsid w:val="64BE0094"/>
    <w:rsid w:val="64BE25DF"/>
    <w:rsid w:val="64BF297D"/>
    <w:rsid w:val="64C00105"/>
    <w:rsid w:val="64C01EB3"/>
    <w:rsid w:val="64C463A3"/>
    <w:rsid w:val="64C5396E"/>
    <w:rsid w:val="64CC6AAA"/>
    <w:rsid w:val="64CD45D0"/>
    <w:rsid w:val="64D8544F"/>
    <w:rsid w:val="64E33DF4"/>
    <w:rsid w:val="64E55AC1"/>
    <w:rsid w:val="64E57B6C"/>
    <w:rsid w:val="64E87251"/>
    <w:rsid w:val="64EA11E1"/>
    <w:rsid w:val="64EA14DF"/>
    <w:rsid w:val="64F34037"/>
    <w:rsid w:val="64FB113D"/>
    <w:rsid w:val="64FB3541"/>
    <w:rsid w:val="65000502"/>
    <w:rsid w:val="650049A6"/>
    <w:rsid w:val="65013FCF"/>
    <w:rsid w:val="65037FF2"/>
    <w:rsid w:val="650C334B"/>
    <w:rsid w:val="650F4BE9"/>
    <w:rsid w:val="65110961"/>
    <w:rsid w:val="65166CFC"/>
    <w:rsid w:val="651A5A67"/>
    <w:rsid w:val="651A62B7"/>
    <w:rsid w:val="651E2D7E"/>
    <w:rsid w:val="651E4E2C"/>
    <w:rsid w:val="651F307E"/>
    <w:rsid w:val="65222B6E"/>
    <w:rsid w:val="652507F9"/>
    <w:rsid w:val="65270184"/>
    <w:rsid w:val="652A1A23"/>
    <w:rsid w:val="652D30FC"/>
    <w:rsid w:val="652E506F"/>
    <w:rsid w:val="652F6951"/>
    <w:rsid w:val="65312DB1"/>
    <w:rsid w:val="6535464F"/>
    <w:rsid w:val="653845C2"/>
    <w:rsid w:val="65387C9C"/>
    <w:rsid w:val="653A264A"/>
    <w:rsid w:val="653B6700"/>
    <w:rsid w:val="653D31FF"/>
    <w:rsid w:val="653E275B"/>
    <w:rsid w:val="65404DA2"/>
    <w:rsid w:val="65405808"/>
    <w:rsid w:val="65444892"/>
    <w:rsid w:val="6545429C"/>
    <w:rsid w:val="654900FB"/>
    <w:rsid w:val="654A79CF"/>
    <w:rsid w:val="654B3E73"/>
    <w:rsid w:val="6552106E"/>
    <w:rsid w:val="655A2308"/>
    <w:rsid w:val="655B1BDC"/>
    <w:rsid w:val="655E4607"/>
    <w:rsid w:val="6560694E"/>
    <w:rsid w:val="65652A5B"/>
    <w:rsid w:val="65654809"/>
    <w:rsid w:val="656960A7"/>
    <w:rsid w:val="656A2D03"/>
    <w:rsid w:val="656C203B"/>
    <w:rsid w:val="656E5A55"/>
    <w:rsid w:val="65711400"/>
    <w:rsid w:val="657333CA"/>
    <w:rsid w:val="657626A9"/>
    <w:rsid w:val="65766A16"/>
    <w:rsid w:val="657B5DDA"/>
    <w:rsid w:val="657D5FF6"/>
    <w:rsid w:val="657F1D6E"/>
    <w:rsid w:val="658253BB"/>
    <w:rsid w:val="65847385"/>
    <w:rsid w:val="658630FD"/>
    <w:rsid w:val="65870C23"/>
    <w:rsid w:val="659617EE"/>
    <w:rsid w:val="659852B6"/>
    <w:rsid w:val="659868BE"/>
    <w:rsid w:val="659B206D"/>
    <w:rsid w:val="659F7D1B"/>
    <w:rsid w:val="65A65CF0"/>
    <w:rsid w:val="65AC068A"/>
    <w:rsid w:val="65AE7F5E"/>
    <w:rsid w:val="65B17A4E"/>
    <w:rsid w:val="65B23EF2"/>
    <w:rsid w:val="65B35574"/>
    <w:rsid w:val="65B71508"/>
    <w:rsid w:val="65B85280"/>
    <w:rsid w:val="65BA4B55"/>
    <w:rsid w:val="65BF216B"/>
    <w:rsid w:val="65BF660F"/>
    <w:rsid w:val="65C6174B"/>
    <w:rsid w:val="65C77271"/>
    <w:rsid w:val="65CD47CA"/>
    <w:rsid w:val="65CE23AE"/>
    <w:rsid w:val="65CE6293"/>
    <w:rsid w:val="65D04378"/>
    <w:rsid w:val="65D379C4"/>
    <w:rsid w:val="65D464F4"/>
    <w:rsid w:val="65D50F40"/>
    <w:rsid w:val="65D774B5"/>
    <w:rsid w:val="65D8322D"/>
    <w:rsid w:val="65DF0E39"/>
    <w:rsid w:val="65E074E3"/>
    <w:rsid w:val="65E34872"/>
    <w:rsid w:val="65ED6CD8"/>
    <w:rsid w:val="65F46C17"/>
    <w:rsid w:val="65F65DA4"/>
    <w:rsid w:val="65F95118"/>
    <w:rsid w:val="65FA7647"/>
    <w:rsid w:val="65FB5BC0"/>
    <w:rsid w:val="65FE301B"/>
    <w:rsid w:val="65FF4C5D"/>
    <w:rsid w:val="65FF6A0B"/>
    <w:rsid w:val="6607508D"/>
    <w:rsid w:val="66083B12"/>
    <w:rsid w:val="660863FE"/>
    <w:rsid w:val="661029C7"/>
    <w:rsid w:val="6612673F"/>
    <w:rsid w:val="661324B7"/>
    <w:rsid w:val="6615622F"/>
    <w:rsid w:val="66157FDD"/>
    <w:rsid w:val="661D46E2"/>
    <w:rsid w:val="662525E2"/>
    <w:rsid w:val="662B0176"/>
    <w:rsid w:val="662B0C58"/>
    <w:rsid w:val="662B7800"/>
    <w:rsid w:val="662D17CA"/>
    <w:rsid w:val="663C7C5F"/>
    <w:rsid w:val="66411BAA"/>
    <w:rsid w:val="66422839"/>
    <w:rsid w:val="6643213A"/>
    <w:rsid w:val="66460FCA"/>
    <w:rsid w:val="664B39FF"/>
    <w:rsid w:val="665705F5"/>
    <w:rsid w:val="665925BF"/>
    <w:rsid w:val="665C06E5"/>
    <w:rsid w:val="665C20B0"/>
    <w:rsid w:val="665E7BD6"/>
    <w:rsid w:val="6665155B"/>
    <w:rsid w:val="66682803"/>
    <w:rsid w:val="666D7E19"/>
    <w:rsid w:val="66705D4B"/>
    <w:rsid w:val="667271DD"/>
    <w:rsid w:val="66743F27"/>
    <w:rsid w:val="66775C90"/>
    <w:rsid w:val="667B6071"/>
    <w:rsid w:val="667C1E0A"/>
    <w:rsid w:val="668313EA"/>
    <w:rsid w:val="66833198"/>
    <w:rsid w:val="66846F11"/>
    <w:rsid w:val="66860EDB"/>
    <w:rsid w:val="6686712D"/>
    <w:rsid w:val="66897701"/>
    <w:rsid w:val="668A2779"/>
    <w:rsid w:val="668A4527"/>
    <w:rsid w:val="668C4743"/>
    <w:rsid w:val="668F4233"/>
    <w:rsid w:val="668F7D8F"/>
    <w:rsid w:val="669058B5"/>
    <w:rsid w:val="6694184A"/>
    <w:rsid w:val="66947AAE"/>
    <w:rsid w:val="6695111E"/>
    <w:rsid w:val="66967370"/>
    <w:rsid w:val="66981212"/>
    <w:rsid w:val="66993B84"/>
    <w:rsid w:val="66A067DD"/>
    <w:rsid w:val="66A23F66"/>
    <w:rsid w:val="66A7157D"/>
    <w:rsid w:val="66A80E51"/>
    <w:rsid w:val="66AA39A1"/>
    <w:rsid w:val="66AC3F37"/>
    <w:rsid w:val="66B141AA"/>
    <w:rsid w:val="66B35C73"/>
    <w:rsid w:val="66B50E3F"/>
    <w:rsid w:val="66B930A5"/>
    <w:rsid w:val="66BB5028"/>
    <w:rsid w:val="66BC66AA"/>
    <w:rsid w:val="66C0263F"/>
    <w:rsid w:val="66C043ED"/>
    <w:rsid w:val="66C21104"/>
    <w:rsid w:val="66C537B1"/>
    <w:rsid w:val="66C67529"/>
    <w:rsid w:val="66C739CD"/>
    <w:rsid w:val="66CC084C"/>
    <w:rsid w:val="66CD2666"/>
    <w:rsid w:val="66CE0A06"/>
    <w:rsid w:val="66D24120"/>
    <w:rsid w:val="66D25ECE"/>
    <w:rsid w:val="66D41C46"/>
    <w:rsid w:val="66DA2F4D"/>
    <w:rsid w:val="66DB2FD4"/>
    <w:rsid w:val="66DB3F0D"/>
    <w:rsid w:val="66E31E89"/>
    <w:rsid w:val="66E75E1D"/>
    <w:rsid w:val="66E83943"/>
    <w:rsid w:val="66E856F1"/>
    <w:rsid w:val="66E87F3D"/>
    <w:rsid w:val="66E94C62"/>
    <w:rsid w:val="66EC3434"/>
    <w:rsid w:val="66EC51E2"/>
    <w:rsid w:val="66F10A4A"/>
    <w:rsid w:val="66F145A6"/>
    <w:rsid w:val="66F45E44"/>
    <w:rsid w:val="66F83B86"/>
    <w:rsid w:val="66F86F35"/>
    <w:rsid w:val="66FD119D"/>
    <w:rsid w:val="66FD207C"/>
    <w:rsid w:val="66FE4F15"/>
    <w:rsid w:val="67047645"/>
    <w:rsid w:val="670A1B0C"/>
    <w:rsid w:val="67234806"/>
    <w:rsid w:val="67265908"/>
    <w:rsid w:val="672A3F5C"/>
    <w:rsid w:val="672E7575"/>
    <w:rsid w:val="67335681"/>
    <w:rsid w:val="6734749C"/>
    <w:rsid w:val="67362901"/>
    <w:rsid w:val="673D3C8F"/>
    <w:rsid w:val="673D77EB"/>
    <w:rsid w:val="673E5AB9"/>
    <w:rsid w:val="674221B8"/>
    <w:rsid w:val="67423054"/>
    <w:rsid w:val="67424E02"/>
    <w:rsid w:val="67433648"/>
    <w:rsid w:val="67450B39"/>
    <w:rsid w:val="67513297"/>
    <w:rsid w:val="67542D87"/>
    <w:rsid w:val="67584625"/>
    <w:rsid w:val="675B44A0"/>
    <w:rsid w:val="675E2304"/>
    <w:rsid w:val="6760172C"/>
    <w:rsid w:val="676254A4"/>
    <w:rsid w:val="67632C32"/>
    <w:rsid w:val="67672ABA"/>
    <w:rsid w:val="676B62D3"/>
    <w:rsid w:val="676D039A"/>
    <w:rsid w:val="67705E13"/>
    <w:rsid w:val="67722A07"/>
    <w:rsid w:val="677309BD"/>
    <w:rsid w:val="6773145F"/>
    <w:rsid w:val="67753DF2"/>
    <w:rsid w:val="67760F4F"/>
    <w:rsid w:val="677852A3"/>
    <w:rsid w:val="677D5E3A"/>
    <w:rsid w:val="67825B46"/>
    <w:rsid w:val="678278F4"/>
    <w:rsid w:val="67876CB8"/>
    <w:rsid w:val="678A67A9"/>
    <w:rsid w:val="678B49FB"/>
    <w:rsid w:val="678C42CF"/>
    <w:rsid w:val="678E6299"/>
    <w:rsid w:val="67957627"/>
    <w:rsid w:val="6796339F"/>
    <w:rsid w:val="6797552F"/>
    <w:rsid w:val="67980EC5"/>
    <w:rsid w:val="679A4C3E"/>
    <w:rsid w:val="679A69EC"/>
    <w:rsid w:val="679C6C08"/>
    <w:rsid w:val="67A7735B"/>
    <w:rsid w:val="67AC1177"/>
    <w:rsid w:val="67AE51D8"/>
    <w:rsid w:val="67AF6668"/>
    <w:rsid w:val="67B04461"/>
    <w:rsid w:val="67B6128D"/>
    <w:rsid w:val="67B6759E"/>
    <w:rsid w:val="67B850C4"/>
    <w:rsid w:val="67BA52E0"/>
    <w:rsid w:val="67BB4BB4"/>
    <w:rsid w:val="67BE28F8"/>
    <w:rsid w:val="67C25F42"/>
    <w:rsid w:val="67C27CF0"/>
    <w:rsid w:val="67C34FEE"/>
    <w:rsid w:val="67C439C9"/>
    <w:rsid w:val="67C61D1E"/>
    <w:rsid w:val="67C779FD"/>
    <w:rsid w:val="67CC6DC1"/>
    <w:rsid w:val="67D13AEC"/>
    <w:rsid w:val="67D22629"/>
    <w:rsid w:val="67D245D3"/>
    <w:rsid w:val="67DC03BC"/>
    <w:rsid w:val="67DD2D7C"/>
    <w:rsid w:val="67E1286C"/>
    <w:rsid w:val="67E4235D"/>
    <w:rsid w:val="67E67E83"/>
    <w:rsid w:val="67E759A9"/>
    <w:rsid w:val="67E81E4D"/>
    <w:rsid w:val="67EB5179"/>
    <w:rsid w:val="67ED7463"/>
    <w:rsid w:val="67F500C6"/>
    <w:rsid w:val="67F714FD"/>
    <w:rsid w:val="67FA1B80"/>
    <w:rsid w:val="67FB439B"/>
    <w:rsid w:val="680B5B3B"/>
    <w:rsid w:val="680D3662"/>
    <w:rsid w:val="68112A26"/>
    <w:rsid w:val="681456A8"/>
    <w:rsid w:val="68152516"/>
    <w:rsid w:val="681542C4"/>
    <w:rsid w:val="681779DB"/>
    <w:rsid w:val="681C5653"/>
    <w:rsid w:val="681D12E1"/>
    <w:rsid w:val="68234D9A"/>
    <w:rsid w:val="6828049B"/>
    <w:rsid w:val="682E5386"/>
    <w:rsid w:val="6832131A"/>
    <w:rsid w:val="6839708D"/>
    <w:rsid w:val="683A0C71"/>
    <w:rsid w:val="683C3F47"/>
    <w:rsid w:val="683C5CF5"/>
    <w:rsid w:val="683E7CBF"/>
    <w:rsid w:val="683F2B36"/>
    <w:rsid w:val="6841155D"/>
    <w:rsid w:val="6841330B"/>
    <w:rsid w:val="68466B73"/>
    <w:rsid w:val="684E77D6"/>
    <w:rsid w:val="684F2076"/>
    <w:rsid w:val="684F3C7A"/>
    <w:rsid w:val="68534DEC"/>
    <w:rsid w:val="6855244F"/>
    <w:rsid w:val="68580655"/>
    <w:rsid w:val="685F3791"/>
    <w:rsid w:val="686252AC"/>
    <w:rsid w:val="68632E35"/>
    <w:rsid w:val="68637725"/>
    <w:rsid w:val="68662D72"/>
    <w:rsid w:val="68680898"/>
    <w:rsid w:val="686A0AB4"/>
    <w:rsid w:val="686B0388"/>
    <w:rsid w:val="686E1298"/>
    <w:rsid w:val="686F7842"/>
    <w:rsid w:val="68701E42"/>
    <w:rsid w:val="68721A97"/>
    <w:rsid w:val="68727968"/>
    <w:rsid w:val="68757459"/>
    <w:rsid w:val="68776C3F"/>
    <w:rsid w:val="68777433"/>
    <w:rsid w:val="687C2595"/>
    <w:rsid w:val="687F2AFC"/>
    <w:rsid w:val="687F3E33"/>
    <w:rsid w:val="6885769C"/>
    <w:rsid w:val="688746A7"/>
    <w:rsid w:val="6888718C"/>
    <w:rsid w:val="688B0A2A"/>
    <w:rsid w:val="688E6385"/>
    <w:rsid w:val="68996CA3"/>
    <w:rsid w:val="689D5841"/>
    <w:rsid w:val="689E250C"/>
    <w:rsid w:val="68A45648"/>
    <w:rsid w:val="68A67612"/>
    <w:rsid w:val="68AD6BF3"/>
    <w:rsid w:val="68B13961"/>
    <w:rsid w:val="68B25FB7"/>
    <w:rsid w:val="68B41D2F"/>
    <w:rsid w:val="68B56C60"/>
    <w:rsid w:val="68B735CD"/>
    <w:rsid w:val="68B81187"/>
    <w:rsid w:val="68B910F3"/>
    <w:rsid w:val="68B946CD"/>
    <w:rsid w:val="68BA4E6C"/>
    <w:rsid w:val="68BC6E36"/>
    <w:rsid w:val="68BE670A"/>
    <w:rsid w:val="68CD4B9F"/>
    <w:rsid w:val="68D221B5"/>
    <w:rsid w:val="68D26659"/>
    <w:rsid w:val="68E00D76"/>
    <w:rsid w:val="68E31686"/>
    <w:rsid w:val="68E63EB3"/>
    <w:rsid w:val="68E65C61"/>
    <w:rsid w:val="68E77F49"/>
    <w:rsid w:val="68EA74FF"/>
    <w:rsid w:val="68EC667B"/>
    <w:rsid w:val="68EF0FB9"/>
    <w:rsid w:val="68F14D31"/>
    <w:rsid w:val="68F4037D"/>
    <w:rsid w:val="68F95994"/>
    <w:rsid w:val="68FB795E"/>
    <w:rsid w:val="69012A9A"/>
    <w:rsid w:val="690B56C7"/>
    <w:rsid w:val="690E1330"/>
    <w:rsid w:val="690F51B7"/>
    <w:rsid w:val="69100406"/>
    <w:rsid w:val="6914031A"/>
    <w:rsid w:val="69154FA9"/>
    <w:rsid w:val="691722BE"/>
    <w:rsid w:val="69197DE4"/>
    <w:rsid w:val="691E189E"/>
    <w:rsid w:val="69205616"/>
    <w:rsid w:val="692170A4"/>
    <w:rsid w:val="69232A11"/>
    <w:rsid w:val="692474ED"/>
    <w:rsid w:val="69270753"/>
    <w:rsid w:val="692769A5"/>
    <w:rsid w:val="692A7566"/>
    <w:rsid w:val="692D1AE1"/>
    <w:rsid w:val="69360996"/>
    <w:rsid w:val="69382960"/>
    <w:rsid w:val="693B41FE"/>
    <w:rsid w:val="693F5B18"/>
    <w:rsid w:val="69401815"/>
    <w:rsid w:val="6945507D"/>
    <w:rsid w:val="69470DF5"/>
    <w:rsid w:val="694766FF"/>
    <w:rsid w:val="6949691B"/>
    <w:rsid w:val="694D6B91"/>
    <w:rsid w:val="694F1A58"/>
    <w:rsid w:val="694F3806"/>
    <w:rsid w:val="69517D27"/>
    <w:rsid w:val="695243FB"/>
    <w:rsid w:val="69584DB0"/>
    <w:rsid w:val="69586B5E"/>
    <w:rsid w:val="695928D6"/>
    <w:rsid w:val="69597D05"/>
    <w:rsid w:val="695A0B28"/>
    <w:rsid w:val="695E2ABF"/>
    <w:rsid w:val="696073DC"/>
    <w:rsid w:val="69635503"/>
    <w:rsid w:val="69643755"/>
    <w:rsid w:val="696574CD"/>
    <w:rsid w:val="69663819"/>
    <w:rsid w:val="6968349C"/>
    <w:rsid w:val="696C43B8"/>
    <w:rsid w:val="69704AFB"/>
    <w:rsid w:val="69731BEA"/>
    <w:rsid w:val="697A2F79"/>
    <w:rsid w:val="697B0A9F"/>
    <w:rsid w:val="69823BDB"/>
    <w:rsid w:val="69831701"/>
    <w:rsid w:val="69855479"/>
    <w:rsid w:val="698931BC"/>
    <w:rsid w:val="698B5709"/>
    <w:rsid w:val="69915149"/>
    <w:rsid w:val="699335C3"/>
    <w:rsid w:val="6994390F"/>
    <w:rsid w:val="699545F5"/>
    <w:rsid w:val="69967687"/>
    <w:rsid w:val="69994F4B"/>
    <w:rsid w:val="699F478D"/>
    <w:rsid w:val="69A962D8"/>
    <w:rsid w:val="69AB1384"/>
    <w:rsid w:val="69AE2C22"/>
    <w:rsid w:val="69B95123"/>
    <w:rsid w:val="69BB0E9B"/>
    <w:rsid w:val="69BC600F"/>
    <w:rsid w:val="69BE180F"/>
    <w:rsid w:val="69BF0BC4"/>
    <w:rsid w:val="69C27CD8"/>
    <w:rsid w:val="69CB5582"/>
    <w:rsid w:val="69CE0BCF"/>
    <w:rsid w:val="69CE575D"/>
    <w:rsid w:val="69D07E37"/>
    <w:rsid w:val="69D70BEF"/>
    <w:rsid w:val="69DA7573"/>
    <w:rsid w:val="69DD52B6"/>
    <w:rsid w:val="69DD7064"/>
    <w:rsid w:val="69E06B54"/>
    <w:rsid w:val="69E228CC"/>
    <w:rsid w:val="69E268D4"/>
    <w:rsid w:val="69EC72A7"/>
    <w:rsid w:val="69EE301F"/>
    <w:rsid w:val="69EE670C"/>
    <w:rsid w:val="69EF00CB"/>
    <w:rsid w:val="69F12B0F"/>
    <w:rsid w:val="69F66377"/>
    <w:rsid w:val="69F745C9"/>
    <w:rsid w:val="69F85FA8"/>
    <w:rsid w:val="69FD14B4"/>
    <w:rsid w:val="69FD7706"/>
    <w:rsid w:val="69FF4043"/>
    <w:rsid w:val="69FF522C"/>
    <w:rsid w:val="69FF6FDA"/>
    <w:rsid w:val="6A0171F6"/>
    <w:rsid w:val="6A040A94"/>
    <w:rsid w:val="6A070584"/>
    <w:rsid w:val="6A085610"/>
    <w:rsid w:val="6A0E36C1"/>
    <w:rsid w:val="6A1049BE"/>
    <w:rsid w:val="6A114F5F"/>
    <w:rsid w:val="6A184540"/>
    <w:rsid w:val="6A1A3E14"/>
    <w:rsid w:val="6A1C4030"/>
    <w:rsid w:val="6A1C6098"/>
    <w:rsid w:val="6A1D3904"/>
    <w:rsid w:val="6A1F767C"/>
    <w:rsid w:val="6A2420B0"/>
    <w:rsid w:val="6A266C5C"/>
    <w:rsid w:val="6A2674F0"/>
    <w:rsid w:val="6A2D7FEB"/>
    <w:rsid w:val="6A350C4E"/>
    <w:rsid w:val="6A38073E"/>
    <w:rsid w:val="6A3B6DF6"/>
    <w:rsid w:val="6A3F1ACC"/>
    <w:rsid w:val="6A3F387A"/>
    <w:rsid w:val="6A4315BC"/>
    <w:rsid w:val="6A464C09"/>
    <w:rsid w:val="6A470981"/>
    <w:rsid w:val="6A484E25"/>
    <w:rsid w:val="6A4B66C3"/>
    <w:rsid w:val="6A4B784D"/>
    <w:rsid w:val="6A5512F0"/>
    <w:rsid w:val="6A575425"/>
    <w:rsid w:val="6A576E16"/>
    <w:rsid w:val="6A58493C"/>
    <w:rsid w:val="6A5B7A7C"/>
    <w:rsid w:val="6A5D01A4"/>
    <w:rsid w:val="6A5D1F52"/>
    <w:rsid w:val="6A6219D8"/>
    <w:rsid w:val="6A627569"/>
    <w:rsid w:val="6A6E4160"/>
    <w:rsid w:val="6A6E6993"/>
    <w:rsid w:val="6A707ED8"/>
    <w:rsid w:val="6A7379C8"/>
    <w:rsid w:val="6A765DB5"/>
    <w:rsid w:val="6A7964A9"/>
    <w:rsid w:val="6A7F636D"/>
    <w:rsid w:val="6A815C41"/>
    <w:rsid w:val="6A835E5D"/>
    <w:rsid w:val="6A85139F"/>
    <w:rsid w:val="6A9242F2"/>
    <w:rsid w:val="6A927E4E"/>
    <w:rsid w:val="6A9E4A45"/>
    <w:rsid w:val="6AA14535"/>
    <w:rsid w:val="6AA162E3"/>
    <w:rsid w:val="6AA62FD1"/>
    <w:rsid w:val="6AA638F9"/>
    <w:rsid w:val="6AAC27A8"/>
    <w:rsid w:val="6AAF0A00"/>
    <w:rsid w:val="6AAF6C52"/>
    <w:rsid w:val="6AB04778"/>
    <w:rsid w:val="6AB96DFC"/>
    <w:rsid w:val="6ABA55F7"/>
    <w:rsid w:val="6ABF152D"/>
    <w:rsid w:val="6AC63F9C"/>
    <w:rsid w:val="6ACC1190"/>
    <w:rsid w:val="6AD2649C"/>
    <w:rsid w:val="6AD541DF"/>
    <w:rsid w:val="6AD71D05"/>
    <w:rsid w:val="6ADF6E0B"/>
    <w:rsid w:val="6AE2554C"/>
    <w:rsid w:val="6AE61F48"/>
    <w:rsid w:val="6AEA0D00"/>
    <w:rsid w:val="6AED5906"/>
    <w:rsid w:val="6AEF52A0"/>
    <w:rsid w:val="6AF02DC7"/>
    <w:rsid w:val="6AF44665"/>
    <w:rsid w:val="6AF64881"/>
    <w:rsid w:val="6AF705F9"/>
    <w:rsid w:val="6AF723A7"/>
    <w:rsid w:val="6AFC3CB7"/>
    <w:rsid w:val="6AFD64A2"/>
    <w:rsid w:val="6AFE54E3"/>
    <w:rsid w:val="6B0C7B33"/>
    <w:rsid w:val="6B0D1BCA"/>
    <w:rsid w:val="6B0F76F1"/>
    <w:rsid w:val="6B1116BB"/>
    <w:rsid w:val="6B1B6095"/>
    <w:rsid w:val="6B1E0A88"/>
    <w:rsid w:val="6B2111D2"/>
    <w:rsid w:val="6B286A04"/>
    <w:rsid w:val="6B2A0087"/>
    <w:rsid w:val="6B2C02A3"/>
    <w:rsid w:val="6B2C2051"/>
    <w:rsid w:val="6B2F7D93"/>
    <w:rsid w:val="6B316C7D"/>
    <w:rsid w:val="6B3233DF"/>
    <w:rsid w:val="6B3610CD"/>
    <w:rsid w:val="6B3709F5"/>
    <w:rsid w:val="6B3727A3"/>
    <w:rsid w:val="6B39476E"/>
    <w:rsid w:val="6B3B6738"/>
    <w:rsid w:val="6B403D4E"/>
    <w:rsid w:val="6B4C6371"/>
    <w:rsid w:val="6B4F1FC6"/>
    <w:rsid w:val="6B4F5D3F"/>
    <w:rsid w:val="6B511329"/>
    <w:rsid w:val="6B5239A1"/>
    <w:rsid w:val="6B57393D"/>
    <w:rsid w:val="6B5C22DB"/>
    <w:rsid w:val="6B671AC2"/>
    <w:rsid w:val="6B6772EE"/>
    <w:rsid w:val="6B683E66"/>
    <w:rsid w:val="6B6970BF"/>
    <w:rsid w:val="6B73185A"/>
    <w:rsid w:val="6B735ED1"/>
    <w:rsid w:val="6B741C4A"/>
    <w:rsid w:val="6B777CC8"/>
    <w:rsid w:val="6B7C465A"/>
    <w:rsid w:val="6B7E4876"/>
    <w:rsid w:val="6B8005EE"/>
    <w:rsid w:val="6B824366"/>
    <w:rsid w:val="6B851761"/>
    <w:rsid w:val="6B8579B3"/>
    <w:rsid w:val="6B8A6D77"/>
    <w:rsid w:val="6B8C0D18"/>
    <w:rsid w:val="6B8E2D0B"/>
    <w:rsid w:val="6B910106"/>
    <w:rsid w:val="6B930322"/>
    <w:rsid w:val="6B9419A4"/>
    <w:rsid w:val="6B953A9C"/>
    <w:rsid w:val="6BA53BB1"/>
    <w:rsid w:val="6BA936A1"/>
    <w:rsid w:val="6BB43DF4"/>
    <w:rsid w:val="6BB52AF5"/>
    <w:rsid w:val="6BB83528"/>
    <w:rsid w:val="6BBB1F73"/>
    <w:rsid w:val="6BBB33D4"/>
    <w:rsid w:val="6BBD714D"/>
    <w:rsid w:val="6BBE0045"/>
    <w:rsid w:val="6BC02799"/>
    <w:rsid w:val="6BC404DB"/>
    <w:rsid w:val="6BC47A19"/>
    <w:rsid w:val="6BC524A5"/>
    <w:rsid w:val="6BCA3618"/>
    <w:rsid w:val="6BCB7ABB"/>
    <w:rsid w:val="6BCC7390"/>
    <w:rsid w:val="6BD10E4A"/>
    <w:rsid w:val="6BD3071E"/>
    <w:rsid w:val="6BD6020E"/>
    <w:rsid w:val="6BD66460"/>
    <w:rsid w:val="6BE039CD"/>
    <w:rsid w:val="6BE20961"/>
    <w:rsid w:val="6BE24E05"/>
    <w:rsid w:val="6BE47003"/>
    <w:rsid w:val="6BE741CA"/>
    <w:rsid w:val="6BE866C8"/>
    <w:rsid w:val="6BEB0EF8"/>
    <w:rsid w:val="6BF055A6"/>
    <w:rsid w:val="6BF11A0F"/>
    <w:rsid w:val="6BF246D9"/>
    <w:rsid w:val="6BF57328"/>
    <w:rsid w:val="6BF72ABB"/>
    <w:rsid w:val="6BF90704"/>
    <w:rsid w:val="6C00528B"/>
    <w:rsid w:val="6C022DB1"/>
    <w:rsid w:val="6C0528A2"/>
    <w:rsid w:val="6C08382D"/>
    <w:rsid w:val="6C0905E4"/>
    <w:rsid w:val="6C0C1E82"/>
    <w:rsid w:val="6C123A56"/>
    <w:rsid w:val="6C1256EA"/>
    <w:rsid w:val="6C1A459F"/>
    <w:rsid w:val="6C1E7194"/>
    <w:rsid w:val="6C20148A"/>
    <w:rsid w:val="6C272818"/>
    <w:rsid w:val="6C281F6F"/>
    <w:rsid w:val="6C2E5548"/>
    <w:rsid w:val="6C360CAD"/>
    <w:rsid w:val="6C375151"/>
    <w:rsid w:val="6C3B62C3"/>
    <w:rsid w:val="6C445178"/>
    <w:rsid w:val="6C4B29AA"/>
    <w:rsid w:val="6C4C227F"/>
    <w:rsid w:val="6C4C5FCB"/>
    <w:rsid w:val="6C4E249B"/>
    <w:rsid w:val="6C4E4E90"/>
    <w:rsid w:val="6C517895"/>
    <w:rsid w:val="6C5630FD"/>
    <w:rsid w:val="6C577324"/>
    <w:rsid w:val="6C580C23"/>
    <w:rsid w:val="6C5C4BB7"/>
    <w:rsid w:val="6C5D448C"/>
    <w:rsid w:val="6C5E0930"/>
    <w:rsid w:val="6C5F0204"/>
    <w:rsid w:val="6C6475C8"/>
    <w:rsid w:val="6C6677E4"/>
    <w:rsid w:val="6C68355C"/>
    <w:rsid w:val="6C691082"/>
    <w:rsid w:val="6C6972D4"/>
    <w:rsid w:val="6C6B4DFB"/>
    <w:rsid w:val="6C6D2921"/>
    <w:rsid w:val="6C711CE5"/>
    <w:rsid w:val="6C723784"/>
    <w:rsid w:val="6C803E91"/>
    <w:rsid w:val="6C873581"/>
    <w:rsid w:val="6C90660F"/>
    <w:rsid w:val="6C951E77"/>
    <w:rsid w:val="6C97174C"/>
    <w:rsid w:val="6C9C4FB4"/>
    <w:rsid w:val="6C9C72CE"/>
    <w:rsid w:val="6C9E0378"/>
    <w:rsid w:val="6CA125CA"/>
    <w:rsid w:val="6CA5024B"/>
    <w:rsid w:val="6CA9147F"/>
    <w:rsid w:val="6CAD5413"/>
    <w:rsid w:val="6CAD71C1"/>
    <w:rsid w:val="6CAE2F39"/>
    <w:rsid w:val="6CAE4CE7"/>
    <w:rsid w:val="6CAE69CD"/>
    <w:rsid w:val="6CB06CB1"/>
    <w:rsid w:val="6CB467A2"/>
    <w:rsid w:val="6CB542C8"/>
    <w:rsid w:val="6CBB73FC"/>
    <w:rsid w:val="6CC30C03"/>
    <w:rsid w:val="6CC91B21"/>
    <w:rsid w:val="6CC938CF"/>
    <w:rsid w:val="6CCB3AEB"/>
    <w:rsid w:val="6CCD7863"/>
    <w:rsid w:val="6CD04C5E"/>
    <w:rsid w:val="6CD25B27"/>
    <w:rsid w:val="6CD3474E"/>
    <w:rsid w:val="6CD56718"/>
    <w:rsid w:val="6CD75FEC"/>
    <w:rsid w:val="6CDF30F3"/>
    <w:rsid w:val="6CE07361"/>
    <w:rsid w:val="6CE07597"/>
    <w:rsid w:val="6CE452D6"/>
    <w:rsid w:val="6CE6684F"/>
    <w:rsid w:val="6CED1CB3"/>
    <w:rsid w:val="6CED5810"/>
    <w:rsid w:val="6CEE3336"/>
    <w:rsid w:val="6CF52916"/>
    <w:rsid w:val="6CF546C4"/>
    <w:rsid w:val="6CF90658"/>
    <w:rsid w:val="6CF92406"/>
    <w:rsid w:val="6CFA7F2C"/>
    <w:rsid w:val="6CFC3CA5"/>
    <w:rsid w:val="6D007715"/>
    <w:rsid w:val="6D03628D"/>
    <w:rsid w:val="6D0668D1"/>
    <w:rsid w:val="6D082649"/>
    <w:rsid w:val="6D087D49"/>
    <w:rsid w:val="6D0D5EB2"/>
    <w:rsid w:val="6D0E31A9"/>
    <w:rsid w:val="6D0E5786"/>
    <w:rsid w:val="6D147240"/>
    <w:rsid w:val="6D160D16"/>
    <w:rsid w:val="6D170ADE"/>
    <w:rsid w:val="6D17288C"/>
    <w:rsid w:val="6D196605"/>
    <w:rsid w:val="6D1A412B"/>
    <w:rsid w:val="6D1B05C4"/>
    <w:rsid w:val="6D1B1E77"/>
    <w:rsid w:val="6D1E00BF"/>
    <w:rsid w:val="6D25144D"/>
    <w:rsid w:val="6D254FA9"/>
    <w:rsid w:val="6D260D22"/>
    <w:rsid w:val="6D276982"/>
    <w:rsid w:val="6D280EE7"/>
    <w:rsid w:val="6D282CEC"/>
    <w:rsid w:val="6D283D50"/>
    <w:rsid w:val="6D284A9A"/>
    <w:rsid w:val="6D3010AF"/>
    <w:rsid w:val="6D3276C6"/>
    <w:rsid w:val="6D3B2A1F"/>
    <w:rsid w:val="6D3B47CD"/>
    <w:rsid w:val="6D3D7890"/>
    <w:rsid w:val="6D400035"/>
    <w:rsid w:val="6D463172"/>
    <w:rsid w:val="6D4D2752"/>
    <w:rsid w:val="6D513FF0"/>
    <w:rsid w:val="6D5533B5"/>
    <w:rsid w:val="6D567859"/>
    <w:rsid w:val="6D5749E0"/>
    <w:rsid w:val="6D5B4E6F"/>
    <w:rsid w:val="6D5E495F"/>
    <w:rsid w:val="6D5E7053"/>
    <w:rsid w:val="6D602485"/>
    <w:rsid w:val="6D616AB2"/>
    <w:rsid w:val="6D626655"/>
    <w:rsid w:val="6D652A64"/>
    <w:rsid w:val="6D673814"/>
    <w:rsid w:val="6D6A50B2"/>
    <w:rsid w:val="6D6C0E2A"/>
    <w:rsid w:val="6D6F091A"/>
    <w:rsid w:val="6D717BC2"/>
    <w:rsid w:val="6D7221B9"/>
    <w:rsid w:val="6D725D15"/>
    <w:rsid w:val="6D730516"/>
    <w:rsid w:val="6D7954E4"/>
    <w:rsid w:val="6D800432"/>
    <w:rsid w:val="6D8048D6"/>
    <w:rsid w:val="6D805F63"/>
    <w:rsid w:val="6D8141AA"/>
    <w:rsid w:val="6D8B6DD7"/>
    <w:rsid w:val="6D8D0DA1"/>
    <w:rsid w:val="6D940381"/>
    <w:rsid w:val="6D9C0FE4"/>
    <w:rsid w:val="6DA00AD4"/>
    <w:rsid w:val="6DA93E2C"/>
    <w:rsid w:val="6DAA3701"/>
    <w:rsid w:val="6DAE1443"/>
    <w:rsid w:val="6DB1683D"/>
    <w:rsid w:val="6DB17541"/>
    <w:rsid w:val="6DB30807"/>
    <w:rsid w:val="6DB427D1"/>
    <w:rsid w:val="6DBC51E2"/>
    <w:rsid w:val="6DBFD073"/>
    <w:rsid w:val="6DC02F24"/>
    <w:rsid w:val="6DC03663"/>
    <w:rsid w:val="6DC26C9C"/>
    <w:rsid w:val="6DC5053A"/>
    <w:rsid w:val="6DC81DD9"/>
    <w:rsid w:val="6DCE1692"/>
    <w:rsid w:val="6DCF43F1"/>
    <w:rsid w:val="6DCF760B"/>
    <w:rsid w:val="6DD10C8D"/>
    <w:rsid w:val="6DD54C21"/>
    <w:rsid w:val="6DD61201"/>
    <w:rsid w:val="6DD662A4"/>
    <w:rsid w:val="6DD8201C"/>
    <w:rsid w:val="6DDA2238"/>
    <w:rsid w:val="6DE05DC6"/>
    <w:rsid w:val="6DE36C13"/>
    <w:rsid w:val="6DE50BDD"/>
    <w:rsid w:val="6DE5298B"/>
    <w:rsid w:val="6DE76703"/>
    <w:rsid w:val="6DEA129F"/>
    <w:rsid w:val="6DEA1D4F"/>
    <w:rsid w:val="6DEC3D19"/>
    <w:rsid w:val="6DF1132F"/>
    <w:rsid w:val="6DF9305E"/>
    <w:rsid w:val="6DFA4688"/>
    <w:rsid w:val="6DFD1A82"/>
    <w:rsid w:val="6DFD61FD"/>
    <w:rsid w:val="6DFE3EF7"/>
    <w:rsid w:val="6DFE57FA"/>
    <w:rsid w:val="6DFF3A4C"/>
    <w:rsid w:val="6DFF6C01"/>
    <w:rsid w:val="6E001573"/>
    <w:rsid w:val="6E02353D"/>
    <w:rsid w:val="6E056B89"/>
    <w:rsid w:val="6E076DA5"/>
    <w:rsid w:val="6E0A6FD4"/>
    <w:rsid w:val="6E0C43BB"/>
    <w:rsid w:val="6E0C6169"/>
    <w:rsid w:val="6E0F17B6"/>
    <w:rsid w:val="6E105C5A"/>
    <w:rsid w:val="6E146DCC"/>
    <w:rsid w:val="6E1B015A"/>
    <w:rsid w:val="6E1B4373"/>
    <w:rsid w:val="6E1D0376"/>
    <w:rsid w:val="6E1F40EF"/>
    <w:rsid w:val="6E22598D"/>
    <w:rsid w:val="6E2C2368"/>
    <w:rsid w:val="6E3256F1"/>
    <w:rsid w:val="6E3336F6"/>
    <w:rsid w:val="6E386FB4"/>
    <w:rsid w:val="6E3A2CD6"/>
    <w:rsid w:val="6E3B25AB"/>
    <w:rsid w:val="6E3F02ED"/>
    <w:rsid w:val="6E423939"/>
    <w:rsid w:val="6E4678CD"/>
    <w:rsid w:val="6E5042A8"/>
    <w:rsid w:val="6E53323C"/>
    <w:rsid w:val="6E535B46"/>
    <w:rsid w:val="6E5673E4"/>
    <w:rsid w:val="6E5E2D1F"/>
    <w:rsid w:val="6E5F273D"/>
    <w:rsid w:val="6E62222D"/>
    <w:rsid w:val="6E647AAD"/>
    <w:rsid w:val="6E661D1D"/>
    <w:rsid w:val="6E6C6C08"/>
    <w:rsid w:val="6E6E0BD2"/>
    <w:rsid w:val="6E6F4BC0"/>
    <w:rsid w:val="6E717621"/>
    <w:rsid w:val="6E775CD9"/>
    <w:rsid w:val="6E781A51"/>
    <w:rsid w:val="6E7853F6"/>
    <w:rsid w:val="6E7A1325"/>
    <w:rsid w:val="6E805B45"/>
    <w:rsid w:val="6E865F1C"/>
    <w:rsid w:val="6E8977BA"/>
    <w:rsid w:val="6E8C2E06"/>
    <w:rsid w:val="6E921CAE"/>
    <w:rsid w:val="6E9817AB"/>
    <w:rsid w:val="6E9879FD"/>
    <w:rsid w:val="6E9A3775"/>
    <w:rsid w:val="6E9F3C9F"/>
    <w:rsid w:val="6EA42846"/>
    <w:rsid w:val="6EA445F4"/>
    <w:rsid w:val="6EAB5982"/>
    <w:rsid w:val="6EAB7730"/>
    <w:rsid w:val="6EAC5256"/>
    <w:rsid w:val="6EAE5472"/>
    <w:rsid w:val="6EB011EB"/>
    <w:rsid w:val="6EB02F99"/>
    <w:rsid w:val="6EB34837"/>
    <w:rsid w:val="6EB72579"/>
    <w:rsid w:val="6EB760D5"/>
    <w:rsid w:val="6EB81E4D"/>
    <w:rsid w:val="6EBB69F8"/>
    <w:rsid w:val="6EBC36EB"/>
    <w:rsid w:val="6EC16F54"/>
    <w:rsid w:val="6EC72090"/>
    <w:rsid w:val="6EC86534"/>
    <w:rsid w:val="6EC942C9"/>
    <w:rsid w:val="6ED21161"/>
    <w:rsid w:val="6ED24CBD"/>
    <w:rsid w:val="6ED36F91"/>
    <w:rsid w:val="6ED9364E"/>
    <w:rsid w:val="6EDC1FE0"/>
    <w:rsid w:val="6EDC3D8E"/>
    <w:rsid w:val="6EDD3662"/>
    <w:rsid w:val="6EDF73DA"/>
    <w:rsid w:val="6EE20230"/>
    <w:rsid w:val="6EE60768"/>
    <w:rsid w:val="6EE964AB"/>
    <w:rsid w:val="6EF47329"/>
    <w:rsid w:val="6EFF5CCE"/>
    <w:rsid w:val="6F01764F"/>
    <w:rsid w:val="6F06705D"/>
    <w:rsid w:val="6F08284F"/>
    <w:rsid w:val="6F0C52F7"/>
    <w:rsid w:val="6F0D03EB"/>
    <w:rsid w:val="6F0E221A"/>
    <w:rsid w:val="6F0E7CBF"/>
    <w:rsid w:val="6F101825"/>
    <w:rsid w:val="6F166199"/>
    <w:rsid w:val="6F196D90"/>
    <w:rsid w:val="6F1E2564"/>
    <w:rsid w:val="6F1E43A6"/>
    <w:rsid w:val="6F213E96"/>
    <w:rsid w:val="6F292F3F"/>
    <w:rsid w:val="6F2A2D4B"/>
    <w:rsid w:val="6F2B2817"/>
    <w:rsid w:val="6F2D45E9"/>
    <w:rsid w:val="6F3040D9"/>
    <w:rsid w:val="6F3339F8"/>
    <w:rsid w:val="6F375468"/>
    <w:rsid w:val="6F43A387"/>
    <w:rsid w:val="6F4436E1"/>
    <w:rsid w:val="6F451933"/>
    <w:rsid w:val="6F4B2CC1"/>
    <w:rsid w:val="6F4F1391"/>
    <w:rsid w:val="6F4F4560"/>
    <w:rsid w:val="6F5C0A2B"/>
    <w:rsid w:val="6F5D35ED"/>
    <w:rsid w:val="6F5D4868"/>
    <w:rsid w:val="6F5E2295"/>
    <w:rsid w:val="6F5F0E86"/>
    <w:rsid w:val="6F6124E5"/>
    <w:rsid w:val="6F685621"/>
    <w:rsid w:val="6F6A2EF1"/>
    <w:rsid w:val="6F6A3B50"/>
    <w:rsid w:val="6F6A75EB"/>
    <w:rsid w:val="6F6D7CBB"/>
    <w:rsid w:val="6F6E26A5"/>
    <w:rsid w:val="6F7044D6"/>
    <w:rsid w:val="6F7842A5"/>
    <w:rsid w:val="6F7A7103"/>
    <w:rsid w:val="6F7B5355"/>
    <w:rsid w:val="6F7E3097"/>
    <w:rsid w:val="6F854425"/>
    <w:rsid w:val="6F863CF9"/>
    <w:rsid w:val="6F881820"/>
    <w:rsid w:val="6F887A72"/>
    <w:rsid w:val="6F8B1310"/>
    <w:rsid w:val="6F8C57B4"/>
    <w:rsid w:val="6F8D6E36"/>
    <w:rsid w:val="6F8F17CC"/>
    <w:rsid w:val="6F8F7052"/>
    <w:rsid w:val="6F91165A"/>
    <w:rsid w:val="6F914B78"/>
    <w:rsid w:val="6F915B8B"/>
    <w:rsid w:val="6F96218E"/>
    <w:rsid w:val="6F992CB0"/>
    <w:rsid w:val="6F9B1553"/>
    <w:rsid w:val="6F9C351D"/>
    <w:rsid w:val="6F9C6257"/>
    <w:rsid w:val="6F9E05A9"/>
    <w:rsid w:val="6F9F11A2"/>
    <w:rsid w:val="6FA0300D"/>
    <w:rsid w:val="6FA26D85"/>
    <w:rsid w:val="6FA74F2E"/>
    <w:rsid w:val="6FB66F88"/>
    <w:rsid w:val="6FB865A9"/>
    <w:rsid w:val="6FBE16E5"/>
    <w:rsid w:val="6FBE7937"/>
    <w:rsid w:val="6FBF5991"/>
    <w:rsid w:val="6FC07583"/>
    <w:rsid w:val="6FC425FD"/>
    <w:rsid w:val="6FC5312D"/>
    <w:rsid w:val="6FC54822"/>
    <w:rsid w:val="6FC62348"/>
    <w:rsid w:val="6FC84312"/>
    <w:rsid w:val="6FC9064C"/>
    <w:rsid w:val="6FCA008A"/>
    <w:rsid w:val="6FCC3E02"/>
    <w:rsid w:val="6FCD36D6"/>
    <w:rsid w:val="6FCE7B7A"/>
    <w:rsid w:val="6FD131C7"/>
    <w:rsid w:val="6FD902CD"/>
    <w:rsid w:val="6FD9207B"/>
    <w:rsid w:val="6FD94C48"/>
    <w:rsid w:val="6FDB2297"/>
    <w:rsid w:val="6FDC1B6B"/>
    <w:rsid w:val="6FDC4FAB"/>
    <w:rsid w:val="6FDF4B59"/>
    <w:rsid w:val="6FE0165C"/>
    <w:rsid w:val="6FE32EFA"/>
    <w:rsid w:val="6FE43B33"/>
    <w:rsid w:val="6FE74798"/>
    <w:rsid w:val="6FEB1D4F"/>
    <w:rsid w:val="6FEC1DAE"/>
    <w:rsid w:val="6FED40F4"/>
    <w:rsid w:val="6FFD220E"/>
    <w:rsid w:val="70003645"/>
    <w:rsid w:val="70025A76"/>
    <w:rsid w:val="70027824"/>
    <w:rsid w:val="700C2451"/>
    <w:rsid w:val="700F1F41"/>
    <w:rsid w:val="701557A9"/>
    <w:rsid w:val="70180D6C"/>
    <w:rsid w:val="701871F5"/>
    <w:rsid w:val="70194DCD"/>
    <w:rsid w:val="701B08E6"/>
    <w:rsid w:val="701B2694"/>
    <w:rsid w:val="701D465E"/>
    <w:rsid w:val="701D640C"/>
    <w:rsid w:val="702754DC"/>
    <w:rsid w:val="702C664F"/>
    <w:rsid w:val="702E4C81"/>
    <w:rsid w:val="703379DD"/>
    <w:rsid w:val="703404FA"/>
    <w:rsid w:val="70384FF4"/>
    <w:rsid w:val="703A486A"/>
    <w:rsid w:val="703F45D4"/>
    <w:rsid w:val="7040034C"/>
    <w:rsid w:val="70422316"/>
    <w:rsid w:val="70447E3C"/>
    <w:rsid w:val="70473489"/>
    <w:rsid w:val="704764DA"/>
    <w:rsid w:val="70486BBD"/>
    <w:rsid w:val="704A4D27"/>
    <w:rsid w:val="704C6CF1"/>
    <w:rsid w:val="70513ACE"/>
    <w:rsid w:val="70514307"/>
    <w:rsid w:val="705160B5"/>
    <w:rsid w:val="70534050"/>
    <w:rsid w:val="705838E8"/>
    <w:rsid w:val="705D4A5A"/>
    <w:rsid w:val="70622071"/>
    <w:rsid w:val="70666005"/>
    <w:rsid w:val="706758D9"/>
    <w:rsid w:val="706D1B66"/>
    <w:rsid w:val="706F3554"/>
    <w:rsid w:val="70700C31"/>
    <w:rsid w:val="707149AA"/>
    <w:rsid w:val="70757FF6"/>
    <w:rsid w:val="707753AA"/>
    <w:rsid w:val="70785D38"/>
    <w:rsid w:val="707D3230"/>
    <w:rsid w:val="707D6EAA"/>
    <w:rsid w:val="7081017C"/>
    <w:rsid w:val="70811D26"/>
    <w:rsid w:val="708244C1"/>
    <w:rsid w:val="70840239"/>
    <w:rsid w:val="70860455"/>
    <w:rsid w:val="708C533F"/>
    <w:rsid w:val="708E10B8"/>
    <w:rsid w:val="708E2E66"/>
    <w:rsid w:val="70912956"/>
    <w:rsid w:val="70934920"/>
    <w:rsid w:val="709366CE"/>
    <w:rsid w:val="709B5583"/>
    <w:rsid w:val="709D12FB"/>
    <w:rsid w:val="709D579F"/>
    <w:rsid w:val="709F1517"/>
    <w:rsid w:val="70A1703D"/>
    <w:rsid w:val="70A24B63"/>
    <w:rsid w:val="70A42689"/>
    <w:rsid w:val="70A73F27"/>
    <w:rsid w:val="70A83187"/>
    <w:rsid w:val="70AA1F0A"/>
    <w:rsid w:val="70AB7EBB"/>
    <w:rsid w:val="70B044EA"/>
    <w:rsid w:val="70B151F5"/>
    <w:rsid w:val="70B34FC2"/>
    <w:rsid w:val="70B4760B"/>
    <w:rsid w:val="70B825D8"/>
    <w:rsid w:val="70B952D1"/>
    <w:rsid w:val="70BB51B5"/>
    <w:rsid w:val="70BD374B"/>
    <w:rsid w:val="70BF74C3"/>
    <w:rsid w:val="70C1148D"/>
    <w:rsid w:val="70C745CA"/>
    <w:rsid w:val="70C8281B"/>
    <w:rsid w:val="70CA066A"/>
    <w:rsid w:val="70CB5E68"/>
    <w:rsid w:val="70CD22D0"/>
    <w:rsid w:val="70CF0F02"/>
    <w:rsid w:val="70D03548"/>
    <w:rsid w:val="70D34D1C"/>
    <w:rsid w:val="70D70CB1"/>
    <w:rsid w:val="70D8620A"/>
    <w:rsid w:val="70DA6A54"/>
    <w:rsid w:val="70E17439"/>
    <w:rsid w:val="70E30B86"/>
    <w:rsid w:val="70E433CD"/>
    <w:rsid w:val="70E47206"/>
    <w:rsid w:val="70E76A1A"/>
    <w:rsid w:val="70EB253D"/>
    <w:rsid w:val="70ED2282"/>
    <w:rsid w:val="70EE7DA8"/>
    <w:rsid w:val="70EF574A"/>
    <w:rsid w:val="70F25AEA"/>
    <w:rsid w:val="70FB6A8F"/>
    <w:rsid w:val="70FE448F"/>
    <w:rsid w:val="70FE5410"/>
    <w:rsid w:val="70FF3D63"/>
    <w:rsid w:val="7101188A"/>
    <w:rsid w:val="7104137A"/>
    <w:rsid w:val="71053BD0"/>
    <w:rsid w:val="71080E6A"/>
    <w:rsid w:val="710917F6"/>
    <w:rsid w:val="71096990"/>
    <w:rsid w:val="71176EAF"/>
    <w:rsid w:val="71184E25"/>
    <w:rsid w:val="711A0B9D"/>
    <w:rsid w:val="711C4915"/>
    <w:rsid w:val="711D243B"/>
    <w:rsid w:val="71202F46"/>
    <w:rsid w:val="712832BA"/>
    <w:rsid w:val="712A51C0"/>
    <w:rsid w:val="712B6906"/>
    <w:rsid w:val="71353C29"/>
    <w:rsid w:val="713734FD"/>
    <w:rsid w:val="713D5101"/>
    <w:rsid w:val="713D663A"/>
    <w:rsid w:val="714326B4"/>
    <w:rsid w:val="71483A25"/>
    <w:rsid w:val="714874B8"/>
    <w:rsid w:val="714F6A99"/>
    <w:rsid w:val="71520EC2"/>
    <w:rsid w:val="715220E5"/>
    <w:rsid w:val="715B3690"/>
    <w:rsid w:val="715E6CDC"/>
    <w:rsid w:val="716167CC"/>
    <w:rsid w:val="71632544"/>
    <w:rsid w:val="71665B90"/>
    <w:rsid w:val="71695754"/>
    <w:rsid w:val="716F2C97"/>
    <w:rsid w:val="71771B4C"/>
    <w:rsid w:val="71881FAB"/>
    <w:rsid w:val="718B55F7"/>
    <w:rsid w:val="718C64A8"/>
    <w:rsid w:val="71956AC6"/>
    <w:rsid w:val="719E357C"/>
    <w:rsid w:val="71A004FF"/>
    <w:rsid w:val="71A5490B"/>
    <w:rsid w:val="71A62431"/>
    <w:rsid w:val="71A843FB"/>
    <w:rsid w:val="71AA2CF2"/>
    <w:rsid w:val="71AB5C99"/>
    <w:rsid w:val="71AC3EEB"/>
    <w:rsid w:val="71AD7C63"/>
    <w:rsid w:val="71B27028"/>
    <w:rsid w:val="71B96608"/>
    <w:rsid w:val="71BB2380"/>
    <w:rsid w:val="71BB412E"/>
    <w:rsid w:val="71C00E88"/>
    <w:rsid w:val="71C11019"/>
    <w:rsid w:val="71C50D8A"/>
    <w:rsid w:val="71C54FAD"/>
    <w:rsid w:val="71C56D5B"/>
    <w:rsid w:val="71C72AD3"/>
    <w:rsid w:val="71C83C1F"/>
    <w:rsid w:val="71CA25C3"/>
    <w:rsid w:val="71CC34BB"/>
    <w:rsid w:val="71CD3E62"/>
    <w:rsid w:val="71CD79BE"/>
    <w:rsid w:val="71D376CA"/>
    <w:rsid w:val="71D40D4C"/>
    <w:rsid w:val="71D61B4F"/>
    <w:rsid w:val="71DA39D9"/>
    <w:rsid w:val="71E26984"/>
    <w:rsid w:val="71EC078C"/>
    <w:rsid w:val="71EC253A"/>
    <w:rsid w:val="71EF202A"/>
    <w:rsid w:val="71F35233"/>
    <w:rsid w:val="71F515BE"/>
    <w:rsid w:val="71F72F86"/>
    <w:rsid w:val="71F87130"/>
    <w:rsid w:val="71FB38D0"/>
    <w:rsid w:val="71FB452B"/>
    <w:rsid w:val="72007D93"/>
    <w:rsid w:val="720676AD"/>
    <w:rsid w:val="72071122"/>
    <w:rsid w:val="72096FE3"/>
    <w:rsid w:val="720C2BDC"/>
    <w:rsid w:val="720C498A"/>
    <w:rsid w:val="720D425E"/>
    <w:rsid w:val="721101F2"/>
    <w:rsid w:val="72121874"/>
    <w:rsid w:val="721675B7"/>
    <w:rsid w:val="72170B15"/>
    <w:rsid w:val="72180B78"/>
    <w:rsid w:val="721B2E1F"/>
    <w:rsid w:val="721C0443"/>
    <w:rsid w:val="721F6303"/>
    <w:rsid w:val="72226E86"/>
    <w:rsid w:val="722577FA"/>
    <w:rsid w:val="72282A3C"/>
    <w:rsid w:val="722872EA"/>
    <w:rsid w:val="722D120D"/>
    <w:rsid w:val="72345C8F"/>
    <w:rsid w:val="72350DA7"/>
    <w:rsid w:val="7238752D"/>
    <w:rsid w:val="72395053"/>
    <w:rsid w:val="723B0DCB"/>
    <w:rsid w:val="723F4D5F"/>
    <w:rsid w:val="723F6B0D"/>
    <w:rsid w:val="72405BF5"/>
    <w:rsid w:val="72443C80"/>
    <w:rsid w:val="724539F8"/>
    <w:rsid w:val="724759C2"/>
    <w:rsid w:val="724A2641"/>
    <w:rsid w:val="724C09B1"/>
    <w:rsid w:val="724E69A2"/>
    <w:rsid w:val="724F4877"/>
    <w:rsid w:val="72524823"/>
    <w:rsid w:val="725A3947"/>
    <w:rsid w:val="725B146D"/>
    <w:rsid w:val="72620508"/>
    <w:rsid w:val="726310A6"/>
    <w:rsid w:val="72637772"/>
    <w:rsid w:val="72646574"/>
    <w:rsid w:val="726522EC"/>
    <w:rsid w:val="72671BC0"/>
    <w:rsid w:val="72693B8A"/>
    <w:rsid w:val="726A16B0"/>
    <w:rsid w:val="726A345E"/>
    <w:rsid w:val="726C367A"/>
    <w:rsid w:val="7270316B"/>
    <w:rsid w:val="727662A7"/>
    <w:rsid w:val="7278201F"/>
    <w:rsid w:val="72785B7B"/>
    <w:rsid w:val="727B1B10"/>
    <w:rsid w:val="727D3192"/>
    <w:rsid w:val="72807126"/>
    <w:rsid w:val="728704B4"/>
    <w:rsid w:val="72872262"/>
    <w:rsid w:val="72886C9C"/>
    <w:rsid w:val="728E539F"/>
    <w:rsid w:val="729104B3"/>
    <w:rsid w:val="729251FC"/>
    <w:rsid w:val="7294672D"/>
    <w:rsid w:val="729624A5"/>
    <w:rsid w:val="72977AB7"/>
    <w:rsid w:val="729F75AC"/>
    <w:rsid w:val="72A03324"/>
    <w:rsid w:val="72A5093A"/>
    <w:rsid w:val="72A921D9"/>
    <w:rsid w:val="72AA7CFF"/>
    <w:rsid w:val="72AE5A41"/>
    <w:rsid w:val="72AF08D5"/>
    <w:rsid w:val="72B55021"/>
    <w:rsid w:val="72BC63B0"/>
    <w:rsid w:val="72BF41FF"/>
    <w:rsid w:val="72C47013"/>
    <w:rsid w:val="72C76B03"/>
    <w:rsid w:val="72CB1E47"/>
    <w:rsid w:val="72CE60E3"/>
    <w:rsid w:val="72D26016"/>
    <w:rsid w:val="72D336FA"/>
    <w:rsid w:val="72D51220"/>
    <w:rsid w:val="72D54D7C"/>
    <w:rsid w:val="72DF6B7C"/>
    <w:rsid w:val="72E01973"/>
    <w:rsid w:val="72E15E16"/>
    <w:rsid w:val="72E74AAF"/>
    <w:rsid w:val="72EB459F"/>
    <w:rsid w:val="72EC6569"/>
    <w:rsid w:val="72ED47BB"/>
    <w:rsid w:val="72EE22E1"/>
    <w:rsid w:val="72EE369F"/>
    <w:rsid w:val="72EE408F"/>
    <w:rsid w:val="72EF623D"/>
    <w:rsid w:val="72F15750"/>
    <w:rsid w:val="72F316A6"/>
    <w:rsid w:val="72F50DA2"/>
    <w:rsid w:val="72F83160"/>
    <w:rsid w:val="72F84F0E"/>
    <w:rsid w:val="72FA0C86"/>
    <w:rsid w:val="72FB4C14"/>
    <w:rsid w:val="73001811"/>
    <w:rsid w:val="73010267"/>
    <w:rsid w:val="73010A86"/>
    <w:rsid w:val="730218E9"/>
    <w:rsid w:val="73090EC9"/>
    <w:rsid w:val="730E028E"/>
    <w:rsid w:val="73104006"/>
    <w:rsid w:val="73113A53"/>
    <w:rsid w:val="73124222"/>
    <w:rsid w:val="7315786E"/>
    <w:rsid w:val="73196BEE"/>
    <w:rsid w:val="731A751C"/>
    <w:rsid w:val="731D4975"/>
    <w:rsid w:val="73217FC1"/>
    <w:rsid w:val="733046A8"/>
    <w:rsid w:val="733A4ABA"/>
    <w:rsid w:val="73410663"/>
    <w:rsid w:val="73426189"/>
    <w:rsid w:val="7349576A"/>
    <w:rsid w:val="734B14E2"/>
    <w:rsid w:val="734E4B2E"/>
    <w:rsid w:val="734F7F42"/>
    <w:rsid w:val="7354280E"/>
    <w:rsid w:val="7355410F"/>
    <w:rsid w:val="735859AD"/>
    <w:rsid w:val="735A34D3"/>
    <w:rsid w:val="735C724B"/>
    <w:rsid w:val="735E1215"/>
    <w:rsid w:val="735E12E8"/>
    <w:rsid w:val="73612AB3"/>
    <w:rsid w:val="7363682B"/>
    <w:rsid w:val="73642743"/>
    <w:rsid w:val="736A0B68"/>
    <w:rsid w:val="736B748E"/>
    <w:rsid w:val="73700F48"/>
    <w:rsid w:val="73726A6F"/>
    <w:rsid w:val="7379604F"/>
    <w:rsid w:val="73814F04"/>
    <w:rsid w:val="738B18DE"/>
    <w:rsid w:val="738D4402"/>
    <w:rsid w:val="73905147"/>
    <w:rsid w:val="73944C37"/>
    <w:rsid w:val="73966C01"/>
    <w:rsid w:val="73974727"/>
    <w:rsid w:val="739C7F8F"/>
    <w:rsid w:val="739F538A"/>
    <w:rsid w:val="73A4756E"/>
    <w:rsid w:val="73A82490"/>
    <w:rsid w:val="73A950D2"/>
    <w:rsid w:val="73AA6208"/>
    <w:rsid w:val="73AB1F81"/>
    <w:rsid w:val="73B40E35"/>
    <w:rsid w:val="73B928EF"/>
    <w:rsid w:val="73B9469D"/>
    <w:rsid w:val="73BF2990"/>
    <w:rsid w:val="73C31078"/>
    <w:rsid w:val="73C44DF0"/>
    <w:rsid w:val="73C82B32"/>
    <w:rsid w:val="73CB43D1"/>
    <w:rsid w:val="73CD1EF7"/>
    <w:rsid w:val="73D239B1"/>
    <w:rsid w:val="73D6524F"/>
    <w:rsid w:val="73D74B24"/>
    <w:rsid w:val="73D94D40"/>
    <w:rsid w:val="73DC27D7"/>
    <w:rsid w:val="73E42497"/>
    <w:rsid w:val="73E6120B"/>
    <w:rsid w:val="73E86D31"/>
    <w:rsid w:val="73EB236A"/>
    <w:rsid w:val="73EF0CEB"/>
    <w:rsid w:val="73F25E01"/>
    <w:rsid w:val="73F371B5"/>
    <w:rsid w:val="73F531FC"/>
    <w:rsid w:val="73F676A0"/>
    <w:rsid w:val="73F8332D"/>
    <w:rsid w:val="73F9576A"/>
    <w:rsid w:val="73FE50A5"/>
    <w:rsid w:val="7400407A"/>
    <w:rsid w:val="74015CD1"/>
    <w:rsid w:val="74017DF2"/>
    <w:rsid w:val="7402003C"/>
    <w:rsid w:val="74026044"/>
    <w:rsid w:val="74031DBD"/>
    <w:rsid w:val="74051691"/>
    <w:rsid w:val="7407365B"/>
    <w:rsid w:val="74082F2F"/>
    <w:rsid w:val="740A2D02"/>
    <w:rsid w:val="740E127C"/>
    <w:rsid w:val="741144D9"/>
    <w:rsid w:val="7419513C"/>
    <w:rsid w:val="741E09A4"/>
    <w:rsid w:val="74220495"/>
    <w:rsid w:val="742302D7"/>
    <w:rsid w:val="74235FBB"/>
    <w:rsid w:val="74294EDD"/>
    <w:rsid w:val="742B5128"/>
    <w:rsid w:val="742C4E6F"/>
    <w:rsid w:val="742D6E39"/>
    <w:rsid w:val="743106D8"/>
    <w:rsid w:val="74343D24"/>
    <w:rsid w:val="74367A9C"/>
    <w:rsid w:val="743A521D"/>
    <w:rsid w:val="743C0E2B"/>
    <w:rsid w:val="743D52CE"/>
    <w:rsid w:val="744321B9"/>
    <w:rsid w:val="744901B5"/>
    <w:rsid w:val="744A760C"/>
    <w:rsid w:val="744B4216"/>
    <w:rsid w:val="744C3764"/>
    <w:rsid w:val="744D3906"/>
    <w:rsid w:val="744D4DE6"/>
    <w:rsid w:val="7452685E"/>
    <w:rsid w:val="74542618"/>
    <w:rsid w:val="745A5E80"/>
    <w:rsid w:val="746046D7"/>
    <w:rsid w:val="74661DBB"/>
    <w:rsid w:val="7467234B"/>
    <w:rsid w:val="746A1E3C"/>
    <w:rsid w:val="746E4FB7"/>
    <w:rsid w:val="74703E93"/>
    <w:rsid w:val="74716989"/>
    <w:rsid w:val="74730CF0"/>
    <w:rsid w:val="74744A68"/>
    <w:rsid w:val="7476258E"/>
    <w:rsid w:val="74784559"/>
    <w:rsid w:val="747C0D6D"/>
    <w:rsid w:val="74844CAB"/>
    <w:rsid w:val="748702F8"/>
    <w:rsid w:val="748A6AD8"/>
    <w:rsid w:val="748C6764"/>
    <w:rsid w:val="74932D07"/>
    <w:rsid w:val="74936C9D"/>
    <w:rsid w:val="749B1FF5"/>
    <w:rsid w:val="749D7B1B"/>
    <w:rsid w:val="749E3893"/>
    <w:rsid w:val="74A215D5"/>
    <w:rsid w:val="74A35C48"/>
    <w:rsid w:val="74A566CA"/>
    <w:rsid w:val="74A94712"/>
    <w:rsid w:val="74AA0C93"/>
    <w:rsid w:val="74AB66DC"/>
    <w:rsid w:val="74B135C7"/>
    <w:rsid w:val="74B65081"/>
    <w:rsid w:val="74BA03C6"/>
    <w:rsid w:val="74BA691F"/>
    <w:rsid w:val="74C27582"/>
    <w:rsid w:val="74C37339"/>
    <w:rsid w:val="74C4154C"/>
    <w:rsid w:val="74C72DEA"/>
    <w:rsid w:val="74C959C8"/>
    <w:rsid w:val="74CA6436"/>
    <w:rsid w:val="74CB0B2C"/>
    <w:rsid w:val="74CC0577"/>
    <w:rsid w:val="74CC6652"/>
    <w:rsid w:val="74D379E1"/>
    <w:rsid w:val="74D472B5"/>
    <w:rsid w:val="74D53759"/>
    <w:rsid w:val="74D84FF7"/>
    <w:rsid w:val="74DA0D6F"/>
    <w:rsid w:val="74DB6895"/>
    <w:rsid w:val="74DD43BC"/>
    <w:rsid w:val="74DF0134"/>
    <w:rsid w:val="74E27C24"/>
    <w:rsid w:val="74E53270"/>
    <w:rsid w:val="74E7348C"/>
    <w:rsid w:val="74EC2851"/>
    <w:rsid w:val="74EC45FF"/>
    <w:rsid w:val="74F24573"/>
    <w:rsid w:val="74F31E31"/>
    <w:rsid w:val="74F33BDF"/>
    <w:rsid w:val="74F55BA9"/>
    <w:rsid w:val="74FF67F2"/>
    <w:rsid w:val="750000AA"/>
    <w:rsid w:val="7500204C"/>
    <w:rsid w:val="750162FC"/>
    <w:rsid w:val="750D2EF3"/>
    <w:rsid w:val="750E63A1"/>
    <w:rsid w:val="75104791"/>
    <w:rsid w:val="75120509"/>
    <w:rsid w:val="75122761"/>
    <w:rsid w:val="751678CE"/>
    <w:rsid w:val="751B4EE4"/>
    <w:rsid w:val="751C1388"/>
    <w:rsid w:val="751D2A0A"/>
    <w:rsid w:val="752161F5"/>
    <w:rsid w:val="75232716"/>
    <w:rsid w:val="75234BA8"/>
    <w:rsid w:val="752A613E"/>
    <w:rsid w:val="753C37D8"/>
    <w:rsid w:val="753F5076"/>
    <w:rsid w:val="75402C0D"/>
    <w:rsid w:val="75410DEE"/>
    <w:rsid w:val="75453652"/>
    <w:rsid w:val="7547344B"/>
    <w:rsid w:val="754C32EF"/>
    <w:rsid w:val="754E350B"/>
    <w:rsid w:val="7552048D"/>
    <w:rsid w:val="755521A4"/>
    <w:rsid w:val="7557252F"/>
    <w:rsid w:val="755D54FC"/>
    <w:rsid w:val="755F3023"/>
    <w:rsid w:val="75622B13"/>
    <w:rsid w:val="75651DC8"/>
    <w:rsid w:val="75660855"/>
    <w:rsid w:val="75661F51"/>
    <w:rsid w:val="75673EEC"/>
    <w:rsid w:val="75695C4F"/>
    <w:rsid w:val="756E7644"/>
    <w:rsid w:val="757271FA"/>
    <w:rsid w:val="757321B9"/>
    <w:rsid w:val="75734D20"/>
    <w:rsid w:val="757A1C0A"/>
    <w:rsid w:val="757E5B9F"/>
    <w:rsid w:val="757F1917"/>
    <w:rsid w:val="757F36C5"/>
    <w:rsid w:val="7581743D"/>
    <w:rsid w:val="75824101"/>
    <w:rsid w:val="75846F2D"/>
    <w:rsid w:val="758E3908"/>
    <w:rsid w:val="759033DA"/>
    <w:rsid w:val="75932CCC"/>
    <w:rsid w:val="759E75A8"/>
    <w:rsid w:val="75A1188D"/>
    <w:rsid w:val="75A1363B"/>
    <w:rsid w:val="75A35605"/>
    <w:rsid w:val="75B44530"/>
    <w:rsid w:val="75B50E95"/>
    <w:rsid w:val="75B72E5F"/>
    <w:rsid w:val="75BC0475"/>
    <w:rsid w:val="75BF3AC1"/>
    <w:rsid w:val="75C13CDD"/>
    <w:rsid w:val="75CA2B92"/>
    <w:rsid w:val="75CD2682"/>
    <w:rsid w:val="75D0365F"/>
    <w:rsid w:val="75D03F20"/>
    <w:rsid w:val="75D166E3"/>
    <w:rsid w:val="75D237F5"/>
    <w:rsid w:val="75D457BF"/>
    <w:rsid w:val="75D4756D"/>
    <w:rsid w:val="75D94CFB"/>
    <w:rsid w:val="75DA08FB"/>
    <w:rsid w:val="75DF368D"/>
    <w:rsid w:val="75DF5F11"/>
    <w:rsid w:val="75E33C54"/>
    <w:rsid w:val="75E519E7"/>
    <w:rsid w:val="75E646F8"/>
    <w:rsid w:val="75E721BF"/>
    <w:rsid w:val="75E86846"/>
    <w:rsid w:val="75ED4AD2"/>
    <w:rsid w:val="75EF25F8"/>
    <w:rsid w:val="75F23499"/>
    <w:rsid w:val="75F47C0F"/>
    <w:rsid w:val="75FB0F9D"/>
    <w:rsid w:val="75FC2F67"/>
    <w:rsid w:val="75FE283B"/>
    <w:rsid w:val="76045978"/>
    <w:rsid w:val="760A11E0"/>
    <w:rsid w:val="760F3116"/>
    <w:rsid w:val="76120095"/>
    <w:rsid w:val="761262E7"/>
    <w:rsid w:val="76157B85"/>
    <w:rsid w:val="76191423"/>
    <w:rsid w:val="76211CFF"/>
    <w:rsid w:val="7621652A"/>
    <w:rsid w:val="762267D3"/>
    <w:rsid w:val="7625601A"/>
    <w:rsid w:val="76261D92"/>
    <w:rsid w:val="762730A6"/>
    <w:rsid w:val="76285B0A"/>
    <w:rsid w:val="762A53DF"/>
    <w:rsid w:val="762A7AD4"/>
    <w:rsid w:val="76330BC2"/>
    <w:rsid w:val="76353649"/>
    <w:rsid w:val="763607FF"/>
    <w:rsid w:val="76375D4D"/>
    <w:rsid w:val="76377AFB"/>
    <w:rsid w:val="76397D18"/>
    <w:rsid w:val="763C15B6"/>
    <w:rsid w:val="7645046A"/>
    <w:rsid w:val="764566BC"/>
    <w:rsid w:val="764C63FC"/>
    <w:rsid w:val="764E42B0"/>
    <w:rsid w:val="764F3097"/>
    <w:rsid w:val="764F753B"/>
    <w:rsid w:val="76534E3F"/>
    <w:rsid w:val="76550BEF"/>
    <w:rsid w:val="76595CC4"/>
    <w:rsid w:val="765E152C"/>
    <w:rsid w:val="765F66B8"/>
    <w:rsid w:val="7662726E"/>
    <w:rsid w:val="76627927"/>
    <w:rsid w:val="76636B42"/>
    <w:rsid w:val="76665036"/>
    <w:rsid w:val="76674885"/>
    <w:rsid w:val="766823AB"/>
    <w:rsid w:val="766964A3"/>
    <w:rsid w:val="766A6123"/>
    <w:rsid w:val="766C1E9B"/>
    <w:rsid w:val="76724FD8"/>
    <w:rsid w:val="76733229"/>
    <w:rsid w:val="76746FA2"/>
    <w:rsid w:val="767E572A"/>
    <w:rsid w:val="7682521B"/>
    <w:rsid w:val="76854D0B"/>
    <w:rsid w:val="768A2321"/>
    <w:rsid w:val="768C42EB"/>
    <w:rsid w:val="769136B0"/>
    <w:rsid w:val="769240D1"/>
    <w:rsid w:val="769413F2"/>
    <w:rsid w:val="769B62DC"/>
    <w:rsid w:val="769C07B3"/>
    <w:rsid w:val="769FA025"/>
    <w:rsid w:val="76A553AD"/>
    <w:rsid w:val="76A96C4B"/>
    <w:rsid w:val="76AA651F"/>
    <w:rsid w:val="76AD7DBE"/>
    <w:rsid w:val="76B337BA"/>
    <w:rsid w:val="76B6724A"/>
    <w:rsid w:val="76BB072D"/>
    <w:rsid w:val="76BB5760"/>
    <w:rsid w:val="76BB6308"/>
    <w:rsid w:val="76BE5EDC"/>
    <w:rsid w:val="76C12650"/>
    <w:rsid w:val="76C23869"/>
    <w:rsid w:val="76CA0464"/>
    <w:rsid w:val="76CE6A3F"/>
    <w:rsid w:val="76D2165D"/>
    <w:rsid w:val="76D35A76"/>
    <w:rsid w:val="76D40BF4"/>
    <w:rsid w:val="76D87530"/>
    <w:rsid w:val="76DF266D"/>
    <w:rsid w:val="76E00627"/>
    <w:rsid w:val="76E2215D"/>
    <w:rsid w:val="76E47C83"/>
    <w:rsid w:val="76E94E08"/>
    <w:rsid w:val="76E97048"/>
    <w:rsid w:val="76EA1012"/>
    <w:rsid w:val="76EE06EA"/>
    <w:rsid w:val="76EE4A93"/>
    <w:rsid w:val="76EF6628"/>
    <w:rsid w:val="76F36118"/>
    <w:rsid w:val="76F555DF"/>
    <w:rsid w:val="76FF2D0F"/>
    <w:rsid w:val="770976EA"/>
    <w:rsid w:val="770B3462"/>
    <w:rsid w:val="770C0F88"/>
    <w:rsid w:val="77106CCA"/>
    <w:rsid w:val="77161E07"/>
    <w:rsid w:val="77170059"/>
    <w:rsid w:val="771A18F7"/>
    <w:rsid w:val="771A5453"/>
    <w:rsid w:val="771D4F43"/>
    <w:rsid w:val="772269FE"/>
    <w:rsid w:val="772444B9"/>
    <w:rsid w:val="77253DF8"/>
    <w:rsid w:val="77277B70"/>
    <w:rsid w:val="77291B3A"/>
    <w:rsid w:val="772938E8"/>
    <w:rsid w:val="772C5186"/>
    <w:rsid w:val="773504DF"/>
    <w:rsid w:val="773D3837"/>
    <w:rsid w:val="77420E4E"/>
    <w:rsid w:val="77445FBB"/>
    <w:rsid w:val="774921DC"/>
    <w:rsid w:val="77505319"/>
    <w:rsid w:val="775071E6"/>
    <w:rsid w:val="77550B81"/>
    <w:rsid w:val="77560455"/>
    <w:rsid w:val="775C1F10"/>
    <w:rsid w:val="77613082"/>
    <w:rsid w:val="77630461"/>
    <w:rsid w:val="77632912"/>
    <w:rsid w:val="776333C7"/>
    <w:rsid w:val="77644920"/>
    <w:rsid w:val="776668EA"/>
    <w:rsid w:val="77690189"/>
    <w:rsid w:val="776963DA"/>
    <w:rsid w:val="776D5756"/>
    <w:rsid w:val="776E579F"/>
    <w:rsid w:val="77705FBE"/>
    <w:rsid w:val="77737F4F"/>
    <w:rsid w:val="77764653"/>
    <w:rsid w:val="777811D4"/>
    <w:rsid w:val="777A05E8"/>
    <w:rsid w:val="777C610E"/>
    <w:rsid w:val="77811976"/>
    <w:rsid w:val="778356EE"/>
    <w:rsid w:val="7785787E"/>
    <w:rsid w:val="77866F8C"/>
    <w:rsid w:val="77882D05"/>
    <w:rsid w:val="778B00FF"/>
    <w:rsid w:val="77903967"/>
    <w:rsid w:val="779276DF"/>
    <w:rsid w:val="7797571F"/>
    <w:rsid w:val="77976AA4"/>
    <w:rsid w:val="779C230C"/>
    <w:rsid w:val="779C67B0"/>
    <w:rsid w:val="779D1655"/>
    <w:rsid w:val="77A17922"/>
    <w:rsid w:val="77A91C9C"/>
    <w:rsid w:val="77AB402B"/>
    <w:rsid w:val="77AF64E3"/>
    <w:rsid w:val="77B04009"/>
    <w:rsid w:val="77B05DB7"/>
    <w:rsid w:val="77B27D81"/>
    <w:rsid w:val="77B51620"/>
    <w:rsid w:val="77B64C0A"/>
    <w:rsid w:val="77B75398"/>
    <w:rsid w:val="77B92EBE"/>
    <w:rsid w:val="77B951E9"/>
    <w:rsid w:val="77BA09E4"/>
    <w:rsid w:val="77BC29AE"/>
    <w:rsid w:val="77BE13A9"/>
    <w:rsid w:val="77C67389"/>
    <w:rsid w:val="77C90C27"/>
    <w:rsid w:val="77CA048F"/>
    <w:rsid w:val="77CC1487"/>
    <w:rsid w:val="77CF26E1"/>
    <w:rsid w:val="77D01FB6"/>
    <w:rsid w:val="77D93560"/>
    <w:rsid w:val="77DC6BAC"/>
    <w:rsid w:val="77DE2925"/>
    <w:rsid w:val="77DE46D3"/>
    <w:rsid w:val="77E31CE9"/>
    <w:rsid w:val="77E35397"/>
    <w:rsid w:val="77E617D9"/>
    <w:rsid w:val="77EA7371"/>
    <w:rsid w:val="77ED2B68"/>
    <w:rsid w:val="77F51A1C"/>
    <w:rsid w:val="77F57C6E"/>
    <w:rsid w:val="77F77772"/>
    <w:rsid w:val="77F909F3"/>
    <w:rsid w:val="77FA7033"/>
    <w:rsid w:val="77FD8253"/>
    <w:rsid w:val="78014865"/>
    <w:rsid w:val="7803238B"/>
    <w:rsid w:val="7803603C"/>
    <w:rsid w:val="780600CD"/>
    <w:rsid w:val="78074DB7"/>
    <w:rsid w:val="78076F31"/>
    <w:rsid w:val="780A7196"/>
    <w:rsid w:val="780B7492"/>
    <w:rsid w:val="780C1CAB"/>
    <w:rsid w:val="78113BB2"/>
    <w:rsid w:val="781B6E27"/>
    <w:rsid w:val="78250553"/>
    <w:rsid w:val="782B1BE5"/>
    <w:rsid w:val="782C41DD"/>
    <w:rsid w:val="782D11B6"/>
    <w:rsid w:val="78307C29"/>
    <w:rsid w:val="78362761"/>
    <w:rsid w:val="783A38AC"/>
    <w:rsid w:val="78434E7D"/>
    <w:rsid w:val="78446BBD"/>
    <w:rsid w:val="784604CA"/>
    <w:rsid w:val="785D6A7A"/>
    <w:rsid w:val="785E1CB7"/>
    <w:rsid w:val="78696596"/>
    <w:rsid w:val="786A3801"/>
    <w:rsid w:val="786B1CDE"/>
    <w:rsid w:val="78764386"/>
    <w:rsid w:val="7879089F"/>
    <w:rsid w:val="787D038F"/>
    <w:rsid w:val="788259A6"/>
    <w:rsid w:val="788600D7"/>
    <w:rsid w:val="788801B5"/>
    <w:rsid w:val="788860C0"/>
    <w:rsid w:val="78902F65"/>
    <w:rsid w:val="789D27E0"/>
    <w:rsid w:val="789D4989"/>
    <w:rsid w:val="78A07BDA"/>
    <w:rsid w:val="78A3591C"/>
    <w:rsid w:val="78A53442"/>
    <w:rsid w:val="78AA6CAB"/>
    <w:rsid w:val="78AB008E"/>
    <w:rsid w:val="78AC657F"/>
    <w:rsid w:val="78AD22F7"/>
    <w:rsid w:val="78B11DE7"/>
    <w:rsid w:val="78B33DB1"/>
    <w:rsid w:val="78BC0BD3"/>
    <w:rsid w:val="78BD36C3"/>
    <w:rsid w:val="78BF076D"/>
    <w:rsid w:val="78C22246"/>
    <w:rsid w:val="78C338C8"/>
    <w:rsid w:val="78C63702"/>
    <w:rsid w:val="78C935D5"/>
    <w:rsid w:val="78CA10FB"/>
    <w:rsid w:val="78CC6C21"/>
    <w:rsid w:val="78CE0BEB"/>
    <w:rsid w:val="78CF04BF"/>
    <w:rsid w:val="78D36201"/>
    <w:rsid w:val="78D37FAF"/>
    <w:rsid w:val="78D41F79"/>
    <w:rsid w:val="78D451BD"/>
    <w:rsid w:val="78D83818"/>
    <w:rsid w:val="78DB3308"/>
    <w:rsid w:val="78DB50B6"/>
    <w:rsid w:val="78E439E2"/>
    <w:rsid w:val="78E71CAD"/>
    <w:rsid w:val="78EA354B"/>
    <w:rsid w:val="78EC2E1F"/>
    <w:rsid w:val="78EE303B"/>
    <w:rsid w:val="78EE4DE9"/>
    <w:rsid w:val="78F35090"/>
    <w:rsid w:val="78F41CD4"/>
    <w:rsid w:val="78F7560D"/>
    <w:rsid w:val="78FA6198"/>
    <w:rsid w:val="78FD6DDA"/>
    <w:rsid w:val="79020895"/>
    <w:rsid w:val="79050385"/>
    <w:rsid w:val="79052133"/>
    <w:rsid w:val="790E7239"/>
    <w:rsid w:val="790F6B0E"/>
    <w:rsid w:val="791218EC"/>
    <w:rsid w:val="792120B6"/>
    <w:rsid w:val="792151BF"/>
    <w:rsid w:val="79216451"/>
    <w:rsid w:val="79256331"/>
    <w:rsid w:val="792702FB"/>
    <w:rsid w:val="792C5912"/>
    <w:rsid w:val="792C76C0"/>
    <w:rsid w:val="79305402"/>
    <w:rsid w:val="7931117A"/>
    <w:rsid w:val="79336CA0"/>
    <w:rsid w:val="793B3DA7"/>
    <w:rsid w:val="793C1369"/>
    <w:rsid w:val="793D367B"/>
    <w:rsid w:val="793E74CF"/>
    <w:rsid w:val="79464C25"/>
    <w:rsid w:val="794669D3"/>
    <w:rsid w:val="794C38BE"/>
    <w:rsid w:val="794E4E49"/>
    <w:rsid w:val="79507852"/>
    <w:rsid w:val="795135CA"/>
    <w:rsid w:val="79556C16"/>
    <w:rsid w:val="795E0E01"/>
    <w:rsid w:val="795E2B7D"/>
    <w:rsid w:val="795F7A95"/>
    <w:rsid w:val="79621333"/>
    <w:rsid w:val="796450AB"/>
    <w:rsid w:val="79652BD2"/>
    <w:rsid w:val="79660E24"/>
    <w:rsid w:val="79667075"/>
    <w:rsid w:val="79680FA5"/>
    <w:rsid w:val="796A57B5"/>
    <w:rsid w:val="796B468C"/>
    <w:rsid w:val="796B643A"/>
    <w:rsid w:val="796E5F2A"/>
    <w:rsid w:val="79752E15"/>
    <w:rsid w:val="79780B57"/>
    <w:rsid w:val="797F465B"/>
    <w:rsid w:val="79872B48"/>
    <w:rsid w:val="798B433F"/>
    <w:rsid w:val="798E037A"/>
    <w:rsid w:val="799139C7"/>
    <w:rsid w:val="79915775"/>
    <w:rsid w:val="79960FDD"/>
    <w:rsid w:val="7997722F"/>
    <w:rsid w:val="79A100AE"/>
    <w:rsid w:val="79A47B9E"/>
    <w:rsid w:val="79A74F98"/>
    <w:rsid w:val="79A8143C"/>
    <w:rsid w:val="79A85041"/>
    <w:rsid w:val="79A90D10"/>
    <w:rsid w:val="79A951B4"/>
    <w:rsid w:val="79AB4A88"/>
    <w:rsid w:val="79AB6836"/>
    <w:rsid w:val="79AC0800"/>
    <w:rsid w:val="79AD6A52"/>
    <w:rsid w:val="79B06543"/>
    <w:rsid w:val="79B3354A"/>
    <w:rsid w:val="79B37DE1"/>
    <w:rsid w:val="79B80F53"/>
    <w:rsid w:val="79B871A5"/>
    <w:rsid w:val="79BD47BC"/>
    <w:rsid w:val="79BDC062"/>
    <w:rsid w:val="79BF22E2"/>
    <w:rsid w:val="79C21DD2"/>
    <w:rsid w:val="79C45B4A"/>
    <w:rsid w:val="79CD2C51"/>
    <w:rsid w:val="79D22FC3"/>
    <w:rsid w:val="79D264B9"/>
    <w:rsid w:val="79D35D8D"/>
    <w:rsid w:val="79D55FA9"/>
    <w:rsid w:val="79D833A4"/>
    <w:rsid w:val="79E41D48"/>
    <w:rsid w:val="79E47F9A"/>
    <w:rsid w:val="79E63D12"/>
    <w:rsid w:val="79E85CDC"/>
    <w:rsid w:val="79E93803"/>
    <w:rsid w:val="79E9735F"/>
    <w:rsid w:val="79EB30D7"/>
    <w:rsid w:val="79ED4B6B"/>
    <w:rsid w:val="79EE1860"/>
    <w:rsid w:val="79F2497C"/>
    <w:rsid w:val="79F3642F"/>
    <w:rsid w:val="79F503F9"/>
    <w:rsid w:val="79F521A7"/>
    <w:rsid w:val="79F77CCE"/>
    <w:rsid w:val="79F91C98"/>
    <w:rsid w:val="79F94D88"/>
    <w:rsid w:val="79FA77BE"/>
    <w:rsid w:val="79FD2E0A"/>
    <w:rsid w:val="79FF4DD4"/>
    <w:rsid w:val="7A010B4C"/>
    <w:rsid w:val="7A016D9E"/>
    <w:rsid w:val="7A031A1B"/>
    <w:rsid w:val="7A06154D"/>
    <w:rsid w:val="7A0B663B"/>
    <w:rsid w:val="7A150154"/>
    <w:rsid w:val="7A1614FC"/>
    <w:rsid w:val="7A1A78B1"/>
    <w:rsid w:val="7A214D4A"/>
    <w:rsid w:val="7A250C9B"/>
    <w:rsid w:val="7A261F41"/>
    <w:rsid w:val="7A296E89"/>
    <w:rsid w:val="7A2C0AE0"/>
    <w:rsid w:val="7A2D7B93"/>
    <w:rsid w:val="7A301431"/>
    <w:rsid w:val="7A320D06"/>
    <w:rsid w:val="7A342CD0"/>
    <w:rsid w:val="7A3902E6"/>
    <w:rsid w:val="7A454EDD"/>
    <w:rsid w:val="7A460C55"/>
    <w:rsid w:val="7A466140"/>
    <w:rsid w:val="7A4A1C2D"/>
    <w:rsid w:val="7A4B0019"/>
    <w:rsid w:val="7A4F18B8"/>
    <w:rsid w:val="7A560E98"/>
    <w:rsid w:val="7A5F5873"/>
    <w:rsid w:val="7A61783D"/>
    <w:rsid w:val="7A680BCB"/>
    <w:rsid w:val="7A684727"/>
    <w:rsid w:val="7A6861F0"/>
    <w:rsid w:val="7A6A04A0"/>
    <w:rsid w:val="7A707A80"/>
    <w:rsid w:val="7A721E73"/>
    <w:rsid w:val="7A772BBC"/>
    <w:rsid w:val="7A777060"/>
    <w:rsid w:val="7A78315F"/>
    <w:rsid w:val="7A7C01D3"/>
    <w:rsid w:val="7A7E7F2D"/>
    <w:rsid w:val="7A807CC3"/>
    <w:rsid w:val="7A813A3B"/>
    <w:rsid w:val="7A850D10"/>
    <w:rsid w:val="7A85177D"/>
    <w:rsid w:val="7A85352B"/>
    <w:rsid w:val="7A8A28F0"/>
    <w:rsid w:val="7A8B6668"/>
    <w:rsid w:val="7A8D418E"/>
    <w:rsid w:val="7A911ED0"/>
    <w:rsid w:val="7A9B2D4F"/>
    <w:rsid w:val="7A9B4BE8"/>
    <w:rsid w:val="7A9E45ED"/>
    <w:rsid w:val="7AA00365"/>
    <w:rsid w:val="7AA2381D"/>
    <w:rsid w:val="7AA240DD"/>
    <w:rsid w:val="7AA339B1"/>
    <w:rsid w:val="7AA8721A"/>
    <w:rsid w:val="7AAA2F92"/>
    <w:rsid w:val="7AAC6D0A"/>
    <w:rsid w:val="7AB61937"/>
    <w:rsid w:val="7AB802A9"/>
    <w:rsid w:val="7AB90E09"/>
    <w:rsid w:val="7AB947BF"/>
    <w:rsid w:val="7ABB21C4"/>
    <w:rsid w:val="7ABD0F17"/>
    <w:rsid w:val="7ABD4D52"/>
    <w:rsid w:val="7ABE4C8F"/>
    <w:rsid w:val="7AC51B7A"/>
    <w:rsid w:val="7AC5601E"/>
    <w:rsid w:val="7AC57DCC"/>
    <w:rsid w:val="7AD13192"/>
    <w:rsid w:val="7AD26045"/>
    <w:rsid w:val="7ADE0E8D"/>
    <w:rsid w:val="7ADE2C3C"/>
    <w:rsid w:val="7ADE49EA"/>
    <w:rsid w:val="7AE00762"/>
    <w:rsid w:val="7AE446F6"/>
    <w:rsid w:val="7AE55D78"/>
    <w:rsid w:val="7AEA5A84"/>
    <w:rsid w:val="7AEC7106"/>
    <w:rsid w:val="7AED1DB7"/>
    <w:rsid w:val="7AED71E6"/>
    <w:rsid w:val="7AEE0676"/>
    <w:rsid w:val="7AF661D7"/>
    <w:rsid w:val="7AF67F85"/>
    <w:rsid w:val="7AF75AAB"/>
    <w:rsid w:val="7AF80F26"/>
    <w:rsid w:val="7AF91CA6"/>
    <w:rsid w:val="7AFD7566"/>
    <w:rsid w:val="7AFE32DE"/>
    <w:rsid w:val="7B000E04"/>
    <w:rsid w:val="7B007056"/>
    <w:rsid w:val="7B02475C"/>
    <w:rsid w:val="7B0326A2"/>
    <w:rsid w:val="7B046B46"/>
    <w:rsid w:val="7B0501C8"/>
    <w:rsid w:val="7B05489B"/>
    <w:rsid w:val="7B0703E4"/>
    <w:rsid w:val="7B07160A"/>
    <w:rsid w:val="7B08042F"/>
    <w:rsid w:val="7B094768"/>
    <w:rsid w:val="7B0A57DF"/>
    <w:rsid w:val="7B0C2205"/>
    <w:rsid w:val="7B0F7299"/>
    <w:rsid w:val="7B136D89"/>
    <w:rsid w:val="7B14631A"/>
    <w:rsid w:val="7B152B01"/>
    <w:rsid w:val="7B187EFC"/>
    <w:rsid w:val="7B193C74"/>
    <w:rsid w:val="7B1D03E0"/>
    <w:rsid w:val="7B1D5512"/>
    <w:rsid w:val="7B1D7C08"/>
    <w:rsid w:val="7B220D7A"/>
    <w:rsid w:val="7B252618"/>
    <w:rsid w:val="7B272834"/>
    <w:rsid w:val="7B30793B"/>
    <w:rsid w:val="7B310FBD"/>
    <w:rsid w:val="7B3665D4"/>
    <w:rsid w:val="7B3B008E"/>
    <w:rsid w:val="7B3D5BB4"/>
    <w:rsid w:val="7B3F215F"/>
    <w:rsid w:val="7B44146F"/>
    <w:rsid w:val="7B494559"/>
    <w:rsid w:val="7B4A3BA0"/>
    <w:rsid w:val="7B4C229B"/>
    <w:rsid w:val="7B500D50"/>
    <w:rsid w:val="7B533629"/>
    <w:rsid w:val="7B553884"/>
    <w:rsid w:val="7B5659AB"/>
    <w:rsid w:val="7B580C40"/>
    <w:rsid w:val="7B5B6B6F"/>
    <w:rsid w:val="7B5F5B2A"/>
    <w:rsid w:val="7B637EF6"/>
    <w:rsid w:val="7B6716D6"/>
    <w:rsid w:val="7B6C0247"/>
    <w:rsid w:val="7B6E0463"/>
    <w:rsid w:val="7B7150AC"/>
    <w:rsid w:val="7B7315D6"/>
    <w:rsid w:val="7B7470FC"/>
    <w:rsid w:val="7B767819"/>
    <w:rsid w:val="7B786BEC"/>
    <w:rsid w:val="7B7B492E"/>
    <w:rsid w:val="7B7D06A6"/>
    <w:rsid w:val="7B827A6B"/>
    <w:rsid w:val="7B881B73"/>
    <w:rsid w:val="7B892BA7"/>
    <w:rsid w:val="7B8B19FA"/>
    <w:rsid w:val="7B8F3F36"/>
    <w:rsid w:val="7B95779E"/>
    <w:rsid w:val="7B9A1258"/>
    <w:rsid w:val="7B9B3C9F"/>
    <w:rsid w:val="7B9F061D"/>
    <w:rsid w:val="7BA9149B"/>
    <w:rsid w:val="7BB2023F"/>
    <w:rsid w:val="7BB3231A"/>
    <w:rsid w:val="7BB5399C"/>
    <w:rsid w:val="7BB73BB8"/>
    <w:rsid w:val="7BB816DF"/>
    <w:rsid w:val="7BB868A3"/>
    <w:rsid w:val="7BBAB0B1"/>
    <w:rsid w:val="7BC02341"/>
    <w:rsid w:val="7BC566B5"/>
    <w:rsid w:val="7BC65BA9"/>
    <w:rsid w:val="7BC71922"/>
    <w:rsid w:val="7BC97C07"/>
    <w:rsid w:val="7BCB1412"/>
    <w:rsid w:val="7BD018BD"/>
    <w:rsid w:val="7BD53E33"/>
    <w:rsid w:val="7BE129E3"/>
    <w:rsid w:val="7BE1474D"/>
    <w:rsid w:val="7BE81FC4"/>
    <w:rsid w:val="7BE97AEA"/>
    <w:rsid w:val="7BEB03D0"/>
    <w:rsid w:val="7BEB1AB4"/>
    <w:rsid w:val="7BEC1388"/>
    <w:rsid w:val="7BF02BDC"/>
    <w:rsid w:val="7BF02C26"/>
    <w:rsid w:val="7BF449BC"/>
    <w:rsid w:val="7BF678AB"/>
    <w:rsid w:val="7BF70459"/>
    <w:rsid w:val="7BF70DA3"/>
    <w:rsid w:val="7BF77F9C"/>
    <w:rsid w:val="7BFA3AA5"/>
    <w:rsid w:val="7BFD3595"/>
    <w:rsid w:val="7BFD8BAE"/>
    <w:rsid w:val="7BFE6897"/>
    <w:rsid w:val="7BFF2E69"/>
    <w:rsid w:val="7C044924"/>
    <w:rsid w:val="7C06069C"/>
    <w:rsid w:val="7C070A3C"/>
    <w:rsid w:val="7C0B180E"/>
    <w:rsid w:val="7C1103AD"/>
    <w:rsid w:val="7C13614C"/>
    <w:rsid w:val="7C176405"/>
    <w:rsid w:val="7C18217D"/>
    <w:rsid w:val="7C1A7CA3"/>
    <w:rsid w:val="7C1F1D42"/>
    <w:rsid w:val="7C2428D0"/>
    <w:rsid w:val="7C26489A"/>
    <w:rsid w:val="7C292765"/>
    <w:rsid w:val="7C29438A"/>
    <w:rsid w:val="7C296138"/>
    <w:rsid w:val="7C2A25DC"/>
    <w:rsid w:val="7C2D7B4B"/>
    <w:rsid w:val="7C30230D"/>
    <w:rsid w:val="7C3074C7"/>
    <w:rsid w:val="7C322B65"/>
    <w:rsid w:val="7C39281F"/>
    <w:rsid w:val="7C395948"/>
    <w:rsid w:val="7C3C40BE"/>
    <w:rsid w:val="7C3E7E36"/>
    <w:rsid w:val="7C404FA4"/>
    <w:rsid w:val="7C417926"/>
    <w:rsid w:val="7C4411C4"/>
    <w:rsid w:val="7C463BFD"/>
    <w:rsid w:val="7C4D62CB"/>
    <w:rsid w:val="7C5036C5"/>
    <w:rsid w:val="7C5238E1"/>
    <w:rsid w:val="7C554B45"/>
    <w:rsid w:val="7C63164A"/>
    <w:rsid w:val="7C66113B"/>
    <w:rsid w:val="7C661618"/>
    <w:rsid w:val="7C676019"/>
    <w:rsid w:val="7C6A0C2B"/>
    <w:rsid w:val="7C6C6DE8"/>
    <w:rsid w:val="7C6F6241"/>
    <w:rsid w:val="7C792C1C"/>
    <w:rsid w:val="7C7A4799"/>
    <w:rsid w:val="7C7B2D31"/>
    <w:rsid w:val="7C7F3FAA"/>
    <w:rsid w:val="7C815F74"/>
    <w:rsid w:val="7C817D22"/>
    <w:rsid w:val="7C8617DD"/>
    <w:rsid w:val="7C86358B"/>
    <w:rsid w:val="7C8A4E29"/>
    <w:rsid w:val="7C8B6DF3"/>
    <w:rsid w:val="7C9061B7"/>
    <w:rsid w:val="7C95557C"/>
    <w:rsid w:val="7C9A4D3C"/>
    <w:rsid w:val="7C9F63FA"/>
    <w:rsid w:val="7CA37C99"/>
    <w:rsid w:val="7CAA1027"/>
    <w:rsid w:val="7CB41EA6"/>
    <w:rsid w:val="7CB43C54"/>
    <w:rsid w:val="7CB71996"/>
    <w:rsid w:val="7CB77BE8"/>
    <w:rsid w:val="7CC24F00"/>
    <w:rsid w:val="7CC32B00"/>
    <w:rsid w:val="7CC540B3"/>
    <w:rsid w:val="7CC876FF"/>
    <w:rsid w:val="7CCA3477"/>
    <w:rsid w:val="7CCC301E"/>
    <w:rsid w:val="7CCC3693"/>
    <w:rsid w:val="7CCD2F68"/>
    <w:rsid w:val="7CCF0A8E"/>
    <w:rsid w:val="7CD12A58"/>
    <w:rsid w:val="7CD24A22"/>
    <w:rsid w:val="7CD267D0"/>
    <w:rsid w:val="7CD82038"/>
    <w:rsid w:val="7CDC13FD"/>
    <w:rsid w:val="7CDD3AAA"/>
    <w:rsid w:val="7CDD764F"/>
    <w:rsid w:val="7CE107C1"/>
    <w:rsid w:val="7CE12272"/>
    <w:rsid w:val="7CE64029"/>
    <w:rsid w:val="7CED53B8"/>
    <w:rsid w:val="7CEF7382"/>
    <w:rsid w:val="7CF676BD"/>
    <w:rsid w:val="7D020E63"/>
    <w:rsid w:val="7D0264A7"/>
    <w:rsid w:val="7D036989"/>
    <w:rsid w:val="7D050953"/>
    <w:rsid w:val="7D0A41BC"/>
    <w:rsid w:val="7D0D15B6"/>
    <w:rsid w:val="7D0E5A5A"/>
    <w:rsid w:val="7D0F17D2"/>
    <w:rsid w:val="7D0F532E"/>
    <w:rsid w:val="7D11554A"/>
    <w:rsid w:val="7D1666BD"/>
    <w:rsid w:val="7D17D558"/>
    <w:rsid w:val="7D1868D9"/>
    <w:rsid w:val="7D1943FF"/>
    <w:rsid w:val="7D1B1F25"/>
    <w:rsid w:val="7D1D3EEF"/>
    <w:rsid w:val="7D225061"/>
    <w:rsid w:val="7D2749BA"/>
    <w:rsid w:val="7D276B1C"/>
    <w:rsid w:val="7D284642"/>
    <w:rsid w:val="7D285395"/>
    <w:rsid w:val="7D2863F0"/>
    <w:rsid w:val="7D2B21A0"/>
    <w:rsid w:val="7D2C7C8E"/>
    <w:rsid w:val="7D2F777E"/>
    <w:rsid w:val="7D341239"/>
    <w:rsid w:val="7D366D5F"/>
    <w:rsid w:val="7D3B25C7"/>
    <w:rsid w:val="7D3B4375"/>
    <w:rsid w:val="7D3D633F"/>
    <w:rsid w:val="7D4247F7"/>
    <w:rsid w:val="7D472D1A"/>
    <w:rsid w:val="7D4C0330"/>
    <w:rsid w:val="7D5611AF"/>
    <w:rsid w:val="7D584F27"/>
    <w:rsid w:val="7D5B0573"/>
    <w:rsid w:val="7D5B67C5"/>
    <w:rsid w:val="7D6032C7"/>
    <w:rsid w:val="7D627B54"/>
    <w:rsid w:val="7D6A4C5A"/>
    <w:rsid w:val="7D6C2781"/>
    <w:rsid w:val="7D731E9D"/>
    <w:rsid w:val="7D747887"/>
    <w:rsid w:val="7D7704CB"/>
    <w:rsid w:val="7D775054"/>
    <w:rsid w:val="7D7D04EA"/>
    <w:rsid w:val="7D7D69DD"/>
    <w:rsid w:val="7D7E4262"/>
    <w:rsid w:val="7D80447E"/>
    <w:rsid w:val="7D8A0E59"/>
    <w:rsid w:val="7D8A2C07"/>
    <w:rsid w:val="7D8F646F"/>
    <w:rsid w:val="7D9121E7"/>
    <w:rsid w:val="7D943A85"/>
    <w:rsid w:val="7D951CD7"/>
    <w:rsid w:val="7D965A4F"/>
    <w:rsid w:val="7D9677FD"/>
    <w:rsid w:val="7D985324"/>
    <w:rsid w:val="7D985C79"/>
    <w:rsid w:val="7D9D0B8C"/>
    <w:rsid w:val="7D9F2B56"/>
    <w:rsid w:val="7D9F4904"/>
    <w:rsid w:val="7D9F66B2"/>
    <w:rsid w:val="7DA168CE"/>
    <w:rsid w:val="7DA500D2"/>
    <w:rsid w:val="7DA57A41"/>
    <w:rsid w:val="7DA86F10"/>
    <w:rsid w:val="7DAA5057"/>
    <w:rsid w:val="7DAE0FEB"/>
    <w:rsid w:val="7DB40DC0"/>
    <w:rsid w:val="7DB52379"/>
    <w:rsid w:val="7DB61C4E"/>
    <w:rsid w:val="7DBB1012"/>
    <w:rsid w:val="7DBC3708"/>
    <w:rsid w:val="7DC4436B"/>
    <w:rsid w:val="7DC720AD"/>
    <w:rsid w:val="7DC75C09"/>
    <w:rsid w:val="7DC8349B"/>
    <w:rsid w:val="7DC97BD3"/>
    <w:rsid w:val="7DCC1471"/>
    <w:rsid w:val="7DD1724D"/>
    <w:rsid w:val="7DD6409E"/>
    <w:rsid w:val="7DD65E4C"/>
    <w:rsid w:val="7DDA593C"/>
    <w:rsid w:val="7DDD71DA"/>
    <w:rsid w:val="7DE20C95"/>
    <w:rsid w:val="7DE241D2"/>
    <w:rsid w:val="7DE37223"/>
    <w:rsid w:val="7DE95B7F"/>
    <w:rsid w:val="7DEB2F31"/>
    <w:rsid w:val="7DEB49CB"/>
    <w:rsid w:val="7DEC566F"/>
    <w:rsid w:val="7DEF4551"/>
    <w:rsid w:val="7DF30FF9"/>
    <w:rsid w:val="7DF369FE"/>
    <w:rsid w:val="7DFC1D56"/>
    <w:rsid w:val="7E025A06"/>
    <w:rsid w:val="7E0429B9"/>
    <w:rsid w:val="7E0517EB"/>
    <w:rsid w:val="7E09203E"/>
    <w:rsid w:val="7E094473"/>
    <w:rsid w:val="7E0C032D"/>
    <w:rsid w:val="7E0D1A3A"/>
    <w:rsid w:val="7E0D60C0"/>
    <w:rsid w:val="7E0E6C5F"/>
    <w:rsid w:val="7E105802"/>
    <w:rsid w:val="7E1075B0"/>
    <w:rsid w:val="7E1C41A7"/>
    <w:rsid w:val="7E1D1694"/>
    <w:rsid w:val="7E1E7F1F"/>
    <w:rsid w:val="7E221091"/>
    <w:rsid w:val="7E2766A8"/>
    <w:rsid w:val="7E2C3CBE"/>
    <w:rsid w:val="7E327526"/>
    <w:rsid w:val="7E354CA6"/>
    <w:rsid w:val="7E372D8F"/>
    <w:rsid w:val="7E386B07"/>
    <w:rsid w:val="7E3A63DB"/>
    <w:rsid w:val="7E423D54"/>
    <w:rsid w:val="7E461224"/>
    <w:rsid w:val="7E474F81"/>
    <w:rsid w:val="7E494870"/>
    <w:rsid w:val="7E4C610E"/>
    <w:rsid w:val="7E555E71"/>
    <w:rsid w:val="7E576F8D"/>
    <w:rsid w:val="7E58240F"/>
    <w:rsid w:val="7E5A082B"/>
    <w:rsid w:val="7E63658E"/>
    <w:rsid w:val="7E657E8A"/>
    <w:rsid w:val="7E665422"/>
    <w:rsid w:val="7E682F48"/>
    <w:rsid w:val="7E6B47E6"/>
    <w:rsid w:val="7E6C3A4B"/>
    <w:rsid w:val="7E6D4632"/>
    <w:rsid w:val="7E6D67B0"/>
    <w:rsid w:val="7E7561C8"/>
    <w:rsid w:val="7E7F64E4"/>
    <w:rsid w:val="7E8458A8"/>
    <w:rsid w:val="7E8671C3"/>
    <w:rsid w:val="7E885398"/>
    <w:rsid w:val="7E8D1AEC"/>
    <w:rsid w:val="7E8F4979"/>
    <w:rsid w:val="7E9006F1"/>
    <w:rsid w:val="7E906943"/>
    <w:rsid w:val="7E9142D6"/>
    <w:rsid w:val="7E971A7F"/>
    <w:rsid w:val="7E9755DB"/>
    <w:rsid w:val="7E9F6CF0"/>
    <w:rsid w:val="7EA146AC"/>
    <w:rsid w:val="7EA1645A"/>
    <w:rsid w:val="7EA47CF8"/>
    <w:rsid w:val="7EA90920"/>
    <w:rsid w:val="7EAD12A3"/>
    <w:rsid w:val="7EAF501B"/>
    <w:rsid w:val="7EAF6DC9"/>
    <w:rsid w:val="7EB0669D"/>
    <w:rsid w:val="7EB47670"/>
    <w:rsid w:val="7EB663A9"/>
    <w:rsid w:val="7EBC09D3"/>
    <w:rsid w:val="7EBC7738"/>
    <w:rsid w:val="7EBD7593"/>
    <w:rsid w:val="7EC5039A"/>
    <w:rsid w:val="7EC64112"/>
    <w:rsid w:val="7EC65EC0"/>
    <w:rsid w:val="7EC806B7"/>
    <w:rsid w:val="7ED06D3F"/>
    <w:rsid w:val="7ED22AB7"/>
    <w:rsid w:val="7ED44A81"/>
    <w:rsid w:val="7ED607F9"/>
    <w:rsid w:val="7ED76320"/>
    <w:rsid w:val="7ED95BF4"/>
    <w:rsid w:val="7EDB6BD3"/>
    <w:rsid w:val="7EDC1B88"/>
    <w:rsid w:val="7EE10F4C"/>
    <w:rsid w:val="7EE57B5E"/>
    <w:rsid w:val="7EE60311"/>
    <w:rsid w:val="7EEB3B79"/>
    <w:rsid w:val="7EEC1DCB"/>
    <w:rsid w:val="7EED169F"/>
    <w:rsid w:val="7EF0118F"/>
    <w:rsid w:val="7EF44B03"/>
    <w:rsid w:val="7EF46901"/>
    <w:rsid w:val="7EF5E0E8"/>
    <w:rsid w:val="7EF667A6"/>
    <w:rsid w:val="7EF70770"/>
    <w:rsid w:val="7EF722B8"/>
    <w:rsid w:val="7EF94DF6"/>
    <w:rsid w:val="7EFE565A"/>
    <w:rsid w:val="7EFF10DC"/>
    <w:rsid w:val="7EFF88B3"/>
    <w:rsid w:val="7F010E3D"/>
    <w:rsid w:val="7F01339C"/>
    <w:rsid w:val="7F054C3B"/>
    <w:rsid w:val="7F0709B3"/>
    <w:rsid w:val="7F0D7F93"/>
    <w:rsid w:val="7F0F5AB9"/>
    <w:rsid w:val="7F0F7867"/>
    <w:rsid w:val="7F111831"/>
    <w:rsid w:val="7F121106"/>
    <w:rsid w:val="7F175D67"/>
    <w:rsid w:val="7F1C1F84"/>
    <w:rsid w:val="7F1C3D32"/>
    <w:rsid w:val="7F1E3F4E"/>
    <w:rsid w:val="7F1E5CFC"/>
    <w:rsid w:val="7F203823"/>
    <w:rsid w:val="7F3379FA"/>
    <w:rsid w:val="7F34107C"/>
    <w:rsid w:val="7F345520"/>
    <w:rsid w:val="7F3472CE"/>
    <w:rsid w:val="7F356A91"/>
    <w:rsid w:val="7F3D2627"/>
    <w:rsid w:val="7F3D2B36"/>
    <w:rsid w:val="7F3D43D5"/>
    <w:rsid w:val="7F3E639F"/>
    <w:rsid w:val="7F402117"/>
    <w:rsid w:val="7F427C3D"/>
    <w:rsid w:val="7F4A08A0"/>
    <w:rsid w:val="7F4D48D6"/>
    <w:rsid w:val="7F504AD4"/>
    <w:rsid w:val="7F514D7B"/>
    <w:rsid w:val="7F516F7E"/>
    <w:rsid w:val="7F5259A6"/>
    <w:rsid w:val="7F590AE3"/>
    <w:rsid w:val="7F5B485B"/>
    <w:rsid w:val="7F5E259D"/>
    <w:rsid w:val="7F631961"/>
    <w:rsid w:val="7F660E00"/>
    <w:rsid w:val="7F7122D0"/>
    <w:rsid w:val="7F744857"/>
    <w:rsid w:val="7F7647EF"/>
    <w:rsid w:val="7F791185"/>
    <w:rsid w:val="7F7B314F"/>
    <w:rsid w:val="7F7B4EFD"/>
    <w:rsid w:val="7F7B6CAB"/>
    <w:rsid w:val="7F7D2A23"/>
    <w:rsid w:val="7F8042C1"/>
    <w:rsid w:val="7F835A8D"/>
    <w:rsid w:val="7F8738A2"/>
    <w:rsid w:val="7F8A5140"/>
    <w:rsid w:val="7F8D69DE"/>
    <w:rsid w:val="7F8E2E82"/>
    <w:rsid w:val="7F8FAD1E"/>
    <w:rsid w:val="7F930498"/>
    <w:rsid w:val="7F9935D5"/>
    <w:rsid w:val="7F9D1317"/>
    <w:rsid w:val="7FA426A6"/>
    <w:rsid w:val="7FA75CF2"/>
    <w:rsid w:val="7FAC50B6"/>
    <w:rsid w:val="7FAD19CF"/>
    <w:rsid w:val="7FB03369"/>
    <w:rsid w:val="7FB1091F"/>
    <w:rsid w:val="7FB791EF"/>
    <w:rsid w:val="7FBB354B"/>
    <w:rsid w:val="7FBD9663"/>
    <w:rsid w:val="7FC468A4"/>
    <w:rsid w:val="7FCB7C32"/>
    <w:rsid w:val="7FCC7507"/>
    <w:rsid w:val="7FCF096B"/>
    <w:rsid w:val="7FD0349B"/>
    <w:rsid w:val="7FD10FC1"/>
    <w:rsid w:val="7FD14B1D"/>
    <w:rsid w:val="7FD935D6"/>
    <w:rsid w:val="7FDD5BB8"/>
    <w:rsid w:val="7FDE7994"/>
    <w:rsid w:val="7FDFE070"/>
    <w:rsid w:val="7FE24F7C"/>
    <w:rsid w:val="7FE43E79"/>
    <w:rsid w:val="7FE82378"/>
    <w:rsid w:val="7FEA3E31"/>
    <w:rsid w:val="7FEA5BDF"/>
    <w:rsid w:val="7FF13411"/>
    <w:rsid w:val="7FF151BF"/>
    <w:rsid w:val="7FF5476F"/>
    <w:rsid w:val="7FF54CAF"/>
    <w:rsid w:val="7FF81994"/>
    <w:rsid w:val="7FFD6FCC"/>
    <w:rsid w:val="7FFE2A6A"/>
    <w:rsid w:val="7FFEFC4E"/>
    <w:rsid w:val="7FFF6EAB"/>
    <w:rsid w:val="8AF09BC0"/>
    <w:rsid w:val="8FDFD363"/>
    <w:rsid w:val="9CB8DA51"/>
    <w:rsid w:val="9E9BF541"/>
    <w:rsid w:val="A3FFD2A1"/>
    <w:rsid w:val="A66F8713"/>
    <w:rsid w:val="AEDF8846"/>
    <w:rsid w:val="AEF3FF8C"/>
    <w:rsid w:val="AFAA3FEC"/>
    <w:rsid w:val="B72B6833"/>
    <w:rsid w:val="B7FFF956"/>
    <w:rsid w:val="BCF62D82"/>
    <w:rsid w:val="BD3F20C8"/>
    <w:rsid w:val="BD793340"/>
    <w:rsid w:val="BDE78CF6"/>
    <w:rsid w:val="BF7F98D2"/>
    <w:rsid w:val="BFDF613A"/>
    <w:rsid w:val="CACC2E61"/>
    <w:rsid w:val="CEEBC840"/>
    <w:rsid w:val="D51ADEF2"/>
    <w:rsid w:val="D7FFD003"/>
    <w:rsid w:val="DBFBDE18"/>
    <w:rsid w:val="DDF6C529"/>
    <w:rsid w:val="DF6E0352"/>
    <w:rsid w:val="DF723907"/>
    <w:rsid w:val="DFA76F4E"/>
    <w:rsid w:val="DFFF8CB6"/>
    <w:rsid w:val="E55FC612"/>
    <w:rsid w:val="E6E71121"/>
    <w:rsid w:val="E9FFA90B"/>
    <w:rsid w:val="ED7B7AA9"/>
    <w:rsid w:val="EDDFCA76"/>
    <w:rsid w:val="EDFD1959"/>
    <w:rsid w:val="EDFDE15C"/>
    <w:rsid w:val="EFEED16A"/>
    <w:rsid w:val="EFFF606D"/>
    <w:rsid w:val="F03F1F69"/>
    <w:rsid w:val="F1B937D3"/>
    <w:rsid w:val="F3FEDD43"/>
    <w:rsid w:val="F4BB978F"/>
    <w:rsid w:val="F61F228C"/>
    <w:rsid w:val="F6EA65C4"/>
    <w:rsid w:val="F7D617F5"/>
    <w:rsid w:val="F7DD1D34"/>
    <w:rsid w:val="F7DF35C4"/>
    <w:rsid w:val="F7F439B4"/>
    <w:rsid w:val="F7F99A74"/>
    <w:rsid w:val="F7FF75D9"/>
    <w:rsid w:val="F7FFDEFC"/>
    <w:rsid w:val="F8DB8BE7"/>
    <w:rsid w:val="F9394B8E"/>
    <w:rsid w:val="F97F86C4"/>
    <w:rsid w:val="F9DFA9D4"/>
    <w:rsid w:val="FA643187"/>
    <w:rsid w:val="FBFF2DE3"/>
    <w:rsid w:val="FCB59A82"/>
    <w:rsid w:val="FCC2AC65"/>
    <w:rsid w:val="FCFBE359"/>
    <w:rsid w:val="FDCDA183"/>
    <w:rsid w:val="FDEDBEAE"/>
    <w:rsid w:val="FDFB5566"/>
    <w:rsid w:val="FF7B3435"/>
    <w:rsid w:val="FFBB735D"/>
    <w:rsid w:val="FFD9DDFB"/>
    <w:rsid w:val="FFDE36F9"/>
    <w:rsid w:val="FFE6A7C0"/>
    <w:rsid w:val="FFE75B27"/>
    <w:rsid w:val="FFFD5ED2"/>
    <w:rsid w:val="FFFF26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0" w:semiHidden="0" w:name="index 5"/>
    <w:lsdException w:qFormat="1" w:unhideWhenUsed="0" w:uiPriority="0" w:semiHidden="0"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1"/>
    <w:qFormat/>
    <w:uiPriority w:val="9"/>
    <w:pPr>
      <w:keepNext/>
      <w:keepLines/>
      <w:spacing w:before="340" w:after="330" w:line="578" w:lineRule="auto"/>
      <w:outlineLvl w:val="0"/>
    </w:pPr>
    <w:rPr>
      <w:rFonts w:eastAsia="黑体"/>
      <w:bCs/>
      <w:kern w:val="44"/>
      <w:sz w:val="32"/>
      <w:szCs w:val="44"/>
    </w:rPr>
  </w:style>
  <w:style w:type="paragraph" w:styleId="4">
    <w:name w:val="heading 2"/>
    <w:basedOn w:val="1"/>
    <w:next w:val="1"/>
    <w:link w:val="4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76"/>
    <w:semiHidden/>
    <w:unhideWhenUsed/>
    <w:qFormat/>
    <w:uiPriority w:val="9"/>
    <w:pPr>
      <w:keepNext/>
      <w:keepLines/>
      <w:spacing w:before="260" w:after="260" w:line="416" w:lineRule="auto"/>
      <w:outlineLvl w:val="2"/>
    </w:pPr>
    <w:rPr>
      <w:b/>
      <w:bCs/>
      <w:sz w:val="32"/>
      <w:szCs w:val="32"/>
    </w:rPr>
  </w:style>
  <w:style w:type="paragraph" w:styleId="6">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4"/>
    <w:unhideWhenUsed/>
    <w:qFormat/>
    <w:uiPriority w:val="99"/>
    <w:pPr>
      <w:spacing w:after="120"/>
    </w:pPr>
  </w:style>
  <w:style w:type="paragraph" w:styleId="7">
    <w:name w:val="Normal Indent"/>
    <w:basedOn w:val="1"/>
    <w:next w:val="1"/>
    <w:unhideWhenUsed/>
    <w:qFormat/>
    <w:uiPriority w:val="99"/>
    <w:pPr>
      <w:ind w:firstLine="420" w:firstLineChars="200"/>
    </w:pPr>
  </w:style>
  <w:style w:type="paragraph" w:styleId="8">
    <w:name w:val="caption"/>
    <w:basedOn w:val="1"/>
    <w:next w:val="1"/>
    <w:unhideWhenUsed/>
    <w:qFormat/>
    <w:uiPriority w:val="35"/>
    <w:rPr>
      <w:rFonts w:eastAsia="黑体" w:asciiTheme="majorHAnsi" w:hAnsiTheme="majorHAnsi" w:cstheme="majorBidi"/>
      <w:sz w:val="20"/>
      <w:szCs w:val="20"/>
    </w:rPr>
  </w:style>
  <w:style w:type="paragraph" w:styleId="9">
    <w:name w:val="index 5"/>
    <w:basedOn w:val="1"/>
    <w:next w:val="1"/>
    <w:qFormat/>
    <w:uiPriority w:val="0"/>
    <w:pPr>
      <w:ind w:left="1680"/>
    </w:pPr>
  </w:style>
  <w:style w:type="paragraph" w:styleId="10">
    <w:name w:val="annotation text"/>
    <w:basedOn w:val="1"/>
    <w:link w:val="43"/>
    <w:unhideWhenUsed/>
    <w:qFormat/>
    <w:uiPriority w:val="99"/>
    <w:pPr>
      <w:jc w:val="left"/>
    </w:pPr>
  </w:style>
  <w:style w:type="paragraph" w:styleId="11">
    <w:name w:val="index 6"/>
    <w:basedOn w:val="1"/>
    <w:next w:val="1"/>
    <w:qFormat/>
    <w:uiPriority w:val="0"/>
    <w:pPr>
      <w:ind w:left="1000" w:leftChars="1000"/>
    </w:pPr>
  </w:style>
  <w:style w:type="paragraph" w:styleId="12">
    <w:name w:val="Body Text Indent"/>
    <w:basedOn w:val="1"/>
    <w:qFormat/>
    <w:uiPriority w:val="0"/>
    <w:pPr>
      <w:spacing w:after="120" w:afterLines="0" w:afterAutospacing="0"/>
      <w:ind w:left="420" w:leftChars="200"/>
    </w:pPr>
  </w:style>
  <w:style w:type="paragraph" w:styleId="13">
    <w:name w:val="toc 3"/>
    <w:basedOn w:val="1"/>
    <w:next w:val="1"/>
    <w:unhideWhenUsed/>
    <w:qFormat/>
    <w:uiPriority w:val="39"/>
    <w:pPr>
      <w:ind w:left="840" w:leftChars="400"/>
    </w:pPr>
  </w:style>
  <w:style w:type="paragraph" w:styleId="14">
    <w:name w:val="Plain Text"/>
    <w:next w:val="1"/>
    <w:qFormat/>
    <w:uiPriority w:val="0"/>
    <w:pPr>
      <w:widowControl w:val="0"/>
      <w:jc w:val="both"/>
    </w:pPr>
    <w:rPr>
      <w:rFonts w:ascii="宋体" w:hAnsi="宋体" w:eastAsia="仿宋" w:cs="Times New Roman"/>
      <w:sz w:val="32"/>
      <w:szCs w:val="21"/>
      <w:lang w:val="en-US" w:eastAsia="zh-CN" w:bidi="ar-SA"/>
    </w:rPr>
  </w:style>
  <w:style w:type="paragraph" w:styleId="15">
    <w:name w:val="endnote text"/>
    <w:basedOn w:val="1"/>
    <w:link w:val="81"/>
    <w:semiHidden/>
    <w:unhideWhenUsed/>
    <w:qFormat/>
    <w:uiPriority w:val="99"/>
    <w:pPr>
      <w:snapToGrid w:val="0"/>
      <w:jc w:val="left"/>
    </w:pPr>
  </w:style>
  <w:style w:type="paragraph" w:styleId="16">
    <w:name w:val="Balloon Text"/>
    <w:basedOn w:val="1"/>
    <w:link w:val="45"/>
    <w:unhideWhenUsed/>
    <w:qFormat/>
    <w:uiPriority w:val="99"/>
    <w:rPr>
      <w:sz w:val="18"/>
      <w:szCs w:val="18"/>
    </w:rPr>
  </w:style>
  <w:style w:type="paragraph" w:styleId="17">
    <w:name w:val="footer"/>
    <w:basedOn w:val="1"/>
    <w:link w:val="46"/>
    <w:unhideWhenUsed/>
    <w:qFormat/>
    <w:uiPriority w:val="99"/>
    <w:pPr>
      <w:tabs>
        <w:tab w:val="center" w:pos="4153"/>
        <w:tab w:val="right" w:pos="8306"/>
      </w:tabs>
      <w:snapToGrid w:val="0"/>
      <w:jc w:val="left"/>
    </w:pPr>
    <w:rPr>
      <w:sz w:val="18"/>
      <w:szCs w:val="18"/>
    </w:rPr>
  </w:style>
  <w:style w:type="paragraph" w:styleId="18">
    <w:name w:val="header"/>
    <w:basedOn w:val="1"/>
    <w:link w:val="47"/>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tabs>
        <w:tab w:val="right" w:leader="dot" w:pos="8296"/>
      </w:tabs>
    </w:pPr>
    <w:rPr>
      <w:rFonts w:ascii="宋体" w:hAnsi="宋体" w:eastAsia="宋体"/>
      <w:b/>
      <w:bCs/>
      <w:sz w:val="32"/>
      <w:szCs w:val="32"/>
    </w:rPr>
  </w:style>
  <w:style w:type="paragraph" w:styleId="20">
    <w:name w:val="footnote text"/>
    <w:basedOn w:val="1"/>
    <w:link w:val="48"/>
    <w:unhideWhenUsed/>
    <w:qFormat/>
    <w:uiPriority w:val="99"/>
    <w:pPr>
      <w:snapToGrid w:val="0"/>
      <w:jc w:val="left"/>
    </w:pPr>
    <w:rPr>
      <w:sz w:val="18"/>
      <w:szCs w:val="18"/>
    </w:rPr>
  </w:style>
  <w:style w:type="paragraph" w:styleId="21">
    <w:name w:val="table of figures"/>
    <w:basedOn w:val="1"/>
    <w:next w:val="1"/>
    <w:unhideWhenUsed/>
    <w:qFormat/>
    <w:uiPriority w:val="99"/>
    <w:pPr>
      <w:ind w:left="200" w:leftChars="200" w:hanging="200" w:hangingChars="200"/>
    </w:pPr>
  </w:style>
  <w:style w:type="paragraph" w:styleId="22">
    <w:name w:val="toc 2"/>
    <w:basedOn w:val="1"/>
    <w:next w:val="1"/>
    <w:unhideWhenUsed/>
    <w:qFormat/>
    <w:uiPriority w:val="39"/>
    <w:pPr>
      <w:ind w:left="420" w:leftChars="200"/>
    </w:pPr>
  </w:style>
  <w:style w:type="paragraph" w:styleId="23">
    <w:name w:val="Body Text 2"/>
    <w:basedOn w:val="1"/>
    <w:unhideWhenUsed/>
    <w:qFormat/>
    <w:uiPriority w:val="99"/>
    <w:pPr>
      <w:spacing w:after="120" w:line="480" w:lineRule="auto"/>
    </w:pPr>
  </w:style>
  <w:style w:type="paragraph" w:styleId="24">
    <w:name w:val="HTML Preformatted"/>
    <w:basedOn w:val="1"/>
    <w:link w:val="4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25">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6">
    <w:name w:val="Title"/>
    <w:basedOn w:val="1"/>
    <w:next w:val="1"/>
    <w:qFormat/>
    <w:uiPriority w:val="0"/>
    <w:pPr>
      <w:spacing w:before="240" w:after="60"/>
      <w:jc w:val="center"/>
      <w:outlineLvl w:val="0"/>
    </w:pPr>
    <w:rPr>
      <w:rFonts w:eastAsia="宋体" w:asciiTheme="majorHAnsi" w:hAnsiTheme="majorHAnsi" w:cstheme="majorBidi"/>
      <w:b/>
      <w:bCs/>
      <w:sz w:val="32"/>
      <w:szCs w:val="32"/>
    </w:rPr>
  </w:style>
  <w:style w:type="paragraph" w:styleId="27">
    <w:name w:val="annotation subject"/>
    <w:basedOn w:val="10"/>
    <w:next w:val="10"/>
    <w:link w:val="50"/>
    <w:semiHidden/>
    <w:qFormat/>
    <w:uiPriority w:val="99"/>
    <w:rPr>
      <w:rFonts w:ascii="Calibri" w:hAnsi="Calibri" w:eastAsia="宋体" w:cs="Calibri"/>
      <w:b/>
      <w:bCs/>
      <w:szCs w:val="21"/>
    </w:rPr>
  </w:style>
  <w:style w:type="paragraph" w:styleId="28">
    <w:name w:val="Body Text First Indent"/>
    <w:basedOn w:val="2"/>
    <w:link w:val="51"/>
    <w:unhideWhenUsed/>
    <w:qFormat/>
    <w:uiPriority w:val="99"/>
    <w:pPr>
      <w:ind w:firstLine="420" w:firstLineChars="100"/>
    </w:pPr>
    <w:rPr>
      <w:rFonts w:hint="eastAsia" w:ascii="等线" w:hAnsi="等线" w:eastAsia="等线" w:cs="Times New Roman"/>
      <w:szCs w:val="21"/>
    </w:rPr>
  </w:style>
  <w:style w:type="paragraph" w:styleId="29">
    <w:name w:val="Body Text First Indent 2"/>
    <w:basedOn w:val="1"/>
    <w:next w:val="1"/>
    <w:qFormat/>
    <w:uiPriority w:val="0"/>
    <w:rPr>
      <w:rFonts w:ascii="Times New Roman" w:hAnsi="Times New Roman"/>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rPr>
  </w:style>
  <w:style w:type="character" w:styleId="34">
    <w:name w:val="endnote reference"/>
    <w:basedOn w:val="32"/>
    <w:semiHidden/>
    <w:unhideWhenUsed/>
    <w:qFormat/>
    <w:uiPriority w:val="99"/>
    <w:rPr>
      <w:vertAlign w:val="superscript"/>
    </w:rPr>
  </w:style>
  <w:style w:type="character" w:styleId="35">
    <w:name w:val="page number"/>
    <w:basedOn w:val="32"/>
    <w:qFormat/>
    <w:uiPriority w:val="0"/>
  </w:style>
  <w:style w:type="character" w:styleId="36">
    <w:name w:val="Hyperlink"/>
    <w:basedOn w:val="32"/>
    <w:unhideWhenUsed/>
    <w:qFormat/>
    <w:uiPriority w:val="99"/>
    <w:rPr>
      <w:color w:val="0563C1" w:themeColor="hyperlink"/>
      <w:u w:val="single"/>
      <w14:textFill>
        <w14:solidFill>
          <w14:schemeClr w14:val="hlink"/>
        </w14:solidFill>
      </w14:textFill>
    </w:rPr>
  </w:style>
  <w:style w:type="character" w:styleId="37">
    <w:name w:val="annotation reference"/>
    <w:basedOn w:val="32"/>
    <w:semiHidden/>
    <w:unhideWhenUsed/>
    <w:qFormat/>
    <w:uiPriority w:val="99"/>
    <w:rPr>
      <w:sz w:val="21"/>
      <w:szCs w:val="21"/>
    </w:rPr>
  </w:style>
  <w:style w:type="character" w:styleId="38">
    <w:name w:val="footnote reference"/>
    <w:basedOn w:val="32"/>
    <w:unhideWhenUsed/>
    <w:qFormat/>
    <w:uiPriority w:val="99"/>
    <w:rPr>
      <w:vertAlign w:val="superscript"/>
    </w:rPr>
  </w:style>
  <w:style w:type="paragraph" w:customStyle="1" w:styleId="39">
    <w:name w:val="常用样式（方正仿宋简）"/>
    <w:basedOn w:val="1"/>
    <w:next w:val="1"/>
    <w:qFormat/>
    <w:uiPriority w:val="99"/>
    <w:pPr>
      <w:spacing w:line="560" w:lineRule="exact"/>
      <w:ind w:firstLine="640" w:firstLineChars="200"/>
    </w:pPr>
    <w:rPr>
      <w:rFonts w:eastAsia="方正仿宋简体"/>
      <w:sz w:val="32"/>
      <w:szCs w:val="32"/>
    </w:rPr>
  </w:style>
  <w:style w:type="paragraph" w:customStyle="1" w:styleId="40">
    <w:name w:val="footer1"/>
    <w:basedOn w:val="1"/>
    <w:qFormat/>
    <w:uiPriority w:val="99"/>
    <w:pPr>
      <w:tabs>
        <w:tab w:val="center" w:pos="4153"/>
        <w:tab w:val="right" w:pos="8306"/>
      </w:tabs>
      <w:snapToGrid w:val="0"/>
      <w:jc w:val="left"/>
    </w:pPr>
    <w:rPr>
      <w:sz w:val="18"/>
    </w:rPr>
  </w:style>
  <w:style w:type="character" w:customStyle="1" w:styleId="41">
    <w:name w:val="标题 1 字符"/>
    <w:basedOn w:val="32"/>
    <w:link w:val="3"/>
    <w:qFormat/>
    <w:uiPriority w:val="9"/>
    <w:rPr>
      <w:rFonts w:eastAsia="黑体" w:asciiTheme="minorHAnsi" w:hAnsiTheme="minorHAnsi" w:cstheme="minorBidi"/>
      <w:bCs/>
      <w:kern w:val="44"/>
      <w:sz w:val="32"/>
      <w:szCs w:val="44"/>
    </w:rPr>
  </w:style>
  <w:style w:type="character" w:customStyle="1" w:styleId="42">
    <w:name w:val="标题 2 字符"/>
    <w:basedOn w:val="32"/>
    <w:link w:val="4"/>
    <w:qFormat/>
    <w:uiPriority w:val="9"/>
    <w:rPr>
      <w:rFonts w:asciiTheme="majorHAnsi" w:hAnsiTheme="majorHAnsi" w:eastAsiaTheme="majorEastAsia" w:cstheme="majorBidi"/>
      <w:b/>
      <w:bCs/>
      <w:kern w:val="2"/>
      <w:sz w:val="32"/>
      <w:szCs w:val="32"/>
    </w:rPr>
  </w:style>
  <w:style w:type="character" w:customStyle="1" w:styleId="43">
    <w:name w:val="批注文字 字符"/>
    <w:basedOn w:val="32"/>
    <w:link w:val="10"/>
    <w:semiHidden/>
    <w:qFormat/>
    <w:uiPriority w:val="99"/>
    <w:rPr>
      <w:rFonts w:asciiTheme="minorHAnsi" w:hAnsiTheme="minorHAnsi" w:eastAsiaTheme="minorEastAsia" w:cstheme="minorBidi"/>
      <w:kern w:val="2"/>
      <w:sz w:val="21"/>
      <w:szCs w:val="22"/>
    </w:rPr>
  </w:style>
  <w:style w:type="character" w:customStyle="1" w:styleId="44">
    <w:name w:val="正文文本 字符"/>
    <w:basedOn w:val="32"/>
    <w:link w:val="2"/>
    <w:qFormat/>
    <w:uiPriority w:val="99"/>
    <w:rPr>
      <w:rFonts w:asciiTheme="minorHAnsi" w:hAnsiTheme="minorHAnsi" w:eastAsiaTheme="minorEastAsia" w:cstheme="minorBidi"/>
      <w:kern w:val="2"/>
      <w:sz w:val="21"/>
      <w:szCs w:val="22"/>
    </w:rPr>
  </w:style>
  <w:style w:type="character" w:customStyle="1" w:styleId="45">
    <w:name w:val="批注框文本 字符"/>
    <w:basedOn w:val="32"/>
    <w:link w:val="16"/>
    <w:semiHidden/>
    <w:qFormat/>
    <w:uiPriority w:val="99"/>
    <w:rPr>
      <w:rFonts w:asciiTheme="minorHAnsi" w:hAnsiTheme="minorHAnsi" w:eastAsiaTheme="minorEastAsia" w:cstheme="minorBidi"/>
      <w:kern w:val="2"/>
      <w:sz w:val="18"/>
      <w:szCs w:val="18"/>
    </w:rPr>
  </w:style>
  <w:style w:type="character" w:customStyle="1" w:styleId="46">
    <w:name w:val="页脚 字符"/>
    <w:basedOn w:val="32"/>
    <w:link w:val="17"/>
    <w:qFormat/>
    <w:uiPriority w:val="99"/>
    <w:rPr>
      <w:sz w:val="18"/>
      <w:szCs w:val="18"/>
    </w:rPr>
  </w:style>
  <w:style w:type="character" w:customStyle="1" w:styleId="47">
    <w:name w:val="页眉 字符"/>
    <w:basedOn w:val="32"/>
    <w:link w:val="18"/>
    <w:qFormat/>
    <w:uiPriority w:val="99"/>
    <w:rPr>
      <w:sz w:val="18"/>
      <w:szCs w:val="18"/>
    </w:rPr>
  </w:style>
  <w:style w:type="character" w:customStyle="1" w:styleId="48">
    <w:name w:val="脚注文本 字符"/>
    <w:basedOn w:val="32"/>
    <w:link w:val="20"/>
    <w:qFormat/>
    <w:uiPriority w:val="99"/>
    <w:rPr>
      <w:sz w:val="18"/>
      <w:szCs w:val="18"/>
    </w:rPr>
  </w:style>
  <w:style w:type="character" w:customStyle="1" w:styleId="49">
    <w:name w:val="HTML 预设格式 字符"/>
    <w:basedOn w:val="32"/>
    <w:link w:val="24"/>
    <w:qFormat/>
    <w:uiPriority w:val="0"/>
    <w:rPr>
      <w:rFonts w:ascii="宋体" w:hAnsi="宋体" w:cs="宋体"/>
      <w:sz w:val="24"/>
      <w:szCs w:val="24"/>
    </w:rPr>
  </w:style>
  <w:style w:type="character" w:customStyle="1" w:styleId="50">
    <w:name w:val="批注主题 字符"/>
    <w:basedOn w:val="43"/>
    <w:link w:val="27"/>
    <w:semiHidden/>
    <w:qFormat/>
    <w:uiPriority w:val="99"/>
    <w:rPr>
      <w:rFonts w:ascii="Calibri" w:hAnsi="Calibri" w:cs="Calibri" w:eastAsiaTheme="minorEastAsia"/>
      <w:b/>
      <w:bCs/>
      <w:kern w:val="2"/>
      <w:sz w:val="21"/>
      <w:szCs w:val="21"/>
    </w:rPr>
  </w:style>
  <w:style w:type="character" w:customStyle="1" w:styleId="51">
    <w:name w:val="正文首行缩进 字符"/>
    <w:basedOn w:val="44"/>
    <w:link w:val="28"/>
    <w:qFormat/>
    <w:uiPriority w:val="99"/>
    <w:rPr>
      <w:rFonts w:asciiTheme="minorHAnsi" w:hAnsiTheme="minorHAnsi" w:eastAsiaTheme="minorEastAsia" w:cstheme="minorBidi"/>
      <w:kern w:val="2"/>
      <w:sz w:val="21"/>
      <w:szCs w:val="22"/>
    </w:rPr>
  </w:style>
  <w:style w:type="paragraph" w:customStyle="1" w:styleId="52">
    <w:name w:val="内容"/>
    <w:basedOn w:val="1"/>
    <w:link w:val="53"/>
    <w:qFormat/>
    <w:uiPriority w:val="0"/>
    <w:pPr>
      <w:ind w:firstLine="200" w:firstLineChars="200"/>
    </w:pPr>
    <w:rPr>
      <w:rFonts w:ascii="宋体" w:hAnsi="宋体" w:eastAsia="宋体" w:cs="宋体"/>
      <w:b/>
      <w:bCs/>
      <w:kern w:val="0"/>
      <w:sz w:val="24"/>
      <w:szCs w:val="24"/>
    </w:rPr>
  </w:style>
  <w:style w:type="character" w:customStyle="1" w:styleId="53">
    <w:name w:val="内容 字符"/>
    <w:link w:val="52"/>
    <w:qFormat/>
    <w:locked/>
    <w:uiPriority w:val="0"/>
    <w:rPr>
      <w:rFonts w:ascii="宋体" w:hAnsi="宋体" w:eastAsia="宋体" w:cs="宋体"/>
      <w:b/>
      <w:bCs/>
      <w:kern w:val="0"/>
      <w:sz w:val="24"/>
      <w:szCs w:val="24"/>
    </w:rPr>
  </w:style>
  <w:style w:type="table" w:customStyle="1" w:styleId="54">
    <w:name w:val="网格表 1 浅色 - 着色 51"/>
    <w:basedOn w:val="30"/>
    <w:qFormat/>
    <w:uiPriority w:val="46"/>
    <w:tblPr>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cPr>
        <w:tcBorders>
          <w:bottom w:val="single" w:color="9CC2E5" w:themeColor="accent5" w:themeTint="99" w:sz="12" w:space="0"/>
        </w:tcBorders>
      </w:tcPr>
    </w:tblStylePr>
    <w:tblStylePr w:type="lastRow">
      <w:rPr>
        <w:b/>
        <w:bCs/>
      </w:rPr>
      <w:tcPr>
        <w:tcBorders>
          <w:top w:val="double" w:color="9CC2E5" w:themeColor="accent5" w:themeTint="99" w:sz="2" w:space="0"/>
        </w:tcBorders>
      </w:tcPr>
    </w:tblStylePr>
    <w:tblStylePr w:type="firstCol">
      <w:rPr>
        <w:b/>
        <w:bCs/>
      </w:rPr>
    </w:tblStylePr>
    <w:tblStylePr w:type="lastCol">
      <w:rPr>
        <w:b/>
        <w:bCs/>
      </w:rPr>
    </w:tblStylePr>
  </w:style>
  <w:style w:type="paragraph" w:customStyle="1" w:styleId="55">
    <w:name w:val="正文的文本"/>
    <w:basedOn w:val="1"/>
    <w:qFormat/>
    <w:uiPriority w:val="99"/>
    <w:pPr>
      <w:ind w:firstLine="200" w:firstLineChars="200"/>
    </w:pPr>
    <w:rPr>
      <w:rFonts w:ascii="仿宋_GB2312" w:hAnsi="宋体" w:eastAsia="仿宋_GB2312" w:cs="Times New Roman"/>
      <w:sz w:val="28"/>
      <w:szCs w:val="20"/>
    </w:rPr>
  </w:style>
  <w:style w:type="paragraph" w:customStyle="1" w:styleId="56">
    <w:name w:val="二级标题"/>
    <w:basedOn w:val="57"/>
    <w:link w:val="59"/>
    <w:qFormat/>
    <w:uiPriority w:val="99"/>
    <w:pPr>
      <w:outlineLvl w:val="1"/>
    </w:pPr>
    <w:rPr>
      <w:rFonts w:eastAsia="宋体"/>
    </w:rPr>
  </w:style>
  <w:style w:type="paragraph" w:customStyle="1" w:styleId="57">
    <w:name w:val="一级标题"/>
    <w:basedOn w:val="4"/>
    <w:link w:val="58"/>
    <w:qFormat/>
    <w:uiPriority w:val="99"/>
    <w:pPr>
      <w:spacing w:line="240" w:lineRule="auto"/>
      <w:ind w:firstLine="200" w:firstLineChars="200"/>
      <w:jc w:val="left"/>
      <w:outlineLvl w:val="0"/>
    </w:pPr>
    <w:rPr>
      <w:rFonts w:ascii="黑体" w:hAnsi="Cambria" w:eastAsia="黑体" w:cs="黑体"/>
      <w:kern w:val="0"/>
      <w:sz w:val="30"/>
      <w:szCs w:val="30"/>
    </w:rPr>
  </w:style>
  <w:style w:type="character" w:customStyle="1" w:styleId="58">
    <w:name w:val="一级标题 字符"/>
    <w:link w:val="57"/>
    <w:qFormat/>
    <w:locked/>
    <w:uiPriority w:val="99"/>
    <w:rPr>
      <w:rFonts w:ascii="黑体" w:hAnsi="Cambria" w:eastAsia="黑体" w:cs="黑体"/>
      <w:b/>
      <w:bCs/>
      <w:sz w:val="30"/>
      <w:szCs w:val="30"/>
    </w:rPr>
  </w:style>
  <w:style w:type="character" w:customStyle="1" w:styleId="59">
    <w:name w:val="二级标题 字符"/>
    <w:link w:val="56"/>
    <w:qFormat/>
    <w:locked/>
    <w:uiPriority w:val="99"/>
    <w:rPr>
      <w:rFonts w:ascii="黑体" w:hAnsi="Cambria" w:cs="黑体"/>
      <w:b/>
      <w:bCs/>
      <w:sz w:val="30"/>
      <w:szCs w:val="30"/>
    </w:rPr>
  </w:style>
  <w:style w:type="paragraph" w:customStyle="1" w:styleId="60">
    <w:name w:val="宋体"/>
    <w:basedOn w:val="1"/>
    <w:qFormat/>
    <w:uiPriority w:val="99"/>
  </w:style>
  <w:style w:type="paragraph" w:customStyle="1" w:styleId="61">
    <w:name w:val="正文1"/>
    <w:qFormat/>
    <w:uiPriority w:val="99"/>
    <w:pPr>
      <w:framePr w:wrap="around" w:vAnchor="margin" w:hAnchor="text" w:yAlign="top"/>
    </w:pPr>
    <w:rPr>
      <w:rFonts w:hint="eastAsia" w:ascii="Arial Unicode MS" w:hAnsi="Arial Unicode MS" w:eastAsia="Times New Roman" w:cs="Arial Unicode MS"/>
      <w:color w:val="000000"/>
      <w:sz w:val="24"/>
      <w:szCs w:val="24"/>
      <w:u w:color="000000"/>
      <w:lang w:val="zh-CN" w:eastAsia="zh-CN" w:bidi="ar-SA"/>
    </w:rPr>
  </w:style>
  <w:style w:type="paragraph" w:customStyle="1" w:styleId="62">
    <w:name w:val="正文 B"/>
    <w:qFormat/>
    <w:uiPriority w:val="99"/>
    <w:pPr>
      <w:framePr w:wrap="around" w:vAnchor="margin" w:hAnchor="text" w:yAlign="top"/>
    </w:pPr>
    <w:rPr>
      <w:rFonts w:hint="eastAsia" w:ascii="Arial Unicode MS" w:hAnsi="Arial Unicode MS" w:eastAsia="Arial Unicode MS" w:cs="Arial Unicode MS"/>
      <w:color w:val="000000"/>
      <w:sz w:val="24"/>
      <w:szCs w:val="24"/>
      <w:u w:color="000000"/>
      <w:lang w:val="zh-TW" w:eastAsia="zh-TW" w:bidi="ar-SA"/>
    </w:rPr>
  </w:style>
  <w:style w:type="paragraph" w:customStyle="1" w:styleId="63">
    <w:name w:val="WPSOffice手动目录 1"/>
    <w:qFormat/>
    <w:uiPriority w:val="99"/>
    <w:rPr>
      <w:rFonts w:ascii="Times New Roman" w:hAnsi="Times New Roman" w:eastAsia="宋体" w:cs="Times New Roman"/>
      <w:lang w:val="en-US" w:eastAsia="zh-CN" w:bidi="ar-SA"/>
    </w:rPr>
  </w:style>
  <w:style w:type="paragraph" w:customStyle="1" w:styleId="64">
    <w:name w:val="WPSOffice手动目录 2"/>
    <w:qFormat/>
    <w:uiPriority w:val="99"/>
    <w:pPr>
      <w:ind w:left="200" w:leftChars="200"/>
    </w:pPr>
    <w:rPr>
      <w:rFonts w:ascii="Times New Roman" w:hAnsi="Times New Roman" w:eastAsia="宋体" w:cs="Times New Roman"/>
      <w:lang w:val="en-US" w:eastAsia="zh-CN" w:bidi="ar-SA"/>
    </w:rPr>
  </w:style>
  <w:style w:type="paragraph" w:customStyle="1" w:styleId="65">
    <w:name w:val="WPSOffice手动目录 3"/>
    <w:qFormat/>
    <w:uiPriority w:val="99"/>
    <w:pPr>
      <w:ind w:left="400" w:leftChars="400"/>
    </w:pPr>
    <w:rPr>
      <w:rFonts w:ascii="Times New Roman" w:hAnsi="Times New Roman" w:eastAsia="宋体" w:cs="Times New Roman"/>
      <w:lang w:val="en-US" w:eastAsia="zh-CN" w:bidi="ar-SA"/>
    </w:rPr>
  </w:style>
  <w:style w:type="paragraph" w:customStyle="1" w:styleId="66">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Cs w:val="0"/>
      <w:color w:val="2F5597" w:themeColor="accent1" w:themeShade="BF"/>
      <w:kern w:val="0"/>
      <w:szCs w:val="32"/>
    </w:rPr>
  </w:style>
  <w:style w:type="character" w:customStyle="1" w:styleId="67">
    <w:name w:val="未处理的提及1"/>
    <w:basedOn w:val="32"/>
    <w:unhideWhenUsed/>
    <w:qFormat/>
    <w:uiPriority w:val="99"/>
    <w:rPr>
      <w:color w:val="605E5C"/>
      <w:shd w:val="clear" w:color="auto" w:fill="E1DFDD"/>
    </w:rPr>
  </w:style>
  <w:style w:type="paragraph" w:customStyle="1" w:styleId="68">
    <w:name w:val="章标题"/>
    <w:basedOn w:val="1"/>
    <w:next w:val="69"/>
    <w:qFormat/>
    <w:uiPriority w:val="99"/>
    <w:pPr>
      <w:spacing w:line="323" w:lineRule="atLeast"/>
      <w:ind w:right="-120"/>
      <w:jc w:val="center"/>
      <w:textAlignment w:val="baseline"/>
    </w:pPr>
    <w:rPr>
      <w:rFonts w:ascii="Times New Roman" w:hAnsi="Times New Roman" w:eastAsia="宋体" w:cs="Times New Roman"/>
      <w:color w:val="FF0000"/>
      <w:sz w:val="18"/>
      <w:szCs w:val="18"/>
    </w:rPr>
  </w:style>
  <w:style w:type="paragraph" w:customStyle="1" w:styleId="69">
    <w:name w:val="节标题"/>
    <w:basedOn w:val="1"/>
    <w:next w:val="1"/>
    <w:qFormat/>
    <w:uiPriority w:val="0"/>
    <w:pPr>
      <w:spacing w:line="289" w:lineRule="atLeast"/>
      <w:jc w:val="center"/>
      <w:textAlignment w:val="baseline"/>
    </w:pPr>
    <w:rPr>
      <w:sz w:val="28"/>
      <w:szCs w:val="28"/>
    </w:rPr>
  </w:style>
  <w:style w:type="paragraph" w:customStyle="1" w:styleId="70">
    <w:name w:val="Heading #5|1"/>
    <w:basedOn w:val="1"/>
    <w:qFormat/>
    <w:uiPriority w:val="99"/>
    <w:pPr>
      <w:spacing w:after="200"/>
      <w:jc w:val="center"/>
      <w:outlineLvl w:val="4"/>
    </w:pPr>
    <w:rPr>
      <w:rFonts w:ascii="宋体" w:hAnsi="宋体" w:eastAsia="宋体" w:cs="宋体"/>
      <w:b/>
      <w:bCs/>
      <w:sz w:val="44"/>
      <w:szCs w:val="44"/>
      <w:lang w:val="zh-TW" w:eastAsia="zh-TW" w:bidi="zh-TW"/>
    </w:rPr>
  </w:style>
  <w:style w:type="table" w:customStyle="1" w:styleId="71">
    <w:name w:val="网格表 5 深色 - 着色 11"/>
    <w:basedOn w:val="30"/>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cPr>
        <w:shd w:val="clear" w:color="auto" w:fill="B4C6E7" w:themeFill="accent1" w:themeFillTint="66"/>
      </w:tcPr>
    </w:tblStylePr>
    <w:tblStylePr w:type="band1Horz">
      <w:tcPr>
        <w:shd w:val="clear" w:color="auto" w:fill="B4C6E7" w:themeFill="accent1" w:themeFillTint="66"/>
      </w:tcPr>
    </w:tblStylePr>
  </w:style>
  <w:style w:type="table" w:customStyle="1" w:styleId="72">
    <w:name w:val="无格式表格 41"/>
    <w:basedOn w:val="30"/>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3">
    <w:name w:val="无格式表格 31"/>
    <w:basedOn w:val="30"/>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74">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character" w:customStyle="1" w:styleId="76">
    <w:name w:val="标题 3 字符"/>
    <w:basedOn w:val="32"/>
    <w:link w:val="5"/>
    <w:semiHidden/>
    <w:qFormat/>
    <w:uiPriority w:val="9"/>
    <w:rPr>
      <w:rFonts w:asciiTheme="minorHAnsi" w:hAnsiTheme="minorHAnsi" w:eastAsiaTheme="minorEastAsia" w:cstheme="minorBidi"/>
      <w:b/>
      <w:bCs/>
      <w:kern w:val="2"/>
      <w:sz w:val="32"/>
      <w:szCs w:val="32"/>
    </w:rPr>
  </w:style>
  <w:style w:type="character" w:customStyle="1" w:styleId="77">
    <w:name w:val="font11"/>
    <w:basedOn w:val="32"/>
    <w:qFormat/>
    <w:uiPriority w:val="0"/>
    <w:rPr>
      <w:rFonts w:hint="eastAsia" w:ascii="宋体" w:hAnsi="宋体" w:eastAsia="宋体" w:cs="宋体"/>
      <w:color w:val="000000"/>
      <w:sz w:val="22"/>
      <w:szCs w:val="22"/>
      <w:u w:val="none"/>
    </w:rPr>
  </w:style>
  <w:style w:type="character" w:customStyle="1" w:styleId="78">
    <w:name w:val="font01"/>
    <w:basedOn w:val="32"/>
    <w:qFormat/>
    <w:uiPriority w:val="0"/>
    <w:rPr>
      <w:rFonts w:hint="eastAsia" w:ascii="宋体" w:hAnsi="宋体" w:eastAsia="宋体" w:cs="宋体"/>
      <w:color w:val="000000"/>
      <w:sz w:val="18"/>
      <w:szCs w:val="18"/>
      <w:u w:val="none"/>
    </w:rPr>
  </w:style>
  <w:style w:type="character" w:customStyle="1" w:styleId="79">
    <w:name w:val="font21"/>
    <w:basedOn w:val="32"/>
    <w:qFormat/>
    <w:uiPriority w:val="0"/>
    <w:rPr>
      <w:rFonts w:hint="eastAsia" w:ascii="宋体" w:hAnsi="宋体" w:eastAsia="宋体" w:cs="宋体"/>
      <w:color w:val="000000"/>
      <w:sz w:val="18"/>
      <w:szCs w:val="18"/>
      <w:u w:val="none"/>
    </w:rPr>
  </w:style>
  <w:style w:type="table" w:customStyle="1" w:styleId="80">
    <w:name w:val="清单表 2 - 着色 11"/>
    <w:basedOn w:val="30"/>
    <w:qFormat/>
    <w:uiPriority w:val="47"/>
    <w:rPr>
      <w:rFonts w:asciiTheme="minorHAnsi" w:hAnsiTheme="minorHAnsi" w:eastAsiaTheme="minorEastAsia" w:cstheme="minorBidi"/>
      <w:kern w:val="2"/>
      <w:sz w:val="21"/>
      <w:szCs w:val="22"/>
    </w:rPr>
    <w:tblPr>
      <w:tblBorders>
        <w:top w:val="single" w:color="8EAADB" w:themeColor="accent1" w:themeTint="99" w:sz="4" w:space="0"/>
        <w:bottom w:val="single" w:color="8EAADB" w:themeColor="accent1" w:themeTint="99" w:sz="4" w:space="0"/>
        <w:insideH w:val="single" w:color="8EAADB"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character" w:customStyle="1" w:styleId="81">
    <w:name w:val="尾注文本 字符"/>
    <w:basedOn w:val="32"/>
    <w:link w:val="15"/>
    <w:semiHidden/>
    <w:qFormat/>
    <w:uiPriority w:val="99"/>
    <w:rPr>
      <w:rFonts w:asciiTheme="minorHAnsi" w:hAnsiTheme="minorHAnsi" w:eastAsiaTheme="minorEastAsia" w:cstheme="minorBidi"/>
      <w:kern w:val="2"/>
      <w:sz w:val="21"/>
      <w:szCs w:val="22"/>
    </w:rPr>
  </w:style>
  <w:style w:type="paragraph" w:customStyle="1" w:styleId="82">
    <w:name w:val="标题 31"/>
    <w:basedOn w:val="1"/>
    <w:qFormat/>
    <w:uiPriority w:val="1"/>
    <w:pPr>
      <w:ind w:left="823"/>
      <w:outlineLvl w:val="3"/>
    </w:pPr>
  </w:style>
  <w:style w:type="paragraph" w:customStyle="1" w:styleId="83">
    <w:name w:val="标题 41"/>
    <w:basedOn w:val="1"/>
    <w:qFormat/>
    <w:uiPriority w:val="1"/>
    <w:pPr>
      <w:outlineLvl w:val="4"/>
    </w:pPr>
    <w:rPr>
      <w:sz w:val="20"/>
      <w:szCs w:val="20"/>
    </w:rPr>
  </w:style>
  <w:style w:type="paragraph" w:customStyle="1" w:styleId="84">
    <w:name w:val="标题 11"/>
    <w:basedOn w:val="1"/>
    <w:qFormat/>
    <w:uiPriority w:val="1"/>
    <w:pPr>
      <w:ind w:left="18"/>
      <w:jc w:val="center"/>
      <w:outlineLvl w:val="1"/>
    </w:pPr>
    <w:rPr>
      <w:sz w:val="28"/>
      <w:szCs w:val="28"/>
    </w:rPr>
  </w:style>
  <w:style w:type="paragraph" w:styleId="85">
    <w:name w:val="List Paragraph"/>
    <w:basedOn w:val="1"/>
    <w:qFormat/>
    <w:uiPriority w:val="99"/>
    <w:pPr>
      <w:ind w:firstLine="420" w:firstLineChars="200"/>
    </w:pPr>
  </w:style>
  <w:style w:type="table" w:customStyle="1" w:styleId="86">
    <w:name w:val="清单表 1 浅色 - 着色 51"/>
    <w:basedOn w:val="30"/>
    <w:qFormat/>
    <w:uiPriority w:val="46"/>
    <w:tblStylePr w:type="firstRow">
      <w:rPr>
        <w:b/>
        <w:bCs/>
      </w:rPr>
      <w:tcPr>
        <w:tcBorders>
          <w:bottom w:val="single" w:color="9CC2E5" w:themeColor="accent5" w:themeTint="99" w:sz="4" w:space="0"/>
        </w:tcBorders>
      </w:tcPr>
    </w:tblStylePr>
    <w:tblStylePr w:type="lastRow">
      <w:rPr>
        <w:b/>
        <w:bCs/>
      </w:rPr>
      <w:tcPr>
        <w:tcBorders>
          <w:top w:val="single" w:color="9CC2E5" w:themeColor="accent5" w:themeTint="99"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87">
    <w:name w:val="清单表 1 浅色 - 着色 11"/>
    <w:basedOn w:val="30"/>
    <w:qFormat/>
    <w:uiPriority w:val="46"/>
    <w:tblPr>
      <w:tblBorders>
        <w:top w:val="single" w:color="8EAADB" w:themeColor="accent1" w:themeTint="99" w:sz="4" w:space="0"/>
        <w:bottom w:val="single" w:color="8EAADB" w:themeColor="accent1" w:themeTint="99" w:sz="4" w:space="0"/>
        <w:insideH w:val="single" w:color="8EAADB" w:themeColor="accent1" w:themeTint="99" w:sz="4" w:space="0"/>
      </w:tblBorders>
    </w:tblPr>
    <w:tblStylePr w:type="firstRow">
      <w:rPr>
        <w:b/>
        <w:bCs/>
      </w:rPr>
      <w:tcPr>
        <w:tcBorders>
          <w:bottom w:val="single" w:color="8EAADB" w:themeColor="accent1" w:themeTint="99" w:sz="4" w:space="0"/>
        </w:tcBorders>
      </w:tcPr>
    </w:tblStylePr>
    <w:tblStylePr w:type="lastRow">
      <w:rPr>
        <w:b/>
        <w:bCs/>
      </w:rPr>
      <w:tcPr>
        <w:tcBorders>
          <w:top w:val="single" w:color="8EAADB" w:themeColor="accent1" w:themeTint="99" w:sz="4" w:space="0"/>
        </w:tcBorders>
      </w:tc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paragraph" w:customStyle="1" w:styleId="88">
    <w:name w:val="标题 32"/>
    <w:basedOn w:val="1"/>
    <w:qFormat/>
    <w:uiPriority w:val="1"/>
    <w:pPr>
      <w:ind w:left="823"/>
      <w:outlineLvl w:val="3"/>
    </w:pPr>
  </w:style>
  <w:style w:type="paragraph" w:customStyle="1" w:styleId="89">
    <w:name w:val="标题 42"/>
    <w:basedOn w:val="1"/>
    <w:qFormat/>
    <w:uiPriority w:val="1"/>
    <w:pPr>
      <w:outlineLvl w:val="4"/>
    </w:pPr>
    <w:rPr>
      <w:sz w:val="20"/>
      <w:szCs w:val="20"/>
    </w:rPr>
  </w:style>
  <w:style w:type="paragraph" w:customStyle="1" w:styleId="90">
    <w:name w:val="标题 12"/>
    <w:basedOn w:val="1"/>
    <w:qFormat/>
    <w:uiPriority w:val="1"/>
    <w:pPr>
      <w:ind w:left="18"/>
      <w:jc w:val="center"/>
      <w:outlineLvl w:val="1"/>
    </w:pPr>
    <w:rPr>
      <w:sz w:val="28"/>
      <w:szCs w:val="28"/>
    </w:rPr>
  </w:style>
  <w:style w:type="table" w:customStyle="1" w:styleId="91">
    <w:name w:val="网格型1"/>
    <w:basedOn w:val="92"/>
    <w:qFormat/>
    <w:uiPriority w:val="0"/>
    <w:tblPr>
      <w:tblCellMar>
        <w:top w:w="0" w:type="dxa"/>
        <w:left w:w="0" w:type="dxa"/>
        <w:bottom w:w="0" w:type="dxa"/>
        <w:right w:w="0" w:type="dxa"/>
      </w:tblCellMar>
    </w:tblPr>
  </w:style>
  <w:style w:type="table" w:customStyle="1" w:styleId="92">
    <w:name w:val="普通表格1"/>
    <w:semiHidden/>
    <w:qFormat/>
    <w:uiPriority w:val="0"/>
    <w:tblPr>
      <w:tblCellMar>
        <w:top w:w="0" w:type="dxa"/>
        <w:left w:w="0" w:type="dxa"/>
        <w:bottom w:w="0" w:type="dxa"/>
        <w:right w:w="0" w:type="dxa"/>
      </w:tblCellMar>
    </w:tblPr>
  </w:style>
  <w:style w:type="paragraph" w:customStyle="1" w:styleId="93">
    <w:name w:val="biaoti3"/>
    <w:basedOn w:val="1"/>
    <w:qFormat/>
    <w:uiPriority w:val="0"/>
    <w:pPr>
      <w:ind w:firstLine="200" w:firstLineChars="200"/>
    </w:pPr>
    <w:rPr>
      <w:rFonts w:ascii="黑体" w:hAnsi="黑体" w:cs="黑体"/>
      <w:sz w:val="28"/>
      <w:szCs w:val="30"/>
    </w:rPr>
  </w:style>
  <w:style w:type="paragraph" w:customStyle="1" w:styleId="94">
    <w:name w:val="p16"/>
    <w:basedOn w:val="1"/>
    <w:qFormat/>
    <w:uiPriority w:val="0"/>
    <w:pPr>
      <w:widowControl/>
      <w:jc w:val="left"/>
    </w:pPr>
    <w:rPr>
      <w:rFonts w:ascii="宋体" w:hAnsi="宋体" w:cs="宋体"/>
      <w:kern w:val="0"/>
      <w:sz w:val="24"/>
    </w:rPr>
  </w:style>
  <w:style w:type="character" w:customStyle="1" w:styleId="95">
    <w:name w:val="font31"/>
    <w:basedOn w:val="32"/>
    <w:qFormat/>
    <w:uiPriority w:val="0"/>
    <w:rPr>
      <w:rFonts w:ascii="微软雅黑" w:hAnsi="微软雅黑" w:eastAsia="微软雅黑" w:cs="微软雅黑"/>
      <w:b/>
      <w:bCs/>
      <w:color w:val="000000"/>
      <w:sz w:val="18"/>
      <w:szCs w:val="18"/>
      <w:u w:val="none"/>
    </w:rPr>
  </w:style>
  <w:style w:type="character" w:customStyle="1" w:styleId="96">
    <w:name w:val="font51"/>
    <w:qFormat/>
    <w:uiPriority w:val="0"/>
    <w:rPr>
      <w:rFonts w:hint="eastAsia" w:ascii="宋体" w:hAnsi="宋体" w:eastAsia="宋体" w:cs="宋体"/>
      <w:b/>
      <w:bCs/>
      <w:color w:val="4BACC6"/>
      <w:sz w:val="22"/>
      <w:szCs w:val="22"/>
      <w:u w:val="none"/>
    </w:rPr>
  </w:style>
  <w:style w:type="character" w:customStyle="1" w:styleId="97">
    <w:name w:val="font91"/>
    <w:qFormat/>
    <w:uiPriority w:val="0"/>
    <w:rPr>
      <w:rFonts w:hint="default" w:ascii="Times New Roman" w:hAnsi="Times New Roman" w:cs="Times New Roman"/>
      <w:b/>
      <w:bCs/>
      <w:color w:val="4BACC6"/>
      <w:sz w:val="22"/>
      <w:szCs w:val="22"/>
      <w:u w:val="none"/>
    </w:rPr>
  </w:style>
  <w:style w:type="paragraph" w:customStyle="1" w:styleId="98">
    <w:name w:val="swan-rich-text-enhanced_swan-rich-text-enhanced-text-user-select"/>
    <w:basedOn w:val="1"/>
    <w:qFormat/>
    <w:uiPriority w:val="0"/>
    <w:pPr>
      <w:widowControl/>
      <w:jc w:val="left"/>
    </w:pPr>
    <w:rPr>
      <w:rFonts w:ascii="Times New Roman" w:hAnsi="Times New Roman" w:eastAsia="宋体" w:cs="Times New Roman"/>
      <w:kern w:val="0"/>
      <w:sz w:val="24"/>
      <w:szCs w:val="24"/>
    </w:rPr>
  </w:style>
  <w:style w:type="character" w:customStyle="1" w:styleId="99">
    <w:name w:val="swan-rich-text-enhanced_swan-rich-text-enhanced-text-user-select Character"/>
    <w:basedOn w:val="32"/>
    <w:qFormat/>
    <w:uiPriority w:val="0"/>
  </w:style>
  <w:style w:type="character" w:customStyle="1" w:styleId="100">
    <w:name w:val="font41"/>
    <w:basedOn w:val="32"/>
    <w:qFormat/>
    <w:uiPriority w:val="0"/>
    <w:rPr>
      <w:rFonts w:hint="eastAsia" w:ascii="宋体" w:hAnsi="宋体" w:eastAsia="宋体" w:cs="宋体"/>
      <w:b/>
      <w:bCs/>
      <w:color w:val="000000"/>
      <w:sz w:val="24"/>
      <w:szCs w:val="24"/>
      <w:u w:val="none"/>
    </w:rPr>
  </w:style>
  <w:style w:type="character" w:customStyle="1" w:styleId="101">
    <w:name w:val="NormalCharacter"/>
    <w:semiHidden/>
    <w:qFormat/>
    <w:uiPriority w:val="0"/>
    <w:rPr>
      <w:rFonts w:ascii="Tahoma" w:hAnsi="Tahoma" w:eastAsia="微软雅黑"/>
      <w:sz w:val="22"/>
      <w:szCs w:val="22"/>
      <w:lang w:val="en-US" w:eastAsia="zh-CN" w:bidi="ar-SA"/>
    </w:rPr>
  </w:style>
  <w:style w:type="paragraph" w:customStyle="1" w:styleId="102">
    <w:name w:val="p21"/>
    <w:basedOn w:val="1"/>
    <w:qFormat/>
    <w:uiPriority w:val="0"/>
    <w:pPr>
      <w:widowControl/>
      <w:spacing w:before="100" w:after="100"/>
      <w:jc w:val="left"/>
    </w:pPr>
    <w:rPr>
      <w:rFonts w:ascii="宋体" w:hAnsi="宋体" w:cs="宋体"/>
      <w:kern w:val="0"/>
      <w:sz w:val="24"/>
    </w:rPr>
  </w:style>
  <w:style w:type="character" w:customStyle="1" w:styleId="103">
    <w:name w:val="18"/>
    <w:basedOn w:val="32"/>
    <w:qFormat/>
    <w:uiPriority w:val="0"/>
    <w:rPr>
      <w:rFonts w:hint="default" w:ascii="Times New Roman" w:hAnsi="Times New Roman" w:cs="Times New Roman"/>
      <w:sz w:val="20"/>
      <w:szCs w:val="20"/>
    </w:rPr>
  </w:style>
  <w:style w:type="paragraph" w:customStyle="1" w:styleId="104">
    <w:name w:val="p23"/>
    <w:basedOn w:val="1"/>
    <w:qFormat/>
    <w:uiPriority w:val="0"/>
    <w:pPr>
      <w:widowControl/>
      <w:spacing w:before="100" w:after="100"/>
      <w:jc w:val="left"/>
    </w:pPr>
    <w:rPr>
      <w:rFonts w:ascii="宋体" w:hAnsi="宋体" w:cs="宋体"/>
      <w:kern w:val="0"/>
      <w:sz w:val="24"/>
    </w:rPr>
  </w:style>
  <w:style w:type="paragraph" w:customStyle="1" w:styleId="105">
    <w:name w:val="p24"/>
    <w:basedOn w:val="1"/>
    <w:qFormat/>
    <w:uiPriority w:val="0"/>
    <w:pPr>
      <w:widowControl/>
      <w:spacing w:before="100" w:after="100"/>
      <w:jc w:val="left"/>
    </w:pPr>
    <w:rPr>
      <w:rFonts w:ascii="宋体" w:hAnsi="宋体" w:cs="宋体"/>
      <w:kern w:val="0"/>
      <w:sz w:val="24"/>
    </w:rPr>
  </w:style>
  <w:style w:type="character" w:customStyle="1" w:styleId="106">
    <w:name w:val="font71"/>
    <w:qFormat/>
    <w:uiPriority w:val="0"/>
    <w:rPr>
      <w:rFonts w:ascii="仿宋_GB2312" w:eastAsia="仿宋_GB2312" w:cs="仿宋_GB2312"/>
      <w:color w:val="000000"/>
      <w:sz w:val="18"/>
      <w:szCs w:val="18"/>
      <w:u w:val="none"/>
    </w:rPr>
  </w:style>
  <w:style w:type="character" w:customStyle="1" w:styleId="107">
    <w:name w:val="font81"/>
    <w:qFormat/>
    <w:uiPriority w:val="0"/>
    <w:rPr>
      <w:rFonts w:hint="eastAsia" w:ascii="仿宋_GB2312" w:eastAsia="仿宋_GB2312" w:cs="仿宋_GB2312"/>
      <w:color w:val="FF0000"/>
      <w:sz w:val="18"/>
      <w:szCs w:val="18"/>
      <w:u w:val="none"/>
    </w:rPr>
  </w:style>
  <w:style w:type="table" w:customStyle="1" w:styleId="108">
    <w:name w:val="Table Normal"/>
    <w:semiHidden/>
    <w:unhideWhenUsed/>
    <w:qFormat/>
    <w:uiPriority w:val="0"/>
    <w:tblPr>
      <w:tblCellMar>
        <w:top w:w="0" w:type="dxa"/>
        <w:left w:w="0" w:type="dxa"/>
        <w:bottom w:w="0" w:type="dxa"/>
        <w:right w:w="0" w:type="dxa"/>
      </w:tblCellMar>
    </w:tblPr>
  </w:style>
  <w:style w:type="paragraph" w:customStyle="1" w:styleId="109">
    <w:name w:val="Body Text"/>
    <w:basedOn w:val="1"/>
    <w:qFormat/>
    <w:uiPriority w:val="0"/>
    <w:rPr>
      <w:rFonts w:ascii="Calibri" w:hAnsi="Calibri" w:eastAsia="宋体" w:cs="Times New Roman"/>
    </w:rPr>
  </w:style>
  <w:style w:type="paragraph" w:customStyle="1" w:styleId="110">
    <w:name w:val="样式 32 磅"/>
    <w:qFormat/>
    <w:uiPriority w:val="0"/>
    <w:pPr>
      <w:numPr>
        <w:ilvl w:val="0"/>
        <w:numId w:val="1"/>
      </w:numPr>
      <w:spacing w:before="62" w:beforeLines="20"/>
      <w:ind w:left="540" w:hanging="540"/>
      <w:textAlignment w:val="baseline"/>
      <w:outlineLvl w:val="0"/>
    </w:pPr>
    <w:rPr>
      <w:rFonts w:ascii="微软雅黑" w:hAnsi="Times New Roman" w:eastAsia="微软雅黑" w:cs="微软雅黑"/>
      <w:sz w:val="64"/>
      <w:szCs w:val="64"/>
      <w:lang w:val="en-US" w:eastAsia="zh-CN" w:bidi="ar-SA"/>
    </w:rPr>
  </w:style>
  <w:style w:type="paragraph" w:customStyle="1" w:styleId="111">
    <w:name w:val="Table Text"/>
    <w:basedOn w:val="1"/>
    <w:semiHidden/>
    <w:qFormat/>
    <w:uiPriority w:val="0"/>
    <w:rPr>
      <w:rFonts w:ascii="FangSong_GB2312" w:hAnsi="FangSong_GB2312" w:eastAsia="FangSong_GB2312" w:cs="FangSong_GB2312"/>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57.jpeg"/><Relationship Id="rId73" Type="http://schemas.openxmlformats.org/officeDocument/2006/relationships/image" Target="media/image56.jpeg"/><Relationship Id="rId72" Type="http://schemas.openxmlformats.org/officeDocument/2006/relationships/image" Target="media/image55.jpeg"/><Relationship Id="rId71" Type="http://schemas.openxmlformats.org/officeDocument/2006/relationships/image" Target="media/image54.jpeg"/><Relationship Id="rId70" Type="http://schemas.openxmlformats.org/officeDocument/2006/relationships/image" Target="media/image53.jpeg"/><Relationship Id="rId7" Type="http://schemas.openxmlformats.org/officeDocument/2006/relationships/footer" Target="footer2.xml"/><Relationship Id="rId69" Type="http://schemas.openxmlformats.org/officeDocument/2006/relationships/image" Target="media/image52.jpeg"/><Relationship Id="rId68" Type="http://schemas.openxmlformats.org/officeDocument/2006/relationships/image" Target="media/image51.jpeg"/><Relationship Id="rId67" Type="http://schemas.openxmlformats.org/officeDocument/2006/relationships/image" Target="media/image50.jpeg"/><Relationship Id="rId66" Type="http://schemas.openxmlformats.org/officeDocument/2006/relationships/image" Target="media/image49.jpeg"/><Relationship Id="rId65" Type="http://schemas.openxmlformats.org/officeDocument/2006/relationships/image" Target="media/image48.jpeg"/><Relationship Id="rId64" Type="http://schemas.openxmlformats.org/officeDocument/2006/relationships/image" Target="media/image47.png"/><Relationship Id="rId63" Type="http://schemas.openxmlformats.org/officeDocument/2006/relationships/image" Target="media/image46.jpeg"/><Relationship Id="rId62" Type="http://schemas.openxmlformats.org/officeDocument/2006/relationships/image" Target="media/image45.png"/><Relationship Id="rId61" Type="http://schemas.openxmlformats.org/officeDocument/2006/relationships/image" Target="media/image44.png"/><Relationship Id="rId60" Type="http://schemas.openxmlformats.org/officeDocument/2006/relationships/image" Target="media/image43.png"/><Relationship Id="rId6" Type="http://schemas.openxmlformats.org/officeDocument/2006/relationships/header" Target="header1.xml"/><Relationship Id="rId59" Type="http://schemas.openxmlformats.org/officeDocument/2006/relationships/image" Target="media/image42.png"/><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jpeg"/><Relationship Id="rId55" Type="http://schemas.openxmlformats.org/officeDocument/2006/relationships/image" Target="media/image38.jpeg"/><Relationship Id="rId54" Type="http://schemas.openxmlformats.org/officeDocument/2006/relationships/image" Target="media/image37.jpeg"/><Relationship Id="rId53" Type="http://schemas.openxmlformats.org/officeDocument/2006/relationships/image" Target="media/image36.jpeg"/><Relationship Id="rId52" Type="http://schemas.openxmlformats.org/officeDocument/2006/relationships/image" Target="media/image35.jpeg"/><Relationship Id="rId51" Type="http://schemas.openxmlformats.org/officeDocument/2006/relationships/image" Target="media/image34.png"/><Relationship Id="rId50" Type="http://schemas.openxmlformats.org/officeDocument/2006/relationships/image" Target="media/image33.jpeg"/><Relationship Id="rId5" Type="http://schemas.openxmlformats.org/officeDocument/2006/relationships/footer" Target="footer1.xml"/><Relationship Id="rId49" Type="http://schemas.openxmlformats.org/officeDocument/2006/relationships/image" Target="media/image32.jpeg"/><Relationship Id="rId48" Type="http://schemas.openxmlformats.org/officeDocument/2006/relationships/image" Target="media/image31.jpeg"/><Relationship Id="rId47" Type="http://schemas.openxmlformats.org/officeDocument/2006/relationships/image" Target="media/image30.jpeg"/><Relationship Id="rId46" Type="http://schemas.openxmlformats.org/officeDocument/2006/relationships/image" Target="media/image29.jpeg"/><Relationship Id="rId45" Type="http://schemas.openxmlformats.org/officeDocument/2006/relationships/image" Target="media/image28.jpeg"/><Relationship Id="rId44" Type="http://schemas.openxmlformats.org/officeDocument/2006/relationships/image" Target="media/image27.jpe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endnotes" Target="endnotes.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chart" Target="charts/chart6.xml"/><Relationship Id="rId27" Type="http://schemas.openxmlformats.org/officeDocument/2006/relationships/chart" Target="charts/chart5.xml"/><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5" Type="http://schemas.microsoft.com/office/2011/relationships/chartColorStyle" Target="colors2.xml"/><Relationship Id="rId4" Type="http://schemas.microsoft.com/office/2011/relationships/chartStyle" Target="style2.xml"/><Relationship Id="rId3" Type="http://schemas.openxmlformats.org/officeDocument/2006/relationships/image" Target="../media/image58.png"/><Relationship Id="rId2" Type="http://schemas.openxmlformats.org/officeDocument/2006/relationships/themeOverride" Target="../theme/themeOverride1.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themeOverride" Target="../theme/themeOverride2.xml"/><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col"/>
        <c:grouping val="clustered"/>
        <c:varyColors val="false"/>
        <c:ser>
          <c:idx val="0"/>
          <c:order val="0"/>
          <c:tx>
            <c:strRef>
              <c:f>Sheet1!$B$1</c:f>
              <c:strCache>
                <c:ptCount val="1"/>
                <c:pt idx="0">
                  <c:v>硕士研究生</c:v>
                </c:pt>
              </c:strCache>
            </c:strRef>
          </c:tx>
          <c:spPr>
            <a:blipFill rotWithShape="true">
              <a:blip xmlns:r="http://schemas.openxmlformats.org/officeDocument/2006/relationships" r:embed="rId3">
                <a:duotone>
                  <a:schemeClr val="accent1"/>
                  <a:prstClr val="white"/>
                </a:duotone>
              </a:blip>
              <a:stretch>
                <a:fillRect/>
              </a:stretch>
            </a:blipFill>
            <a:ln>
              <a:noFill/>
            </a:ln>
            <a:effectLst/>
          </c:spPr>
          <c:invertIfNegative val="false"/>
          <c:dLbls>
            <c:numFmt formatCode="General" sourceLinked="true"/>
            <c:spPr>
              <a:noFill/>
              <a:ln>
                <a:noFill/>
              </a:ln>
              <a:effectLst/>
            </c:spPr>
            <c:txPr>
              <a:bodyPr rot="0" spcFirstLastPara="0" vertOverflow="ellipsis" vert="horz" wrap="square" lIns="38100" tIns="19050" rIns="38100" bIns="19050" anchor="ctr" anchorCtr="true" forceAA="false"/>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Sheet1!$A$2:$A$3</c:f>
              <c:strCache>
                <c:ptCount val="2"/>
                <c:pt idx="0">
                  <c:v>2022-2023学年占比</c:v>
                </c:pt>
                <c:pt idx="1">
                  <c:v>2023-2024学年占比</c:v>
                </c:pt>
              </c:strCache>
            </c:strRef>
          </c:cat>
          <c:val>
            <c:numRef>
              <c:f>Sheet1!$B$2:$B$3</c:f>
              <c:numCache>
                <c:formatCode>General</c:formatCode>
                <c:ptCount val="2"/>
                <c:pt idx="0">
                  <c:v>3.12</c:v>
                </c:pt>
                <c:pt idx="1">
                  <c:v>3.76</c:v>
                </c:pt>
              </c:numCache>
            </c:numRef>
          </c:val>
        </c:ser>
        <c:ser>
          <c:idx val="1"/>
          <c:order val="1"/>
          <c:tx>
            <c:strRef>
              <c:f>Sheet1!$C$1</c:f>
              <c:strCache>
                <c:ptCount val="1"/>
                <c:pt idx="0">
                  <c:v>本科</c:v>
                </c:pt>
              </c:strCache>
            </c:strRef>
          </c:tx>
          <c:spPr>
            <a:blipFill rotWithShape="true">
              <a:blip xmlns:r="http://schemas.openxmlformats.org/officeDocument/2006/relationships" r:embed="rId3">
                <a:duotone>
                  <a:schemeClr val="accent2"/>
                  <a:prstClr val="white"/>
                </a:duotone>
              </a:blip>
              <a:stretch>
                <a:fillRect/>
              </a:stretch>
            </a:blipFill>
            <a:ln>
              <a:noFill/>
            </a:ln>
            <a:effectLst/>
          </c:spPr>
          <c:invertIfNegative val="false"/>
          <c:dLbls>
            <c:numFmt formatCode="General" sourceLinked="true"/>
            <c:spPr>
              <a:noFill/>
              <a:ln>
                <a:noFill/>
              </a:ln>
              <a:effectLst/>
            </c:spPr>
            <c:txPr>
              <a:bodyPr rot="0" spcFirstLastPara="0" vertOverflow="ellipsis" vert="horz" wrap="square" lIns="38100" tIns="19050" rIns="38100" bIns="19050" anchor="ctr" anchorCtr="true" forceAA="false"/>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Sheet1!$A$2:$A$3</c:f>
              <c:strCache>
                <c:ptCount val="2"/>
                <c:pt idx="0">
                  <c:v>2022-2023学年占比</c:v>
                </c:pt>
                <c:pt idx="1">
                  <c:v>2023-2024学年占比</c:v>
                </c:pt>
              </c:strCache>
            </c:strRef>
          </c:cat>
          <c:val>
            <c:numRef>
              <c:f>Sheet1!$C$2:$C$3</c:f>
              <c:numCache>
                <c:formatCode>General</c:formatCode>
                <c:ptCount val="2"/>
                <c:pt idx="0">
                  <c:v>91.55</c:v>
                </c:pt>
                <c:pt idx="1" c:formatCode="0.00_ ">
                  <c:v>91.8</c:v>
                </c:pt>
              </c:numCache>
            </c:numRef>
          </c:val>
        </c:ser>
        <c:ser>
          <c:idx val="2"/>
          <c:order val="2"/>
          <c:tx>
            <c:strRef>
              <c:f>Sheet1!$D$1</c:f>
              <c:strCache>
                <c:ptCount val="1"/>
                <c:pt idx="0">
                  <c:v>专科</c:v>
                </c:pt>
              </c:strCache>
            </c:strRef>
          </c:tx>
          <c:spPr>
            <a:blipFill rotWithShape="true">
              <a:blip xmlns:r="http://schemas.openxmlformats.org/officeDocument/2006/relationships" r:embed="rId3">
                <a:duotone>
                  <a:schemeClr val="accent3"/>
                  <a:prstClr val="white"/>
                </a:duotone>
              </a:blip>
              <a:stretch>
                <a:fillRect/>
              </a:stretch>
            </a:blipFill>
            <a:ln>
              <a:noFill/>
            </a:ln>
            <a:effectLst/>
          </c:spPr>
          <c:invertIfNegative val="false"/>
          <c:dLbls>
            <c:numFmt formatCode="General" sourceLinked="true"/>
            <c:spPr>
              <a:noFill/>
              <a:ln>
                <a:noFill/>
              </a:ln>
              <a:effectLst/>
            </c:spPr>
            <c:txPr>
              <a:bodyPr rot="0" spcFirstLastPara="0" vertOverflow="ellipsis" vert="horz" wrap="square" lIns="38100" tIns="19050" rIns="38100" bIns="19050" anchor="ctr" anchorCtr="true" forceAA="false"/>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Sheet1!$A$2:$A$3</c:f>
              <c:strCache>
                <c:ptCount val="2"/>
                <c:pt idx="0">
                  <c:v>2022-2023学年占比</c:v>
                </c:pt>
                <c:pt idx="1">
                  <c:v>2023-2024学年占比</c:v>
                </c:pt>
              </c:strCache>
            </c:strRef>
          </c:cat>
          <c:val>
            <c:numRef>
              <c:f>Sheet1!$D$2:$D$3</c:f>
              <c:numCache>
                <c:formatCode>General</c:formatCode>
                <c:ptCount val="2"/>
                <c:pt idx="0">
                  <c:v>5.33</c:v>
                </c:pt>
                <c:pt idx="1">
                  <c:v>4.44</c:v>
                </c:pt>
              </c:numCache>
            </c:numRef>
          </c:val>
        </c:ser>
        <c:dLbls>
          <c:showLegendKey val="false"/>
          <c:showVal val="true"/>
          <c:showCatName val="false"/>
          <c:showSerName val="false"/>
          <c:showPercent val="false"/>
          <c:showBubbleSize val="false"/>
        </c:dLbls>
        <c:gapWidth val="100"/>
        <c:overlap val="40"/>
        <c:axId val="505802770"/>
        <c:axId val="378049352"/>
      </c:barChart>
      <c:catAx>
        <c:axId val="505802770"/>
        <c:scaling>
          <c:orientation val="minMax"/>
        </c:scaling>
        <c:delete val="false"/>
        <c:axPos val="b"/>
        <c:numFmt formatCode="General" sourceLinked="true"/>
        <c:majorTickMark val="none"/>
        <c:minorTickMark val="none"/>
        <c:tickLblPos val="nextTo"/>
        <c:spPr>
          <a:noFill/>
          <a:ln w="6350" cap="flat" cmpd="sng" algn="ctr">
            <a:solidFill>
              <a:schemeClr val="tx1">
                <a:lumMod val="50000"/>
                <a:lumOff val="50000"/>
                <a:alpha val="25000"/>
              </a:schemeClr>
            </a:solidFill>
            <a:round/>
          </a:ln>
          <a:effectLst/>
        </c:spPr>
        <c:txPr>
          <a:bodyPr rot="-60000000" spcFirstLastPara="0" vertOverflow="ellipsis" vert="horz" wrap="square" anchor="ctr" anchorCtr="true" forceAA="false"/>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378049352"/>
        <c:crosses val="autoZero"/>
        <c:auto val="true"/>
        <c:lblAlgn val="ctr"/>
        <c:lblOffset val="100"/>
        <c:noMultiLvlLbl val="false"/>
      </c:catAx>
      <c:valAx>
        <c:axId val="378049352"/>
        <c:scaling>
          <c:orientation val="minMax"/>
        </c:scaling>
        <c:delete val="true"/>
        <c:axPos val="l"/>
        <c:numFmt formatCode="General" sourceLinked="true"/>
        <c:majorTickMark val="none"/>
        <c:minorTickMark val="none"/>
        <c:tickLblPos val="nextTo"/>
        <c:txPr>
          <a:bodyPr rot="-60000000" spcFirstLastPara="0" vertOverflow="ellipsis" vert="horz" wrap="square" anchor="ctr" anchorCtr="true" forceAA="false"/>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crossAx val="505802770"/>
        <c:crosses val="autoZero"/>
        <c:crossBetween val="between"/>
      </c:valAx>
      <c:spPr>
        <a:noFill/>
        <a:ln>
          <a:noFill/>
        </a:ln>
        <a:effectLst/>
      </c:spPr>
    </c:plotArea>
    <c:legend>
      <c:legendPos val="t"/>
      <c:layout/>
      <c:overlay val="false"/>
      <c:spPr>
        <a:noFill/>
        <a:ln>
          <a:noFill/>
        </a:ln>
        <a:effectLst/>
      </c:spPr>
      <c:txPr>
        <a:bodyPr rot="0" spcFirstLastPara="0" vertOverflow="ellipsis" vert="horz" wrap="square" anchor="ctr" anchorCtr="true" forceAA="false"/>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true"/>
    <c:dispBlanksAs val="gap"/>
    <c:showDLblsOverMax val="false"/>
  </c:chart>
  <c:spPr>
    <a:solidFill>
      <a:schemeClr val="bg1"/>
    </a:solidFill>
    <a:ln w="6350" cap="flat" cmpd="sng" algn="ctr">
      <a:solidFill>
        <a:schemeClr val="tx1">
          <a:lumMod val="50000"/>
          <a:lumOff val="50000"/>
          <a:alpha val="25000"/>
        </a:schemeClr>
      </a:solidFill>
      <a:round/>
    </a:ln>
    <a:effectLst/>
  </c:spPr>
  <c:txPr>
    <a:bodyPr/>
    <a:lstStyle/>
    <a:p>
      <a:pPr>
        <a:defRPr lang="zh-CN">
          <a:solidFill>
            <a:schemeClr val="tx1">
              <a:lumMod val="75000"/>
              <a:lumOff val="2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4"/>
    </mc:Choice>
    <mc:Fallback>
      <c:style val="4"/>
    </mc:Fallback>
  </mc:AlternateContent>
  <c:chart>
    <c:autoTitleDeleted val="true"/>
    <c:plotArea>
      <c:layout>
        <c:manualLayout>
          <c:layoutTarget val="inner"/>
          <c:xMode val="edge"/>
          <c:yMode val="edge"/>
          <c:x val="0.202874893409672"/>
          <c:y val="0.00651465798045603"/>
          <c:w val="0.772152515531733"/>
          <c:h val="0.507795874049946"/>
        </c:manualLayout>
      </c:layout>
      <c:barChart>
        <c:barDir val="bar"/>
        <c:grouping val="clustered"/>
        <c:varyColors val="false"/>
        <c:ser>
          <c:idx val="0"/>
          <c:order val="0"/>
          <c:tx>
            <c:strRef>
              <c:f>Sheet1!$B$1</c:f>
              <c:strCache>
                <c:ptCount val="1"/>
                <c:pt idx="0">
                  <c:v>硕士及以上</c:v>
                </c:pt>
              </c:strCache>
            </c:strRef>
          </c:tx>
          <c:spPr>
            <a:solidFill>
              <a:schemeClr val="accent2">
                <a:shade val="58000"/>
              </a:schemeClr>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Sheet1!$A$2:$A$3</c:f>
              <c:strCache>
                <c:ptCount val="2"/>
                <c:pt idx="0">
                  <c:v>2022-2023学年专任教师数</c:v>
                </c:pt>
                <c:pt idx="1">
                  <c:v>2023-2024学年专任教师数</c:v>
                </c:pt>
              </c:strCache>
            </c:strRef>
          </c:cat>
          <c:val>
            <c:numRef>
              <c:f>Sheet1!$B$2:$B$3</c:f>
              <c:numCache>
                <c:formatCode>General</c:formatCode>
                <c:ptCount val="2"/>
                <c:pt idx="0">
                  <c:v>45</c:v>
                </c:pt>
                <c:pt idx="1">
                  <c:v>55</c:v>
                </c:pt>
              </c:numCache>
            </c:numRef>
          </c:val>
        </c:ser>
        <c:ser>
          <c:idx val="1"/>
          <c:order val="1"/>
          <c:tx>
            <c:strRef>
              <c:f>Sheet1!$C$1</c:f>
              <c:strCache>
                <c:ptCount val="1"/>
                <c:pt idx="0">
                  <c:v>本科</c:v>
                </c:pt>
              </c:strCache>
            </c:strRef>
          </c:tx>
          <c:spPr>
            <a:solidFill>
              <a:schemeClr val="accent2">
                <a:shade val="86000"/>
              </a:schemeClr>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Sheet1!$A$2:$A$3</c:f>
              <c:strCache>
                <c:ptCount val="2"/>
                <c:pt idx="0">
                  <c:v>2022-2023学年专任教师数</c:v>
                </c:pt>
                <c:pt idx="1">
                  <c:v>2023-2024学年专任教师数</c:v>
                </c:pt>
              </c:strCache>
            </c:strRef>
          </c:cat>
          <c:val>
            <c:numRef>
              <c:f>Sheet1!$C$2:$C$3</c:f>
              <c:numCache>
                <c:formatCode>General</c:formatCode>
                <c:ptCount val="2"/>
                <c:pt idx="0">
                  <c:v>1322</c:v>
                </c:pt>
                <c:pt idx="1">
                  <c:v>1344</c:v>
                </c:pt>
              </c:numCache>
            </c:numRef>
          </c:val>
        </c:ser>
        <c:ser>
          <c:idx val="2"/>
          <c:order val="2"/>
          <c:tx>
            <c:strRef>
              <c:f>Sheet1!$D$1</c:f>
              <c:strCache>
                <c:ptCount val="1"/>
                <c:pt idx="0">
                  <c:v>专科</c:v>
                </c:pt>
              </c:strCache>
            </c:strRef>
          </c:tx>
          <c:spPr>
            <a:solidFill>
              <a:schemeClr val="accent2">
                <a:tint val="86000"/>
              </a:schemeClr>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Sheet1!$A$2:$A$3</c:f>
              <c:strCache>
                <c:ptCount val="2"/>
                <c:pt idx="0">
                  <c:v>2022-2023学年专任教师数</c:v>
                </c:pt>
                <c:pt idx="1">
                  <c:v>2023-2024学年专任教师数</c:v>
                </c:pt>
              </c:strCache>
            </c:strRef>
          </c:cat>
          <c:val>
            <c:numRef>
              <c:f>Sheet1!$D$2:$D$3</c:f>
              <c:numCache>
                <c:formatCode>General</c:formatCode>
                <c:ptCount val="2"/>
                <c:pt idx="0">
                  <c:v>77</c:v>
                </c:pt>
                <c:pt idx="1">
                  <c:v>65</c:v>
                </c:pt>
              </c:numCache>
            </c:numRef>
          </c:val>
        </c:ser>
        <c:ser>
          <c:idx val="3"/>
          <c:order val="3"/>
          <c:tx>
            <c:strRef>
              <c:f>Sheet1!$E$1</c:f>
              <c:strCache>
                <c:ptCount val="1"/>
                <c:pt idx="0">
                  <c:v>专任教师总数</c:v>
                </c:pt>
              </c:strCache>
            </c:strRef>
          </c:tx>
          <c:spPr>
            <a:solidFill>
              <a:schemeClr val="accent2">
                <a:tint val="58000"/>
              </a:schemeClr>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Sheet1!$A$2:$A$3</c:f>
              <c:strCache>
                <c:ptCount val="2"/>
                <c:pt idx="0">
                  <c:v>2022-2023学年专任教师数</c:v>
                </c:pt>
                <c:pt idx="1">
                  <c:v>2023-2024学年专任教师数</c:v>
                </c:pt>
              </c:strCache>
            </c:strRef>
          </c:cat>
          <c:val>
            <c:numRef>
              <c:f>Sheet1!$E$2:$E$3</c:f>
              <c:numCache>
                <c:formatCode>General</c:formatCode>
                <c:ptCount val="2"/>
                <c:pt idx="0">
                  <c:v>1444</c:v>
                </c:pt>
                <c:pt idx="1">
                  <c:v>1464</c:v>
                </c:pt>
              </c:numCache>
            </c:numRef>
          </c:val>
        </c:ser>
        <c:dLbls>
          <c:showLegendKey val="false"/>
          <c:showVal val="true"/>
          <c:showCatName val="false"/>
          <c:showSerName val="false"/>
          <c:showPercent val="false"/>
          <c:showBubbleSize val="false"/>
        </c:dLbls>
        <c:gapWidth val="140"/>
        <c:overlap val="-40"/>
        <c:axId val="736063442"/>
        <c:axId val="290572399"/>
      </c:barChart>
      <c:catAx>
        <c:axId val="736063442"/>
        <c:scaling>
          <c:orientation val="minMax"/>
        </c:scaling>
        <c:delete val="false"/>
        <c:axPos val="l"/>
        <c:numFmt formatCode="General" sourceLinked="fals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290572399"/>
        <c:crosses val="autoZero"/>
        <c:auto val="true"/>
        <c:lblAlgn val="ctr"/>
        <c:lblOffset val="100"/>
        <c:noMultiLvlLbl val="false"/>
      </c:catAx>
      <c:valAx>
        <c:axId val="290572399"/>
        <c:scaling>
          <c:orientation val="minMax"/>
        </c:scaling>
        <c:delete val="false"/>
        <c:axPos val="b"/>
        <c:majorGridlines>
          <c:spPr>
            <a:ln w="9525" cap="flat" cmpd="sng" algn="ctr">
              <a:solidFill>
                <a:schemeClr val="lt1">
                  <a:lumMod val="90200"/>
                </a:schemeClr>
              </a:solidFill>
              <a:round/>
            </a:ln>
            <a:effectLst/>
          </c:spPr>
        </c:majorGridlines>
        <c:numFmt formatCode="General" sourceLinked="true"/>
        <c:majorTickMark val="none"/>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736063442"/>
        <c:crosses val="autoZero"/>
        <c:crossBetween val="between"/>
      </c:valAx>
      <c:dTable>
        <c:showHorzBorder val="true"/>
        <c:showVertBorder val="true"/>
        <c:showOutline val="true"/>
        <c:showKeys val="true"/>
        <c:spPr>
          <a:noFill/>
          <a:ln w="9525" cap="flat" cmpd="sng" algn="ctr">
            <a:solidFill>
              <a:schemeClr val="tx1">
                <a:lumMod val="15000"/>
                <a:lumOff val="85000"/>
              </a:schemeClr>
            </a:solidFill>
            <a:round/>
          </a:ln>
          <a:effectLst/>
        </c:spPr>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lineChart>
        <c:grouping val="stacked"/>
        <c:varyColors val="false"/>
        <c:ser>
          <c:idx val="0"/>
          <c:order val="0"/>
          <c:tx>
            <c:strRef>
              <c:f>Sheet1!$B$1</c:f>
              <c:strCache>
                <c:ptCount val="1"/>
                <c:pt idx="0">
                  <c:v>2022-2023学年</c:v>
                </c:pt>
              </c:strCache>
            </c:strRef>
          </c:tx>
          <c:spPr>
            <a:ln w="28575" cap="rnd">
              <a:solidFill>
                <a:schemeClr val="accent1"/>
              </a:solidFill>
              <a:round/>
            </a:ln>
            <a:effectLst/>
          </c:spPr>
          <c:marker>
            <c:symbol val="none"/>
          </c:marker>
          <c:dLbls>
            <c:dLbl>
              <c:idx val="3"/>
              <c:layout>
                <c:manualLayout>
                  <c:x val="-0.0171061093247588"/>
                  <c:y val="0.00458452722063037"/>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cap="flat" cmpd="sng" algn="ctr">
                      <a:solidFill>
                        <a:schemeClr val="tx1">
                          <a:lumMod val="35000"/>
                          <a:lumOff val="65000"/>
                        </a:schemeClr>
                      </a:solidFill>
                      <a:round/>
                    </a:ln>
                    <a:effectLst/>
                  </c:spPr>
                </c15:leaderLines>
              </c:ext>
            </c:extLst>
          </c:dLbls>
          <c:cat>
            <c:strRef>
              <c:f>Sheet1!$A$2:$A$5</c:f>
              <c:strCache>
                <c:ptCount val="4"/>
                <c:pt idx="0">
                  <c:v>高级职称</c:v>
                </c:pt>
                <c:pt idx="1">
                  <c:v>中级职称</c:v>
                </c:pt>
                <c:pt idx="2">
                  <c:v>初级职称</c:v>
                </c:pt>
                <c:pt idx="3">
                  <c:v>未评职称</c:v>
                </c:pt>
              </c:strCache>
            </c:strRef>
          </c:cat>
          <c:val>
            <c:numRef>
              <c:f>Sheet1!$B$2:$B$5</c:f>
              <c:numCache>
                <c:formatCode>General</c:formatCode>
                <c:ptCount val="4"/>
                <c:pt idx="0">
                  <c:v>485</c:v>
                </c:pt>
                <c:pt idx="1">
                  <c:v>578</c:v>
                </c:pt>
                <c:pt idx="2">
                  <c:v>326</c:v>
                </c:pt>
                <c:pt idx="3">
                  <c:v>55</c:v>
                </c:pt>
              </c:numCache>
            </c:numRef>
          </c:val>
          <c:smooth val="false"/>
        </c:ser>
        <c:ser>
          <c:idx val="1"/>
          <c:order val="1"/>
          <c:tx>
            <c:strRef>
              <c:f>Sheet1!$C$1</c:f>
              <c:strCache>
                <c:ptCount val="1"/>
                <c:pt idx="0">
                  <c:v>2023-2024学年</c:v>
                </c:pt>
              </c:strCache>
            </c:strRef>
          </c:tx>
          <c:spPr>
            <a:ln w="28575" cap="rnd">
              <a:solidFill>
                <a:schemeClr val="accent2"/>
              </a:solidFill>
              <a:round/>
            </a:ln>
            <a:effectLst/>
          </c:spPr>
          <c:marker>
            <c:symbol val="none"/>
          </c:marker>
          <c:dLbls>
            <c:dLbl>
              <c:idx val="3"/>
              <c:layout>
                <c:manualLayout>
                  <c:x val="-0.0363987138263666"/>
                  <c:y val="-0.03810888252149"/>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manualLayout>
                      <c:w val="0.0398713826366559"/>
                      <c:h val="0.104297994269341"/>
                    </c:manualLayout>
                  </c15:layout>
                </c:ext>
              </c:extLst>
            </c:dLbl>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spPr>
                    <a:ln w="9525" cap="flat" cmpd="sng" algn="ctr">
                      <a:solidFill>
                        <a:schemeClr val="tx1">
                          <a:lumMod val="35000"/>
                          <a:lumOff val="65000"/>
                        </a:schemeClr>
                      </a:solidFill>
                      <a:round/>
                    </a:ln>
                    <a:effectLst/>
                  </c:spPr>
                </c15:leaderLines>
              </c:ext>
            </c:extLst>
          </c:dLbls>
          <c:cat>
            <c:strRef>
              <c:f>Sheet1!$A$2:$A$5</c:f>
              <c:strCache>
                <c:ptCount val="4"/>
                <c:pt idx="0">
                  <c:v>高级职称</c:v>
                </c:pt>
                <c:pt idx="1">
                  <c:v>中级职称</c:v>
                </c:pt>
                <c:pt idx="2">
                  <c:v>初级职称</c:v>
                </c:pt>
                <c:pt idx="3">
                  <c:v>未评职称</c:v>
                </c:pt>
              </c:strCache>
            </c:strRef>
          </c:cat>
          <c:val>
            <c:numRef>
              <c:f>Sheet1!$C$2:$C$5</c:f>
              <c:numCache>
                <c:formatCode>General</c:formatCode>
                <c:ptCount val="4"/>
                <c:pt idx="0">
                  <c:v>496</c:v>
                </c:pt>
                <c:pt idx="1">
                  <c:v>622</c:v>
                </c:pt>
                <c:pt idx="2">
                  <c:v>296</c:v>
                </c:pt>
                <c:pt idx="3">
                  <c:v>50</c:v>
                </c:pt>
              </c:numCache>
            </c:numRef>
          </c:val>
          <c:smooth val="false"/>
        </c:ser>
        <c:ser>
          <c:idx val="2"/>
          <c:order val="2"/>
          <c:tx>
            <c:strRef>
              <c:f>Sheet1!#REF!</c:f>
              <c:strCache>
                <c:ptCount val="1"/>
                <c:pt idx="0">
                  <c:v/>
                </c:pt>
              </c:strCache>
            </c:strRef>
          </c:tx>
          <c:spPr>
            <a:ln w="28575" cap="rnd">
              <a:solidFill>
                <a:schemeClr val="accent3"/>
              </a:solidFill>
              <a:round/>
            </a:ln>
            <a:effectLst/>
          </c:spPr>
          <c:marker>
            <c:symbol val="none"/>
          </c:marker>
          <c:dLbls>
            <c:delete val="true"/>
          </c:dLbls>
          <c:cat>
            <c:strRef>
              <c:f>Sheet1!$A$2:$A$5</c:f>
              <c:strCache>
                <c:ptCount val="4"/>
                <c:pt idx="0">
                  <c:v>高级职称</c:v>
                </c:pt>
                <c:pt idx="1">
                  <c:v>中级职称</c:v>
                </c:pt>
                <c:pt idx="2">
                  <c:v>初级职称</c:v>
                </c:pt>
                <c:pt idx="3">
                  <c:v>未评职称</c:v>
                </c:pt>
              </c:strCache>
            </c:strRef>
          </c:cat>
          <c:val>
            <c:numRef>
              <c:f>Sheet1!#REF!</c:f>
              <c:numCache>
                <c:formatCode>General</c:formatCode>
                <c:ptCount val="1"/>
                <c:pt idx="0">
                  <c:v>1</c:v>
                </c:pt>
              </c:numCache>
            </c:numRef>
          </c:val>
          <c:smooth val="false"/>
        </c:ser>
        <c:dLbls>
          <c:showLegendKey val="false"/>
          <c:showVal val="false"/>
          <c:showCatName val="false"/>
          <c:showSerName val="false"/>
          <c:showPercent val="false"/>
          <c:showBubbleSize val="false"/>
        </c:dLbls>
        <c:marker val="false"/>
        <c:smooth val="false"/>
        <c:axId val="768052254"/>
        <c:axId val="687729996"/>
      </c:lineChart>
      <c:catAx>
        <c:axId val="768052254"/>
        <c:scaling>
          <c:orientation val="minMax"/>
        </c:scaling>
        <c:delete val="false"/>
        <c:axPos val="b"/>
        <c:numFmt formatCode="General" sourceLinked="fals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687729996"/>
        <c:crosses val="autoZero"/>
        <c:auto val="true"/>
        <c:lblAlgn val="ctr"/>
        <c:lblOffset val="100"/>
        <c:noMultiLvlLbl val="false"/>
      </c:catAx>
      <c:valAx>
        <c:axId val="687729996"/>
        <c:scaling>
          <c:orientation val="minMax"/>
        </c:scaling>
        <c:delete val="false"/>
        <c:axPos val="l"/>
        <c:numFmt formatCode="General" sourceLinked="true"/>
        <c:majorTickMark val="none"/>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768052254"/>
        <c:crosses val="autoZero"/>
        <c:crossBetween val="between"/>
      </c:valAx>
      <c:spPr>
        <a:noFill/>
        <a:ln>
          <a:noFill/>
        </a:ln>
        <a:effectLst/>
      </c:spPr>
    </c:plotArea>
    <c:legend>
      <c:legendPos val="b"/>
      <c:legendEntry>
        <c:idx val="0"/>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Entry>
      <c:legendEntry>
        <c:idx val="2"/>
        <c:delete val="true"/>
      </c:legendEntry>
      <c:layout/>
      <c:overlay val="false"/>
      <c:spPr>
        <a:noFill/>
        <a:ln>
          <a:noFill/>
        </a:ln>
        <a:effectLst/>
      </c:spPr>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alpha val="0"/>
      </a:schemeClr>
    </a:solidFill>
    <a:ln w="0" cap="flat" cmpd="sng" algn="ctr">
      <a:solidFill>
        <a:schemeClr val="bg1">
          <a:lumMod val="85000"/>
        </a:schemeClr>
      </a:solidFill>
      <a:prstDash val="solid"/>
      <a:round/>
    </a:ln>
    <a:effectLst/>
  </c:spPr>
  <c:txPr>
    <a:bodyPr/>
    <a:lstStyle/>
    <a:p>
      <a:pPr>
        <a:defRPr lang="zh-CN" b="0"/>
      </a:pPr>
    </a:p>
  </c:txPr>
  <c:externalData r:id="rId1">
    <c:autoUpdate val="false"/>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bar"/>
        <c:grouping val="clustered"/>
        <c:varyColors val="false"/>
        <c:ser>
          <c:idx val="0"/>
          <c:order val="0"/>
          <c:tx>
            <c:strRef>
              <c:f>Sheet1!$B$1</c:f>
              <c:strCache>
                <c:ptCount val="1"/>
                <c:pt idx="0">
                  <c:v>2022-2023学年</c:v>
                </c:pt>
              </c:strCache>
            </c:strRef>
          </c:tx>
          <c:spPr>
            <a:solidFill>
              <a:schemeClr val="accent1"/>
            </a:solidFill>
            <a:ln>
              <a:noFill/>
            </a:ln>
            <a:effectLst/>
          </c:spPr>
          <c:invertIfNegative val="false"/>
          <c:dLbls>
            <c:numFmt formatCode="General" sourceLinked="true"/>
            <c:spPr>
              <a:noFill/>
              <a:ln>
                <a:solidFill>
                  <a:schemeClr val="accent1"/>
                </a:solidFill>
              </a:ln>
              <a:effectLst/>
            </c:spPr>
            <c:txPr>
              <a:bodyPr rot="0" spcFirstLastPara="0" vertOverflow="ellipsis" vert="horz" wrap="square" lIns="38100" tIns="19050" rIns="38100" bIns="19050" anchor="ctr" anchorCtr="true" forceAA="false">
                <a:spAutoFit/>
              </a:bodyPr>
              <a:lstStyle/>
              <a:p>
                <a:pPr>
                  <a:defRPr lang="zh-CN" sz="900" b="0" i="0" u="none" strike="noStrike" kern="1200" baseline="0">
                    <a:solidFill>
                      <a:schemeClr val="accent1">
                        <a:lumMod val="7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Sheet1!$A$2:$A$3</c:f>
              <c:strCache>
                <c:ptCount val="2"/>
                <c:pt idx="0">
                  <c:v>占地面积</c:v>
                </c:pt>
                <c:pt idx="1">
                  <c:v>校舍建筑面积</c:v>
                </c:pt>
              </c:strCache>
            </c:strRef>
          </c:cat>
          <c:val>
            <c:numRef>
              <c:f>Sheet1!$B$2:$B$3</c:f>
              <c:numCache>
                <c:formatCode>General</c:formatCode>
                <c:ptCount val="2"/>
                <c:pt idx="0">
                  <c:v>911763.91</c:v>
                </c:pt>
                <c:pt idx="1">
                  <c:v>566165.39</c:v>
                </c:pt>
              </c:numCache>
            </c:numRef>
          </c:val>
        </c:ser>
        <c:ser>
          <c:idx val="1"/>
          <c:order val="1"/>
          <c:tx>
            <c:strRef>
              <c:f>Sheet1!$C$1</c:f>
              <c:strCache>
                <c:ptCount val="1"/>
                <c:pt idx="0">
                  <c:v>2023-2024学年</c:v>
                </c:pt>
              </c:strCache>
            </c:strRef>
          </c:tx>
          <c:spPr>
            <a:solidFill>
              <a:schemeClr val="accent2"/>
            </a:solidFill>
            <a:ln>
              <a:noFill/>
            </a:ln>
            <a:effectLst/>
          </c:spPr>
          <c:invertIfNegative val="false"/>
          <c:dLbls>
            <c:dLbl>
              <c:idx val="0"/>
              <c:layout>
                <c:manualLayout>
                  <c:x val="0.00310250682551502"/>
                  <c:y val="-0.062020905923345"/>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1"/>
              <c:layout>
                <c:manualLayout>
                  <c:x val="0.00620501365103003"/>
                  <c:y val="-0.0813008130081301"/>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numFmt formatCode="General" sourceLinked="true"/>
            <c:spPr>
              <a:noFill/>
              <a:ln>
                <a:solidFill>
                  <a:schemeClr val="accent2"/>
                </a:solidFill>
              </a:ln>
              <a:effectLst/>
            </c:spPr>
            <c:txPr>
              <a:bodyPr rot="0" spcFirstLastPara="0" vertOverflow="ellipsis" vert="horz" wrap="square" lIns="38100" tIns="19050" rIns="38100" bIns="19050" anchor="ctr" anchorCtr="true" forceAA="false">
                <a:spAutoFit/>
              </a:bodyPr>
              <a:lstStyle/>
              <a:p>
                <a:pPr>
                  <a:defRPr lang="zh-CN" sz="900" b="0" i="0" u="none" strike="noStrike" kern="1200" baseline="0">
                    <a:solidFill>
                      <a:schemeClr val="accent2">
                        <a:lumMod val="7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Sheet1!$A$2:$A$3</c:f>
              <c:strCache>
                <c:ptCount val="2"/>
                <c:pt idx="0">
                  <c:v>占地面积</c:v>
                </c:pt>
                <c:pt idx="1">
                  <c:v>校舍建筑面积</c:v>
                </c:pt>
              </c:strCache>
            </c:strRef>
          </c:cat>
          <c:val>
            <c:numRef>
              <c:f>Sheet1!$C$2:$C$3</c:f>
              <c:numCache>
                <c:formatCode>General</c:formatCode>
                <c:ptCount val="2"/>
                <c:pt idx="0">
                  <c:v>968962.31</c:v>
                </c:pt>
                <c:pt idx="1">
                  <c:v>619918.03</c:v>
                </c:pt>
              </c:numCache>
            </c:numRef>
          </c:val>
        </c:ser>
        <c:ser>
          <c:idx val="2"/>
          <c:order val="2"/>
          <c:tx>
            <c:strRef>
              <c:f>Sheet1!#REF!</c:f>
              <c:strCache>
                <c:ptCount val="1"/>
                <c:pt idx="0">
                  <c:v/>
                </c:pt>
              </c:strCache>
            </c:strRef>
          </c:tx>
          <c:spPr>
            <a:solidFill>
              <a:schemeClr val="accent3"/>
            </a:solidFill>
            <a:ln>
              <a:noFill/>
            </a:ln>
            <a:effectLst/>
          </c:spPr>
          <c:invertIfNegative val="false"/>
          <c:dLbls>
            <c:delete val="true"/>
          </c:dLbls>
          <c:cat>
            <c:strRef>
              <c:f>Sheet1!$A$2:$A$3</c:f>
              <c:strCache>
                <c:ptCount val="2"/>
                <c:pt idx="0">
                  <c:v>占地面积</c:v>
                </c:pt>
                <c:pt idx="1">
                  <c:v>校舍建筑面积</c:v>
                </c:pt>
              </c:strCache>
            </c:strRef>
          </c:cat>
          <c:val>
            <c:numRef>
              <c:f>Sheet1!#REF!</c:f>
              <c:numCache>
                <c:formatCode>General</c:formatCode>
                <c:ptCount val="1"/>
                <c:pt idx="0">
                  <c:v>1</c:v>
                </c:pt>
              </c:numCache>
            </c:numRef>
          </c:val>
        </c:ser>
        <c:dLbls>
          <c:showLegendKey val="false"/>
          <c:showVal val="false"/>
          <c:showCatName val="false"/>
          <c:showSerName val="false"/>
          <c:showPercent val="false"/>
          <c:showBubbleSize val="false"/>
        </c:dLbls>
        <c:gapWidth val="219"/>
        <c:overlap val="0"/>
        <c:axId val="912609143"/>
        <c:axId val="770033192"/>
      </c:barChart>
      <c:catAx>
        <c:axId val="912609143"/>
        <c:scaling>
          <c:orientation val="minMax"/>
        </c:scaling>
        <c:delete val="false"/>
        <c:axPos val="l"/>
        <c:majorGridlines>
          <c:spPr>
            <a:ln w="6350" cap="flat" cmpd="sng" algn="ctr">
              <a:solidFill>
                <a:schemeClr val="tx1">
                  <a:lumMod val="50000"/>
                  <a:lumOff val="50000"/>
                  <a:alpha val="20000"/>
                </a:schemeClr>
              </a:solidFill>
              <a:round/>
            </a:ln>
            <a:effectLst/>
          </c:spPr>
        </c:majorGridlines>
        <c:numFmt formatCode="General" sourceLinked="true"/>
        <c:majorTickMark val="none"/>
        <c:minorTickMark val="none"/>
        <c:tickLblPos val="nextTo"/>
        <c:spPr>
          <a:noFill/>
          <a:ln w="6350" cap="flat" cmpd="sng" algn="ctr">
            <a:solidFill>
              <a:schemeClr val="tx1">
                <a:lumMod val="15000"/>
                <a:lumOff val="85000"/>
                <a:alpha val="30000"/>
              </a:schemeClr>
            </a:solidFill>
            <a:round/>
          </a:ln>
          <a:effectLst/>
        </c:spPr>
        <c:txPr>
          <a:bodyPr rot="-60000000" spcFirstLastPara="0" vertOverflow="ellipsis" vert="horz" wrap="square" anchor="ctr" anchorCtr="true" forceAA="false"/>
          <a:lstStyle/>
          <a:p>
            <a:pPr>
              <a:defRPr lang="zh-CN" sz="900" b="0" i="0" u="none" strike="noStrike" kern="1200" baseline="0">
                <a:solidFill>
                  <a:schemeClr val="tx1">
                    <a:lumMod val="65000"/>
                    <a:lumOff val="35000"/>
                  </a:schemeClr>
                </a:solidFill>
                <a:latin typeface="+mn-lt"/>
                <a:ea typeface="+mn-ea"/>
                <a:cs typeface="+mn-cs"/>
              </a:defRPr>
            </a:pPr>
          </a:p>
        </c:txPr>
        <c:crossAx val="770033192"/>
        <c:crosses val="autoZero"/>
        <c:auto val="true"/>
        <c:lblAlgn val="ctr"/>
        <c:lblOffset val="100"/>
        <c:noMultiLvlLbl val="false"/>
      </c:catAx>
      <c:valAx>
        <c:axId val="770033192"/>
        <c:scaling>
          <c:orientation val="minMax"/>
        </c:scaling>
        <c:delete val="true"/>
        <c:axPos val="b"/>
        <c:numFmt formatCode="General" sourceLinked="true"/>
        <c:majorTickMark val="none"/>
        <c:minorTickMark val="none"/>
        <c:tickLblPos val="nextTo"/>
        <c:txPr>
          <a:bodyPr rot="-60000000" spcFirstLastPara="0" vertOverflow="ellipsis" vert="horz" wrap="square" anchor="ctr" anchorCtr="true" forceAA="false"/>
          <a:lstStyle/>
          <a:p>
            <a:pPr>
              <a:defRPr lang="zh-CN" sz="900" b="0" i="0" u="none" strike="noStrike" kern="1200" baseline="0">
                <a:solidFill>
                  <a:schemeClr val="tx1">
                    <a:lumMod val="65000"/>
                    <a:lumOff val="35000"/>
                  </a:schemeClr>
                </a:solidFill>
                <a:latin typeface="+mn-lt"/>
                <a:ea typeface="+mn-ea"/>
                <a:cs typeface="+mn-cs"/>
              </a:defRPr>
            </a:pPr>
          </a:p>
        </c:txPr>
        <c:crossAx val="912609143"/>
        <c:crosses val="autoZero"/>
        <c:crossBetween val="between"/>
      </c:valAx>
      <c:spPr>
        <a:noFill/>
        <a:ln w="25400">
          <a:noFill/>
        </a:ln>
        <a:effectLst/>
      </c:spPr>
    </c:plotArea>
    <c:legend>
      <c:legendPos val="t"/>
      <c:legendEntry>
        <c:idx val="0"/>
        <c:delete val="true"/>
      </c:legendEntry>
      <c:layout/>
      <c:overlay val="false"/>
      <c:spPr>
        <a:noFill/>
        <a:ln>
          <a:noFill/>
        </a:ln>
        <a:effectLst/>
      </c:spPr>
      <c:txPr>
        <a:bodyPr rot="0" spcFirstLastPara="0" vertOverflow="ellipsis" vert="horz" wrap="square" anchor="ctr" anchorCtr="true" forceAA="fals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6350" cap="flat" cmpd="sng" algn="ctr">
      <a:solidFill>
        <a:schemeClr val="tx1">
          <a:lumMod val="50000"/>
          <a:lumOff val="50000"/>
          <a:alpha val="25000"/>
        </a:schemeClr>
      </a:solidFill>
      <a:round/>
    </a:ln>
    <a:effectLst/>
  </c:spPr>
  <c:txPr>
    <a:bodyPr/>
    <a:lstStyle/>
    <a:p>
      <a:pPr>
        <a:defRPr lang="zh-CN"/>
      </a:pPr>
    </a:p>
  </c:txPr>
  <c:externalData r:id="rId1">
    <c:autoUpdate val="false"/>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pieChart>
        <c:varyColors val="true"/>
        <c:ser>
          <c:idx val="0"/>
          <c:order val="0"/>
          <c:tx>
            <c:strRef>
              <c:f>Sheet1!$B$1</c:f>
              <c:strCache>
                <c:ptCount val="1"/>
                <c:pt idx="0">
                  <c:v>列1</c:v>
                </c:pt>
              </c:strCache>
            </c:strRef>
          </c:tx>
          <c:spPr/>
          <c:explosion val="0"/>
          <c:dPt>
            <c:idx val="0"/>
            <c:bubble3D val="false"/>
            <c:spPr>
              <a:solidFill>
                <a:schemeClr val="accent1"/>
              </a:solidFill>
              <a:ln w="25400">
                <a:solidFill>
                  <a:schemeClr val="lt1"/>
                </a:solidFill>
              </a:ln>
              <a:effectLst/>
            </c:spPr>
          </c:dPt>
          <c:dPt>
            <c:idx val="1"/>
            <c:bubble3D val="false"/>
            <c:spPr>
              <a:solidFill>
                <a:schemeClr val="accent2"/>
              </a:solidFill>
              <a:ln w="25400">
                <a:solidFill>
                  <a:schemeClr val="lt1"/>
                </a:solidFill>
              </a:ln>
              <a:effectLst/>
            </c:spPr>
          </c:dPt>
          <c:dPt>
            <c:idx val="2"/>
            <c:bubble3D val="false"/>
            <c:spPr>
              <a:solidFill>
                <a:schemeClr val="accent3"/>
              </a:solidFill>
              <a:ln w="25400">
                <a:solidFill>
                  <a:schemeClr val="lt1"/>
                </a:solidFill>
              </a:ln>
              <a:effectLst/>
            </c:spPr>
          </c:dPt>
          <c:dLbls>
            <c:dLbl>
              <c:idx val="0"/>
              <c:layout>
                <c:manualLayout>
                  <c:x val="0.156279699947704"/>
                  <c:y val="0.0191543953421613"/>
                </c:manualLayout>
              </c:layout>
              <c:tx>
                <c:rich>
                  <a:bodyPr rot="0" spcFirstLastPara="0" vertOverflow="ellipsis" vert="horz" wrap="square" lIns="38100" tIns="19050" rIns="38100" bIns="19050" anchor="ctr" anchorCtr="true"/>
                  <a:lstStyle/>
                  <a:p>
                    <a:pPr defTabSz="914400">
                      <a:defRPr lang="zh-CN" sz="1050" b="0" i="0" u="none" strike="noStrike" kern="1200" baseline="0">
                        <a:solidFill>
                          <a:schemeClr val="tx1">
                            <a:lumMod val="75000"/>
                            <a:lumOff val="25000"/>
                          </a:schemeClr>
                        </a:solidFill>
                        <a:latin typeface="+mn-lt"/>
                        <a:ea typeface="+mn-ea"/>
                        <a:cs typeface="+mn-cs"/>
                      </a:defRPr>
                    </a:pPr>
                    <a:r>
                      <a:t>57人, </a:t>
                    </a:r>
                    <a:r>
                      <a:rPr lang="en-US" altLang="zh-CN"/>
                      <a:t>2.20</a:t>
                    </a:r>
                    <a:r>
                      <a:t>%</a:t>
                    </a:r>
                  </a:p>
                </c:rich>
              </c:tx>
              <c:dLblPos val="bestFit"/>
              <c:showLegendKey val="false"/>
              <c:showVal val="true"/>
              <c:showCatName val="false"/>
              <c:showSerName val="false"/>
              <c:showPercent val="true"/>
              <c:showBubbleSize val="false"/>
              <c:extLst>
                <c:ext xmlns:c15="http://schemas.microsoft.com/office/drawing/2012/chart" uri="{CE6537A1-D6FC-4f65-9D91-7224C49458BB}">
                  <c15:layout/>
                </c:ext>
              </c:extLst>
            </c:dLbl>
            <c:dLbl>
              <c:idx val="1"/>
              <c:layout>
                <c:manualLayout>
                  <c:x val="0.116738091869084"/>
                  <c:y val="-0.0500473464412266"/>
                </c:manualLayout>
              </c:layout>
              <c:tx>
                <c:rich>
                  <a:bodyPr rot="0" spcFirstLastPara="0" vertOverflow="ellipsis" vert="horz" wrap="square" lIns="38100" tIns="19050" rIns="38100" bIns="19050" anchor="ctr" anchorCtr="true"/>
                  <a:lstStyle/>
                  <a:p>
                    <a:pPr defTabSz="914400">
                      <a:defRPr lang="zh-CN" sz="1050" b="0" i="0" u="none" strike="noStrike" kern="1200" baseline="0">
                        <a:solidFill>
                          <a:schemeClr val="tx1">
                            <a:lumMod val="75000"/>
                            <a:lumOff val="25000"/>
                          </a:schemeClr>
                        </a:solidFill>
                        <a:latin typeface="+mn-lt"/>
                        <a:ea typeface="+mn-ea"/>
                        <a:cs typeface="+mn-cs"/>
                      </a:defRPr>
                    </a:pPr>
                    <a:r>
                      <a:t>1865人, 7</a:t>
                    </a:r>
                    <a:r>
                      <a:rPr lang="en-US" altLang="zh-CN"/>
                      <a:t>2.04</a:t>
                    </a:r>
                    <a:r>
                      <a:t>%</a:t>
                    </a:r>
                  </a:p>
                </c:rich>
              </c:tx>
              <c:dLblPos val="bestFit"/>
              <c:showLegendKey val="false"/>
              <c:showVal val="true"/>
              <c:showCatName val="false"/>
              <c:showSerName val="false"/>
              <c:showPercent val="true"/>
              <c:showBubbleSize val="false"/>
              <c:extLst>
                <c:ext xmlns:c15="http://schemas.microsoft.com/office/drawing/2012/chart" uri="{CE6537A1-D6FC-4f65-9D91-7224C49458BB}">
                  <c15:layout/>
                </c:ext>
              </c:extLst>
            </c:dLbl>
            <c:dLbl>
              <c:idx val="2"/>
              <c:layout>
                <c:manualLayout>
                  <c:x val="-0.106118678934432"/>
                  <c:y val="0.0638376754388169"/>
                </c:manualLayout>
              </c:layout>
              <c:tx>
                <c:rich>
                  <a:bodyPr rot="0" spcFirstLastPara="0" vertOverflow="ellipsis" vert="horz" wrap="square" lIns="38100" tIns="19050" rIns="38100" bIns="19050" anchor="ctr" anchorCtr="true"/>
                  <a:lstStyle/>
                  <a:p>
                    <a:pPr defTabSz="914400">
                      <a:defRPr lang="zh-CN" sz="1050" b="0" i="0" u="none" strike="noStrike" kern="1200" baseline="0">
                        <a:solidFill>
                          <a:schemeClr val="tx1">
                            <a:lumMod val="75000"/>
                            <a:lumOff val="25000"/>
                          </a:schemeClr>
                        </a:solidFill>
                        <a:latin typeface="+mn-lt"/>
                        <a:ea typeface="+mn-ea"/>
                        <a:cs typeface="+mn-cs"/>
                      </a:defRPr>
                    </a:pPr>
                    <a:r>
                      <a:t>667人, 2</a:t>
                    </a:r>
                    <a:r>
                      <a:rPr lang="en-US" altLang="zh-CN"/>
                      <a:t>5.76</a:t>
                    </a:r>
                    <a:r>
                      <a:t>%</a:t>
                    </a:r>
                  </a:p>
                </c:rich>
              </c:tx>
              <c:dLblPos val="bestFit"/>
              <c:showLegendKey val="false"/>
              <c:showVal val="true"/>
              <c:showCatName val="false"/>
              <c:showSerName val="false"/>
              <c:showPercent val="true"/>
              <c:showBubbleSize val="false"/>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1050" b="0" i="0" u="none" strike="noStrike" kern="1200" baseline="0">
                    <a:solidFill>
                      <a:schemeClr val="tx1">
                        <a:lumMod val="75000"/>
                        <a:lumOff val="25000"/>
                      </a:schemeClr>
                    </a:solidFill>
                    <a:latin typeface="+mn-lt"/>
                    <a:ea typeface="+mn-ea"/>
                    <a:cs typeface="+mn-cs"/>
                  </a:defRPr>
                </a:pPr>
              </a:p>
            </c:txPr>
            <c:dLblPos val="bestFit"/>
            <c:showLegendKey val="false"/>
            <c:showVal val="true"/>
            <c:showCatName val="false"/>
            <c:showSerName val="false"/>
            <c:showPercent val="true"/>
            <c:showBubbleSize val="false"/>
            <c:showLeaderLines val="tru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Sheet1!$A$2:$A$4</c:f>
              <c:strCache>
                <c:ptCount val="3"/>
                <c:pt idx="0">
                  <c:v>服务第一产业</c:v>
                </c:pt>
                <c:pt idx="1">
                  <c:v>服务第二产业</c:v>
                </c:pt>
                <c:pt idx="2">
                  <c:v>服务第三产业</c:v>
                </c:pt>
              </c:strCache>
            </c:strRef>
          </c:cat>
          <c:val>
            <c:numRef>
              <c:f>Sheet1!$B$2:$B$4</c:f>
              <c:numCache>
                <c:formatCode>General</c:formatCode>
                <c:ptCount val="3"/>
                <c:pt idx="0">
                  <c:v>57</c:v>
                </c:pt>
                <c:pt idx="1">
                  <c:v>1865</c:v>
                </c:pt>
                <c:pt idx="2">
                  <c:v>667</c:v>
                </c:pt>
              </c:numCache>
            </c:numRef>
          </c:val>
        </c:ser>
        <c:dLbls>
          <c:showLegendKey val="false"/>
          <c:showVal val="true"/>
          <c:showCatName val="false"/>
          <c:showSerName val="false"/>
          <c:showPercent val="true"/>
          <c:showBubbleSize val="false"/>
          <c:showLeaderLines val="true"/>
        </c:dLbls>
        <c:firstSliceAng val="0"/>
      </c:pieChart>
      <c:spPr>
        <a:noFill/>
        <a:ln>
          <a:noFill/>
        </a:ln>
        <a:effectLst/>
      </c:spPr>
    </c:plotArea>
    <c:legend>
      <c:legendPos val="r"/>
      <c:legendEntry>
        <c:idx val="0"/>
        <c:txPr>
          <a:bodyPr rot="0" spcFirstLastPara="0" vertOverflow="ellipsis" vert="horz" wrap="square" anchor="ctr" anchorCtr="true"/>
          <a:lstStyle/>
          <a:p>
            <a:pPr>
              <a:defRPr lang="zh-CN" sz="105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true"/>
          <a:lstStyle/>
          <a:p>
            <a:pPr>
              <a:defRPr lang="zh-CN" sz="1050" b="0" i="0" u="none" strike="noStrike" kern="1200" baseline="0">
                <a:solidFill>
                  <a:schemeClr val="tx1">
                    <a:lumMod val="65000"/>
                    <a:lumOff val="35000"/>
                  </a:schemeClr>
                </a:solidFill>
                <a:latin typeface="+mn-lt"/>
                <a:ea typeface="+mn-ea"/>
                <a:cs typeface="+mn-cs"/>
              </a:defRPr>
            </a:pPr>
          </a:p>
        </c:txPr>
      </c:legendEntry>
      <c:legendEntry>
        <c:idx val="2"/>
        <c:txPr>
          <a:bodyPr rot="0" spcFirstLastPara="0" vertOverflow="ellipsis" vert="horz" wrap="square" anchor="ctr" anchorCtr="true"/>
          <a:lstStyle/>
          <a:p>
            <a:pPr>
              <a:defRPr lang="zh-CN" sz="1050" b="0" i="0" u="none" strike="noStrike" kern="1200" baseline="0">
                <a:solidFill>
                  <a:schemeClr val="tx1">
                    <a:lumMod val="65000"/>
                    <a:lumOff val="35000"/>
                  </a:schemeClr>
                </a:solidFill>
                <a:latin typeface="+mn-lt"/>
                <a:ea typeface="+mn-ea"/>
                <a:cs typeface="+mn-cs"/>
              </a:defRPr>
            </a:pPr>
          </a:p>
        </c:txPr>
      </c:legendEntry>
      <c:layout/>
      <c:overlay val="false"/>
      <c:spPr>
        <a:noFill/>
        <a:ln>
          <a:noFill/>
        </a:ln>
        <a:effectLst/>
      </c:spPr>
      <c:txPr>
        <a:bodyPr rot="0" spcFirstLastPara="0" vertOverflow="ellipsis" vert="horz" wrap="square" anchor="ctr" anchorCtr="true"/>
        <a:lstStyle/>
        <a:p>
          <a:pPr>
            <a:defRPr lang="zh-CN" sz="105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sz="1050"/>
      </a:pPr>
    </a:p>
  </c:txPr>
  <c:externalData r:id="rId1">
    <c:autoUpdate val="false"/>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bar"/>
        <c:grouping val="clustered"/>
        <c:varyColors val="false"/>
        <c:ser>
          <c:idx val="0"/>
          <c:order val="0"/>
          <c:tx>
            <c:strRef>
              <c:f>Sheet1!$B$1</c:f>
              <c:strCache>
                <c:ptCount val="1"/>
                <c:pt idx="0">
                  <c:v>系列 1</c:v>
                </c:pt>
              </c:strCache>
            </c:strRef>
          </c:tx>
          <c:spPr>
            <a:solidFill>
              <a:schemeClr val="accent2"/>
            </a:solidFill>
            <a:ln>
              <a:noFill/>
            </a:ln>
            <a:effectLst/>
          </c:spPr>
          <c:invertIfNegative val="false"/>
          <c:dLbls>
            <c:numFmt formatCode="General" sourceLinked="true"/>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Sheet1!$A$2:$A$9</c:f>
              <c:strCache>
                <c:ptCount val="8"/>
                <c:pt idx="0">
                  <c:v>工作态度</c:v>
                </c:pt>
                <c:pt idx="1">
                  <c:v>工作效率</c:v>
                </c:pt>
                <c:pt idx="2">
                  <c:v>学习能力</c:v>
                </c:pt>
                <c:pt idx="3">
                  <c:v>职业素养</c:v>
                </c:pt>
                <c:pt idx="4">
                  <c:v>职业技能</c:v>
                </c:pt>
                <c:pt idx="5">
                  <c:v>岗位适应能力</c:v>
                </c:pt>
                <c:pt idx="6">
                  <c:v>创新能力</c:v>
                </c:pt>
                <c:pt idx="7">
                  <c:v>学校供应人才整体满意度</c:v>
                </c:pt>
              </c:strCache>
            </c:strRef>
          </c:cat>
          <c:val>
            <c:numRef>
              <c:f>Sheet1!$B$2:$B$9</c:f>
              <c:numCache>
                <c:formatCode>0.00%</c:formatCode>
                <c:ptCount val="8"/>
                <c:pt idx="0">
                  <c:v>0.9885</c:v>
                </c:pt>
                <c:pt idx="1">
                  <c:v>0.9852</c:v>
                </c:pt>
                <c:pt idx="2">
                  <c:v>0.9866</c:v>
                </c:pt>
                <c:pt idx="3">
                  <c:v>0.9832</c:v>
                </c:pt>
                <c:pt idx="4">
                  <c:v>0.9886</c:v>
                </c:pt>
                <c:pt idx="5">
                  <c:v>0.9832</c:v>
                </c:pt>
                <c:pt idx="6">
                  <c:v>0.9768</c:v>
                </c:pt>
                <c:pt idx="7">
                  <c:v>0.9846</c:v>
                </c:pt>
              </c:numCache>
            </c:numRef>
          </c:val>
        </c:ser>
        <c:ser>
          <c:idx val="1"/>
          <c:order val="1"/>
          <c:tx>
            <c:strRef>
              <c:f>Sheet1!$C$1</c:f>
              <c:strCache>
                <c:ptCount val="1"/>
                <c:pt idx="0">
                  <c:v/>
                </c:pt>
              </c:strCache>
            </c:strRef>
          </c:tx>
          <c:spPr>
            <a:solidFill>
              <a:schemeClr val="accent4"/>
            </a:solidFill>
            <a:ln>
              <a:noFill/>
            </a:ln>
            <a:effectLst/>
          </c:spPr>
          <c:invertIfNegative val="false"/>
          <c:dLbls>
            <c:numFmt formatCode="General" sourceLinked="true"/>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Sheet1!$A$2:$A$9</c:f>
              <c:strCache>
                <c:ptCount val="8"/>
                <c:pt idx="0">
                  <c:v>工作态度</c:v>
                </c:pt>
                <c:pt idx="1">
                  <c:v>工作效率</c:v>
                </c:pt>
                <c:pt idx="2">
                  <c:v>学习能力</c:v>
                </c:pt>
                <c:pt idx="3">
                  <c:v>职业素养</c:v>
                </c:pt>
                <c:pt idx="4">
                  <c:v>职业技能</c:v>
                </c:pt>
                <c:pt idx="5">
                  <c:v>岗位适应能力</c:v>
                </c:pt>
                <c:pt idx="6">
                  <c:v>创新能力</c:v>
                </c:pt>
                <c:pt idx="7">
                  <c:v>学校供应人才整体满意度</c:v>
                </c:pt>
              </c:strCache>
            </c:strRef>
          </c:cat>
          <c:val>
            <c:numRef>
              <c:f>Sheet1!$C$2:$C$9</c:f>
              <c:numCache>
                <c:formatCode>General</c:formatCode>
                <c:ptCount val="8"/>
              </c:numCache>
            </c:numRef>
          </c:val>
        </c:ser>
        <c:ser>
          <c:idx val="2"/>
          <c:order val="2"/>
          <c:tx>
            <c:strRef>
              <c:f>Sheet1!$D$1</c:f>
              <c:strCache>
                <c:ptCount val="1"/>
                <c:pt idx="0">
                  <c:v/>
                </c:pt>
              </c:strCache>
            </c:strRef>
          </c:tx>
          <c:spPr>
            <a:solidFill>
              <a:schemeClr val="accent6"/>
            </a:solidFill>
            <a:ln>
              <a:noFill/>
            </a:ln>
            <a:effectLst/>
          </c:spPr>
          <c:invertIfNegative val="false"/>
          <c:dLbls>
            <c:numFmt formatCode="General" sourceLinked="true"/>
            <c:spPr>
              <a:noFill/>
              <a:ln>
                <a:noFill/>
              </a:ln>
              <a:effectLst/>
            </c:spPr>
            <c:txPr>
              <a:bodyPr rot="0" spcFirstLastPara="0" vertOverflow="ellipsis" vert="horz" wrap="square" lIns="38100" tIns="19050" rIns="38100" bIns="19050" anchor="ctr" anchorCtr="true"/>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round/>
                    </a:ln>
                    <a:effectLst/>
                  </c:spPr>
                </c15:leaderLines>
              </c:ext>
            </c:extLst>
          </c:dLbls>
          <c:cat>
            <c:strRef>
              <c:f>Sheet1!$A$2:$A$9</c:f>
              <c:strCache>
                <c:ptCount val="8"/>
                <c:pt idx="0">
                  <c:v>工作态度</c:v>
                </c:pt>
                <c:pt idx="1">
                  <c:v>工作效率</c:v>
                </c:pt>
                <c:pt idx="2">
                  <c:v>学习能力</c:v>
                </c:pt>
                <c:pt idx="3">
                  <c:v>职业素养</c:v>
                </c:pt>
                <c:pt idx="4">
                  <c:v>职业技能</c:v>
                </c:pt>
                <c:pt idx="5">
                  <c:v>岗位适应能力</c:v>
                </c:pt>
                <c:pt idx="6">
                  <c:v>创新能力</c:v>
                </c:pt>
                <c:pt idx="7">
                  <c:v>学校供应人才整体满意度</c:v>
                </c:pt>
              </c:strCache>
            </c:strRef>
          </c:cat>
          <c:val>
            <c:numRef>
              <c:f>Sheet1!$D$2:$D$9</c:f>
              <c:numCache>
                <c:formatCode>General</c:formatCode>
                <c:ptCount val="8"/>
              </c:numCache>
            </c:numRef>
          </c:val>
        </c:ser>
        <c:dLbls>
          <c:showLegendKey val="false"/>
          <c:showVal val="true"/>
          <c:showCatName val="false"/>
          <c:showSerName val="false"/>
          <c:showPercent val="false"/>
          <c:showBubbleSize val="false"/>
        </c:dLbls>
        <c:gapWidth val="140"/>
        <c:overlap val="-40"/>
        <c:axId val="712304110"/>
        <c:axId val="263834167"/>
      </c:barChart>
      <c:catAx>
        <c:axId val="712304110"/>
        <c:scaling>
          <c:orientation val="minMax"/>
        </c:scaling>
        <c:delete val="false"/>
        <c:axPos val="l"/>
        <c:numFmt formatCode="General" sourceLinked="true"/>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263834167"/>
        <c:crosses val="autoZero"/>
        <c:auto val="true"/>
        <c:lblAlgn val="ctr"/>
        <c:lblOffset val="100"/>
        <c:noMultiLvlLbl val="false"/>
      </c:catAx>
      <c:valAx>
        <c:axId val="263834167"/>
        <c:scaling>
          <c:orientation val="minMax"/>
        </c:scaling>
        <c:delete val="false"/>
        <c:axPos val="b"/>
        <c:majorGridlines>
          <c:spPr>
            <a:ln w="9525" cap="flat" cmpd="sng" algn="ctr">
              <a:solidFill>
                <a:schemeClr val="lt1">
                  <a:lumMod val="90200"/>
                </a:schemeClr>
              </a:solidFill>
              <a:round/>
            </a:ln>
            <a:effectLst/>
          </c:spPr>
        </c:majorGridlines>
        <c:numFmt formatCode="0.00%" sourceLinked="true"/>
        <c:majorTickMark val="none"/>
        <c:minorTickMark val="none"/>
        <c:tickLblPos val="nextTo"/>
        <c:spPr>
          <a:noFill/>
          <a:ln>
            <a:noFill/>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712304110"/>
        <c:crosses val="autoZero"/>
        <c:crossBetween val="between"/>
      </c:valAx>
      <c:spPr>
        <a:noFill/>
        <a:ln>
          <a:noFill/>
        </a:ln>
        <a:effectLst/>
      </c:spPr>
    </c:plotArea>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true">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true">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word/theme/themeOverride1.xml><?xml version="1.0" encoding="utf-8"?>
<a:themeOverride xmlns:a="http://schemas.openxmlformats.org/drawingml/2006/main">
  <a:clrScheme name="彩色2">
    <a:dk1>
      <a:srgbClr val="000000"/>
    </a:dk1>
    <a:lt1>
      <a:srgbClr val="FFFFFF"/>
    </a:lt1>
    <a:dk2>
      <a:srgbClr val="44546A"/>
    </a:dk2>
    <a:lt2>
      <a:srgbClr val="E7E6E6"/>
    </a:lt2>
    <a:accent1>
      <a:srgbClr val="FF5958"/>
    </a:accent1>
    <a:accent2>
      <a:srgbClr val="FABB00"/>
    </a:accent2>
    <a:accent3>
      <a:srgbClr val="AC68FB"/>
    </a:accent3>
    <a:accent4>
      <a:srgbClr val="F75090"/>
    </a:accent4>
    <a:accent5>
      <a:srgbClr val="FF920C"/>
    </a:accent5>
    <a:accent6>
      <a:srgbClr val="ABD500"/>
    </a:accent6>
    <a:hlink>
      <a:srgbClr val="0026E5"/>
    </a:hlink>
    <a:folHlink>
      <a:srgbClr val="7E1FA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2.xml><?xml version="1.0" encoding="utf-8"?>
<a:themeOverride xmlns:a="http://schemas.openxmlformats.org/drawingml/2006/main">
  <a:clrScheme name="多彩-04">
    <a:dk1>
      <a:srgbClr val="000000"/>
    </a:dk1>
    <a:lt1>
      <a:srgbClr val="FFFFFF"/>
    </a:lt1>
    <a:dk2>
      <a:srgbClr val="000000"/>
    </a:dk2>
    <a:lt2>
      <a:srgbClr val="FEFFFF"/>
    </a:lt2>
    <a:accent1>
      <a:srgbClr val="FFB143"/>
    </a:accent1>
    <a:accent2>
      <a:srgbClr val="FE7B48"/>
    </a:accent2>
    <a:accent3>
      <a:srgbClr val="5FB6FF"/>
    </a:accent3>
    <a:accent4>
      <a:srgbClr val="3787FF"/>
    </a:accent4>
    <a:accent5>
      <a:srgbClr val="06BB9A"/>
    </a:accent5>
    <a:accent6>
      <a:srgbClr val="8E7EF1"/>
    </a:accent6>
    <a:hlink>
      <a:srgbClr val="304FFE"/>
    </a:hlink>
    <a:folHlink>
      <a:srgbClr val="00A3F4"/>
    </a:folHlink>
  </a:clrScheme>
  <a:fontScheme name="微软雅黑">
    <a:majorFont>
      <a:latin typeface="Arial"/>
      <a:ea typeface="微软雅黑"/>
      <a:cs typeface=""/>
    </a:majorFont>
    <a:minorFont>
      <a:latin typeface="Arial"/>
      <a:ea typeface="微软雅黑"/>
      <a:cs typeface=""/>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87</Pages>
  <Words>2794</Words>
  <Characters>3140</Characters>
  <Lines>266</Lines>
  <Paragraphs>75</Paragraphs>
  <TotalTime>65</TotalTime>
  <ScaleCrop>false</ScaleCrop>
  <LinksUpToDate>false</LinksUpToDate>
  <CharactersWithSpaces>3490</CharactersWithSpaces>
  <Application>WPS Office_11.8.2.9980_F1E327BC-269C-435d-A152-05C5408002CA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2022-01-27T03:30:00Z</dcterms:created>
  <dc:creator>钟 小雪</dc:creator>
  <cp:lastModifiedBy> </cp:lastModifiedBy>
  <cp:lastPrinted>2024-12-28T15:16:00Z</cp:lastPrinted>
  <dcterms:modified xsi:type="dcterms:W3CDTF">2025-07-18T09:33:23Z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545CB4A4CB4D44E7A0439F6DC4CB0BF9_13</vt:lpwstr>
  </property>
  <property fmtid="{D5CDD505-2E9C-101B-9397-08002B2CF9AE}" pid="4" name="KSOTemplateDocerSaveRecord">
    <vt:lpwstr>eyJoZGlkIjoiMzEwNTM5NzYwMDRjMzkwZTVkZjY2ODkwMGIxNGU0OTUiLCJ1c2VySWQiOiIzOTY1MTQ1MjUifQ==</vt:lpwstr>
  </property>
</Properties>
</file>