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试题1　制作并观察人口腔上皮细胞临时装片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adjustRightInd w:val="0"/>
        <w:snapToGrid w:val="0"/>
        <w:spacing w:line="360" w:lineRule="auto"/>
        <w:ind w:firstLine="1260" w:firstLineChars="600"/>
        <w:rPr>
          <w:rFonts w:ascii="宋体" w:hAnsi="宋体" w:cs="宋体"/>
          <w:sz w:val="27"/>
          <w:szCs w:val="27"/>
        </w:rPr>
      </w:pPr>
      <w:r>
        <w:rPr>
          <w:rFonts w:hint="eastAsia" w:ascii="Times New Roman" w:hAnsi="Times New Roman" w:eastAsia="黑体"/>
          <w:szCs w:val="21"/>
        </w:rPr>
        <w:t>　　　　　　　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6119"/>
        <w:gridCol w:w="852"/>
        <w:gridCol w:w="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实验步骤</w:t>
            </w:r>
          </w:p>
        </w:tc>
        <w:tc>
          <w:tcPr>
            <w:tcW w:w="3367" w:type="pct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操作要求及评分标准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分值</w:t>
            </w:r>
          </w:p>
        </w:tc>
        <w:tc>
          <w:tcPr>
            <w:tcW w:w="385" w:type="pct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1.检查实验材料用具</w:t>
            </w:r>
          </w:p>
        </w:tc>
        <w:tc>
          <w:tcPr>
            <w:tcW w:w="3367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检查下列实验材料用具是否齐全：显微镜、生理盐水、</w:t>
            </w:r>
            <w:r>
              <w:rPr>
                <w:rFonts w:ascii="Times New Roman" w:hAnsi="Times New Roman" w:eastAsia="宋体" w:cs="Times New Roman"/>
                <w:kern w:val="24"/>
                <w:sz w:val="21"/>
                <w:szCs w:val="21"/>
                <w:lang w:eastAsia="zh-CN"/>
              </w:rPr>
              <w:t>碘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液、消毒牙签、滴管、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镊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子、载玻片、盖玻片、吸水纸、纱布。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385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79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2.制作人口腔上皮细胞临时装片</w:t>
            </w:r>
          </w:p>
        </w:tc>
        <w:tc>
          <w:tcPr>
            <w:tcW w:w="33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A.用纱布擦净载玻片、盖玻片，并在洁净的载玻片中央滴一滴生理盐水。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3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779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67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B.用干净的清水漱口，多漱几次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用消毒牙签在漱干净的口腔侧壁轻刮几下，将牙签附有刮取物的一端，在载玻片上的生理盐水中涂抹几下。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385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C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.用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镊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子夹起盖玻片，使盖玻片一侧先接触载玻片上的液滴，缓缓地盖在液滴上，不出现气泡。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3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D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.在盖玻片一侧滴加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碘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液，另一侧用吸水纸引流，使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碘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液浸润整个标本，染色效果好。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3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79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3.观察人口腔上皮细胞</w:t>
            </w:r>
          </w:p>
        </w:tc>
        <w:tc>
          <w:tcPr>
            <w:tcW w:w="33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A.取镜、安放、组装、调试好显微镜。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3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B.用低倍显微镜观察，在视野中找到细胞物像，然后旋转细准焦螺旋使物像清晰。仔细观察和识别人口腔上皮细胞的形态。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3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4.绘制人口腔上皮细胞的结构简图</w:t>
            </w:r>
          </w:p>
        </w:tc>
        <w:tc>
          <w:tcPr>
            <w:tcW w:w="33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根据观察结果，绘制一个人口腔上皮细胞结构简图，并标注出细胞膜、细胞质和细胞核三部分结构。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2分</w:t>
            </w:r>
          </w:p>
        </w:tc>
        <w:tc>
          <w:tcPr>
            <w:tcW w:w="3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5.实验整理</w:t>
            </w:r>
          </w:p>
        </w:tc>
        <w:tc>
          <w:tcPr>
            <w:tcW w:w="336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38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14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tabs>
                <w:tab w:val="left" w:pos="426"/>
              </w:tabs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10分</w:t>
            </w:r>
          </w:p>
        </w:tc>
        <w:tc>
          <w:tcPr>
            <w:tcW w:w="38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</w:tbl>
    <w:p>
      <w:pPr>
        <w:ind w:firstLine="1204" w:firstLineChars="500"/>
        <w:rPr>
          <w:b/>
          <w:sz w:val="24"/>
          <w:szCs w:val="24"/>
        </w:rPr>
      </w:pPr>
      <w:bookmarkStart w:id="0" w:name="_Hlk193203259"/>
    </w:p>
    <w:bookmarkEnd w:id="0"/>
    <w:p>
      <w:pPr>
        <w:ind w:firstLine="1405" w:firstLineChars="500"/>
        <w:rPr>
          <w:rFonts w:hint="eastAsia" w:ascii="仿宋_GB2312" w:hAnsi="宋体" w:eastAsia="仿宋_GB2312"/>
          <w:b/>
          <w:bCs/>
          <w:sz w:val="28"/>
          <w:szCs w:val="24"/>
          <w:u w:val="single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spacing w:line="360" w:lineRule="auto"/>
        <w:jc w:val="center"/>
        <w:rPr>
          <w:rFonts w:hint="eastAsia" w:ascii="黑体" w:hAnsi="黑体" w:eastAsia="黑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/>
          <w:spacing w:val="-24"/>
          <w:w w:val="90"/>
          <w:sz w:val="30"/>
          <w:szCs w:val="3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2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  <w:lang w:eastAsia="zh-CN"/>
        </w:rPr>
        <w:t>　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制作并观察洋葱鳞片叶内表皮细胞临时装片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260"/>
        <w:gridCol w:w="858"/>
        <w:gridCol w:w="6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实验步骤</w:t>
            </w:r>
          </w:p>
        </w:tc>
        <w:tc>
          <w:tcPr>
            <w:tcW w:w="3445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操作要求及评分标准</w:t>
            </w:r>
          </w:p>
        </w:tc>
        <w:tc>
          <w:tcPr>
            <w:tcW w:w="472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检查实验材料用具</w:t>
            </w: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检查下列实验材料用具是否齐全：洋葱鳞片叶、清水、碘液、显微镜、载玻片、盖玻片、滴管、刀片、解剖针、镊子、干净纱布、吸水纸。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制作洋葱鳞片叶内表皮细胞临时装片</w:t>
            </w: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用纱布擦净载玻片和盖玻片，用滴管在载玻片中央滴一滴清水。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选取材料：用镊子撕取一小块洋葱鳞片叶的内表皮。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bottom w:val="nil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C.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展平：将撕取的洋葱鳞片叶内表皮置于载玻片的清水中，用解剖针将表皮展平。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D.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加盖玻片：用镊子夹起盖玻片，一侧接触水滴，再缓缓盖上，不出现气泡。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E.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将一滴碘液滴在盖玻片的一侧，用吸水纸从盖玻片的另一侧吸引，使碘液浸润整个标本。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观察洋葱鳞片叶内皮细胞</w:t>
            </w: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取镜、安放、组装、调试好显微镜。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00" w:type="pct"/>
            <w:vMerge w:val="continue"/>
            <w:tcBorders>
              <w:left w:val="single" w:color="000000" w:sz="6" w:space="0"/>
              <w:bottom w:val="nil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用低倍显微镜观察，在视野中找到细胞物像，然后旋转细准焦螺旋使物像清晰。仔细观察和识别洋葱内表皮细胞的形态和结构。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绘制洋葱鳞片叶内皮细胞的结构简图</w:t>
            </w: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根据观察结果，绘制一个洋葱鳞片叶内表皮细胞结构简图，并标注出细胞壁、细胞质和细胞核四部分结构。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实验整理</w:t>
            </w:r>
          </w:p>
        </w:tc>
        <w:tc>
          <w:tcPr>
            <w:tcW w:w="34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145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472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38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</w:tbl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bookmarkStart w:id="1" w:name="_Hlk193211459"/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bookmarkEnd w:id="1"/>
    </w:p>
    <w:p>
      <w:pPr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3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制作并观察番茄果肉细胞临时装片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117"/>
        <w:gridCol w:w="854"/>
        <w:gridCol w:w="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实验步骤</w:t>
            </w:r>
          </w:p>
        </w:tc>
        <w:tc>
          <w:tcPr>
            <w:tcW w:w="3366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操作要求及评分标准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1.检查实验材料用具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检查下列实验材料用具是否齐全：番茄、清水、纱布、载玻片、盖玻片、显微镜、滴管、镊子、解剖针、培养皿、刀片。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2.制作番茄果肉细胞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临时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装片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A.用纱布擦净载玻片和盖玻片，用滴管在载玻片中央滴一滴清水。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B.用解剖针挑取少许成熟的番茄果肉。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C.均匀地涂抹在载玻片的水滴中。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D.加盖玻片：用镊子夹起盖玻片，一侧接触水滴，再缓缓盖上，不出现气泡。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3.观察番茄果肉细胞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A.取镜、安放、组装、调试好显微镜。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B.用低倍显微镜观察，在视野中找到细胞物像，然后旋转细准焦螺旋使物像清晰。仔细观察和识别番茄果肉细胞的形态。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4.绘制番茄果肉细胞结构简图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根据观察结果，绘制一个番茄果肉细胞结构简图，并标注出细胞壁、细胞质和细胞核四部分结构。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5.实验整理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tabs>
                <w:tab w:val="left" w:pos="426"/>
              </w:tabs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4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观察人体几种常见的组织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5973"/>
        <w:gridCol w:w="854"/>
        <w:gridCol w:w="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79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实验步骤</w:t>
            </w:r>
          </w:p>
        </w:tc>
        <w:tc>
          <w:tcPr>
            <w:tcW w:w="3287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操作要求及评分标准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1.检查实验材料用具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检查下列实验材料用具是否齐全：显微镜、人体四种基本组织的永久切片（标签处贴号）、纱布。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79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2.正确使用显微镜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A.正确取镜安放、转动转换器，使低倍物镜对准通光孔。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B.调节显微镜的相关结构，使显微镜视野中的亮度符合所观察对象的需求。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3.用显微镜分别观察四种基本组织的永久切片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依次在显微镜下观察人体的四种基本组织永久切片，并做好相关记录。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4.辨别四种基本组织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根据不同组织的细胞形态结构、分布、排列特点，辨别四种基本组织并完成填空。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5.实验整理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10分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ind w:firstLine="1405" w:firstLineChars="500"/>
        <w:rPr>
          <w:rFonts w:hint="eastAsia" w:ascii="仿宋_GB2312" w:hAnsi="宋体" w:eastAsia="仿宋_GB2312"/>
          <w:b/>
          <w:bCs/>
          <w:sz w:val="28"/>
          <w:szCs w:val="24"/>
          <w:u w:val="single"/>
        </w:rPr>
      </w:pPr>
    </w:p>
    <w:p>
      <w:pPr>
        <w:ind w:firstLine="1405" w:firstLineChars="500"/>
        <w:rPr>
          <w:rFonts w:hint="eastAsia" w:ascii="仿宋_GB2312" w:hAnsi="宋体" w:eastAsia="仿宋_GB2312"/>
          <w:b/>
          <w:bCs/>
          <w:sz w:val="28"/>
          <w:szCs w:val="24"/>
          <w:u w:val="single"/>
        </w:rPr>
      </w:pPr>
    </w:p>
    <w:p>
      <w:pPr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5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观察大豆种子的结构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5973"/>
        <w:gridCol w:w="854"/>
        <w:gridCol w:w="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79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实验步骤</w:t>
            </w:r>
          </w:p>
        </w:tc>
        <w:tc>
          <w:tcPr>
            <w:tcW w:w="3287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操作要求及评分标准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1.检查实验材料用具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检查下列实验材料用具是否齐全：浸软的大豆种子、放大镜、解剖刀、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镊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子、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白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瓷盘（或培养皿）、干净纱布。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79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2.观察大豆种子的外形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A.取一粒浸软的大豆种子，放在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白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瓷盘中，观察它的外形。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79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B.指出大豆种子的种皮和种脐。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79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3.识别大豆种子的基本结构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A.用解剖刀剥离大豆种子的种皮。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79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B.用放大镜观察大豆种子的胚，识别胚根、胚轴、胚芽和子叶。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79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C.辨认子叶的枚数。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4.绘制大豆种子结构示意图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根据观察结果，绘制出大豆种子的结构示意图，并标注出大豆种子胚的各部分名称：胚根、胚轴、胚芽、子叶。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5.整理器材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10分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kern w:val="0"/>
                <w:szCs w:val="21"/>
                <w:lang w:eastAsia="en-US"/>
              </w:rPr>
            </w:pP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ind w:firstLine="1405" w:firstLineChars="500"/>
        <w:rPr>
          <w:rFonts w:hint="eastAsia" w:ascii="仿宋_GB2312" w:hAnsi="宋体" w:eastAsia="仿宋_GB2312"/>
          <w:b/>
          <w:bCs/>
          <w:sz w:val="28"/>
          <w:szCs w:val="24"/>
          <w:u w:val="single"/>
        </w:rPr>
      </w:pPr>
    </w:p>
    <w:p>
      <w:pPr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6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观察玉米种子的结构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5973"/>
        <w:gridCol w:w="854"/>
        <w:gridCol w:w="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79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实验步骤</w:t>
            </w:r>
          </w:p>
        </w:tc>
        <w:tc>
          <w:tcPr>
            <w:tcW w:w="3287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操作要求及评分标准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1.检查实验材料用具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检查下列实验材料用具是否齐全：浸软的玉米种子、放大镜、解剖刀（或刀片）、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镊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子、白瓷盘（或培养皿）、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碘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液、滴管、干净纱布。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2.观察玉米种子的外形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取一粒浸软的玉米种子，放在白瓷盘中，观察它的外形。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3.识别玉米种子的基本结构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镊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子夹住玉米种子，沿正中线用解剖刀纵向切开，用放大镜观察玉米种子纵剖面。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79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B.将一滴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碘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液滴在玉米种子的纵切面上，用放大镜观察玉米种子的各部分结构。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79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C.辨认果皮与种皮、胚根、胚轴、胚芽、子叶和胚乳。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4.绘制玉米种子结构示意图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根据观察结果，绘制出玉米种子的纵剖面结构示意图，并标注出玉米种子胚的各部分名称：胚根、胚轴、胚芽、子叶。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79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5.整理器材</w:t>
            </w:r>
          </w:p>
        </w:tc>
        <w:tc>
          <w:tcPr>
            <w:tcW w:w="328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tabs>
                <w:tab w:val="left" w:pos="426"/>
              </w:tabs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ind w:firstLine="1405" w:firstLineChars="500"/>
        <w:rPr>
          <w:rFonts w:hint="eastAsia" w:ascii="仿宋_GB2312" w:hAnsi="宋体" w:eastAsia="仿宋_GB2312"/>
          <w:b/>
          <w:bCs/>
          <w:sz w:val="28"/>
          <w:szCs w:val="24"/>
          <w:u w:val="single"/>
        </w:rPr>
      </w:pPr>
    </w:p>
    <w:p>
      <w:pPr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7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解剖和观察花的结构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117"/>
        <w:gridCol w:w="854"/>
        <w:gridCol w:w="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实验步骤</w:t>
            </w:r>
          </w:p>
        </w:tc>
        <w:tc>
          <w:tcPr>
            <w:tcW w:w="3366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操作要求及评分标准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1.检查实验材料用具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检查下列实验材料用具是否齐全：花、放大镜、解剖刀、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镊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子、载玻片、A4白纸、干净纱布。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2.解剖并观察花的基本结构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A.仔细观察花的外形和花的组成部分。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B.从外到内，用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镊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子依次摘下花的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花萼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、花冠、雄蕊、雌蕊，分别放在白纸上，并写出其名称。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C.将一枚雄蕊放到载玻片上，用放大镜观察，并指认出雄蕊的各部分结构。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D.将一枚雌蕊放到载玻片上，用放大镜观察，并指认出雌蕊的各部分结构。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E.在载玻片上，用解剖刀将雌蕊的子房纵向剖开，用放大镜观察胚珠。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3.整理器材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tabs>
                <w:tab w:val="left" w:pos="426"/>
              </w:tabs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ind w:firstLine="1405" w:firstLineChars="500"/>
        <w:rPr>
          <w:rFonts w:hint="eastAsia" w:ascii="仿宋_GB2312" w:hAnsi="宋体" w:eastAsia="仿宋_GB2312"/>
          <w:b/>
          <w:bCs/>
          <w:sz w:val="28"/>
          <w:szCs w:val="24"/>
          <w:u w:val="single"/>
        </w:rPr>
      </w:pP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8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观察血细胞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117"/>
        <w:gridCol w:w="854"/>
        <w:gridCol w:w="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实验步骤</w:t>
            </w:r>
          </w:p>
        </w:tc>
        <w:tc>
          <w:tcPr>
            <w:tcW w:w="3366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操作要求及评分标准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1.检查实验材料用具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检查下列实验材料用具是否齐全：人血的永久涂片、显微镜、纱布。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2.正确使用显微镜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A.正确取镜安放、转动转换器，使低倍物镜对准通光孔。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B.调节显微镜的相关结构，使显微镜视野中的亮度符合所观察对象的需求。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3.观察并识别红细胞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在显微镜视野中找到红细胞，并将其移到视野中央仔细观察。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4.观察并识别白细胞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在显微镜视野中找到白细胞，并将其移到视野中央仔细观察。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5.绘制红细胞和白细胞外形图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A.绘制红细胞的外形图。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B.写出红细胞的基本特征。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C.绘制白细胞的外形图。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D.写出白细胞的基本特征。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6.整理器材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tabs>
                <w:tab w:val="left" w:pos="426"/>
              </w:tabs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Cs w:val="21"/>
                <w:lang w:eastAsia="en-US"/>
              </w:rPr>
            </w:pPr>
          </w:p>
        </w:tc>
      </w:tr>
    </w:tbl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9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观察鸡卵的结构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1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5643"/>
        <w:gridCol w:w="855"/>
        <w:gridCol w:w="8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72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实验步骤</w:t>
            </w:r>
          </w:p>
        </w:tc>
        <w:tc>
          <w:tcPr>
            <w:tcW w:w="309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操作要求及评分标准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972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检查实验材料用具</w:t>
            </w:r>
          </w:p>
        </w:tc>
        <w:tc>
          <w:tcPr>
            <w:tcW w:w="30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检查下列实验材料用具是否齐全：新鲜鸡卵、放大镜、镊子、解剖针、培养皿。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972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观察鸡卵的外形</w:t>
            </w:r>
          </w:p>
        </w:tc>
        <w:tc>
          <w:tcPr>
            <w:tcW w:w="30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找到鸡卵的钝端。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972" w:type="pct"/>
            <w:vMerge w:val="restart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轻轻敲开钝端卵壳，除去部分卵壳及外壳膜，找到气室</w:t>
            </w:r>
          </w:p>
        </w:tc>
        <w:tc>
          <w:tcPr>
            <w:tcW w:w="30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将鸡卵的钝端轻轻敲出裂纹，用镊子将破裂的卵壳及外壳膜除去。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72" w:type="pct"/>
            <w:vMerge w:val="continue"/>
            <w:tcBorders>
              <w:left w:val="single" w:color="000000" w:sz="6" w:space="0"/>
              <w:bottom w:val="nil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94" w:type="pc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B.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找到并观察气室。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972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完整地倒出鸡卵的内容物</w:t>
            </w:r>
          </w:p>
        </w:tc>
        <w:tc>
          <w:tcPr>
            <w:tcW w:w="30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将壳膜内的内容物完整地倒人培养皿内。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972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用放大镜观察并辨认鸡卵的结构</w:t>
            </w:r>
          </w:p>
        </w:tc>
        <w:tc>
          <w:tcPr>
            <w:tcW w:w="30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用放大镜观察，并用解剖针指出卵白、卵黄、系带、胚盘等结构。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72" w:type="pct"/>
            <w:vMerge w:val="restart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绘制鸡卵的结构示意图</w:t>
            </w:r>
          </w:p>
        </w:tc>
        <w:tc>
          <w:tcPr>
            <w:tcW w:w="30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绘制鸡卵的结构示意图。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72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在图中标注卵黄膜、卵黄和胚盘。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72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整理器材</w:t>
            </w:r>
          </w:p>
        </w:tc>
        <w:tc>
          <w:tcPr>
            <w:tcW w:w="30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tabs>
                <w:tab w:val="left" w:pos="426"/>
              </w:tabs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469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Theme="minorEastAsia" w:cstheme="minorBidi"/>
                <w:szCs w:val="21"/>
                <w:lang w:eastAsia="en-US"/>
              </w:rPr>
            </w:pP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10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观察肾脏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Times New Roman" w:hAnsi="Times New Roman" w:eastAsia="黑体"/>
          <w:szCs w:val="21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117"/>
        <w:gridCol w:w="854"/>
        <w:gridCol w:w="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实验步骤</w:t>
            </w:r>
          </w:p>
        </w:tc>
        <w:tc>
          <w:tcPr>
            <w:tcW w:w="3366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操作要求及评分标准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1.检查实验材料用具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解剖盘、解剖刀、镊子、放大镜、新鲜动物肾脏（2个，其中1个纵剖）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2.观察肾脏的外形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A.取完整动物肾脏，放在解剖盘中，描述外形和颜色。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B.指出肾脏的动脉、静脉和输尿管。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3.识别肾脏基本结构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A.取纵剖的动物肾脏，放在解剖盘中，指出肾盂、皮质、髓质。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B.用放大镜观察肾脏的皮质和髓质，寻找这两种结构的差异。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 xml:space="preserve">2分 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4.绘制肾脏纵剖面结构示意图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A.根据观察结果，绘制肾脏纵剖面的结构示意图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，并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标注出肾脏的肾盂、皮质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和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髓质三个结构名称。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5.整理器材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  <w:t>10分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ind w:firstLine="1405" w:firstLineChars="500"/>
        <w:rPr>
          <w:rFonts w:hint="eastAsia" w:ascii="仿宋_GB2312" w:hAnsi="宋体" w:eastAsia="仿宋_GB2312"/>
          <w:b/>
          <w:bCs/>
          <w:sz w:val="28"/>
          <w:szCs w:val="24"/>
          <w:u w:val="single"/>
        </w:rPr>
      </w:pPr>
    </w:p>
    <w:p>
      <w:pPr>
        <w:ind w:firstLine="1405" w:firstLineChars="500"/>
        <w:rPr>
          <w:rFonts w:hint="eastAsia" w:ascii="仿宋_GB2312" w:hAnsi="宋体" w:eastAsia="仿宋_GB2312"/>
          <w:b/>
          <w:bCs/>
          <w:sz w:val="28"/>
          <w:szCs w:val="24"/>
          <w:u w:val="single"/>
        </w:rPr>
      </w:pPr>
    </w:p>
    <w:p>
      <w:pPr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11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用显微镜观察酵母菌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117"/>
        <w:gridCol w:w="854"/>
        <w:gridCol w:w="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实验步骤</w:t>
            </w:r>
          </w:p>
        </w:tc>
        <w:tc>
          <w:tcPr>
            <w:tcW w:w="3366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操作要求及评分标准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1.检查实验材料用具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显微镜、载玻片、盖玻片、镊子、碘液、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滴管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、吸水纸、烧杯和试管、酵母菌液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2.制作酵母菌临时装片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A.用洁净的纱布擦拭载玻片和盖玻片，用吸管吸取少量的酵母菌液，滴在载玻片中央。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00" w:type="pct"/>
            <w:vMerge w:val="continue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B.用镊子夹起盖玻片，使盖玻片一侧先接触载玻片上的液滴，缓缓地盖在液滴上，不出现气泡。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00" w:type="pct"/>
            <w:vMerge w:val="continue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C.在盖玻片一侧滴加碘液，另一侧用吸水纸引流，使碘液浸润整个标本，染色效果好。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3.用低倍物镜观察酵母菌临时装片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A.取镜、安放、组装、调试好显微镜。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B.用低倍显微镜观察，在视野中找到细胞物像，然后旋转细准焦螺旋使物像清晰。仔细观察和识别酵母菌，找到处于出芽生殖状态的酵母菌。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4.绘制酵母菌出芽生殖示意图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根据观察结果，绘制显微镜视野中酵母菌的出芽生殖示意图。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5.整理器材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10分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spacing w:line="360" w:lineRule="auto"/>
        <w:jc w:val="center"/>
        <w:rPr>
          <w:rFonts w:ascii="方正小标宋简体" w:hAnsi="黑体" w:eastAsia="方正小标宋简体" w:cs="宋体"/>
          <w:bCs/>
          <w:kern w:val="0"/>
          <w:sz w:val="40"/>
          <w:szCs w:val="40"/>
        </w:rPr>
      </w:pPr>
      <w:r>
        <w:rPr>
          <w:rFonts w:hint="eastAsia" w:ascii="黑体" w:hAnsi="黑体" w:eastAsia="黑体"/>
          <w:spacing w:val="-24"/>
          <w:w w:val="90"/>
          <w:sz w:val="30"/>
          <w:szCs w:val="30"/>
        </w:rPr>
        <w:t>遂宁市2025年初中毕业生学业考试暨高中阶段学校招生理科实验操作考试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eastAsia="zh-CN"/>
        </w:rPr>
        <w:t>生物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评分表</w:t>
      </w: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试题</w:t>
      </w:r>
      <w:r>
        <w:rPr>
          <w:rFonts w:ascii="方正小标宋简体" w:hAnsi="黑体" w:eastAsia="方正小标宋简体" w:cs="宋体"/>
          <w:bCs/>
          <w:kern w:val="0"/>
          <w:sz w:val="32"/>
          <w:szCs w:val="32"/>
        </w:rPr>
        <w:t>12</w:t>
      </w:r>
      <w:r>
        <w:rPr>
          <w:rFonts w:hint="eastAsia" w:ascii="方正小标宋简体" w:hAnsi="黑体" w:eastAsia="方正小标宋简体" w:cs="宋体"/>
          <w:bCs/>
          <w:kern w:val="0"/>
          <w:sz w:val="32"/>
          <w:szCs w:val="32"/>
        </w:rPr>
        <w:t>　验证唾液对淀粉的消化作用</w:t>
      </w: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hint="eastAsia" w:ascii="Times New Roman" w:hAnsi="Times New Roman" w:eastAsia="黑体"/>
          <w:szCs w:val="21"/>
          <w:u w:val="single"/>
        </w:rPr>
      </w:pPr>
      <w:r>
        <w:rPr>
          <w:rFonts w:hint="eastAsia" w:ascii="Times New Roman" w:hAnsi="Times New Roman" w:eastAsia="黑体"/>
          <w:szCs w:val="21"/>
        </w:rPr>
        <w:t>学校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报名号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  <w:r>
        <w:rPr>
          <w:rFonts w:hint="eastAsia" w:ascii="Times New Roman" w:hAnsi="Times New Roman" w:eastAsia="黑体"/>
          <w:szCs w:val="21"/>
        </w:rPr>
        <w:t>　　姓名</w:t>
      </w:r>
      <w:r>
        <w:rPr>
          <w:rFonts w:hint="eastAsia" w:ascii="Times New Roman" w:hAnsi="Times New Roman" w:eastAsia="黑体"/>
          <w:szCs w:val="21"/>
          <w:u w:val="single"/>
        </w:rPr>
        <w:t>　　　　　　　</w:t>
      </w:r>
    </w:p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117"/>
        <w:gridCol w:w="854"/>
        <w:gridCol w:w="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实验步骤</w:t>
            </w:r>
          </w:p>
        </w:tc>
        <w:tc>
          <w:tcPr>
            <w:tcW w:w="3366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操作要求及评分标准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464" w:type="pct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1.检查实验材料用具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检查下列实验材料用具是否齐全：试管、碘液、滴管、淀粉溶液、试管架、烧杯、标签纸、淀粉酶溶液(代替唾液)、恒温箱。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2.控制变量实施实验。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A.取二支试管，贴上标签纸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分别编号1、2。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B.向1、2号试管加入等量澄清淀粉液（2-3毫升）。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00" w:type="pct"/>
            <w:vMerge w:val="continue"/>
            <w:tcBorders>
              <w:left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C.设置对照：向1号试管中加2毫升淀粉酶溶液摇匀，2号试管加2毫升清水摇匀。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00" w:type="pct"/>
            <w:vMerge w:val="continue"/>
            <w:tcBorders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D.恒温加热：将1、2号试管同时放入37.5℃温水中加热、保温5分钟（淀粉酶适宜温度高，建议水温调到50-60℃，效果更好）。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3.观察记录实验结果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向1、2号试管同时滴入2-3滴</w:t>
            </w:r>
            <w:bookmarkStart w:id="2" w:name="OLE_LINK1"/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碘液</w:t>
            </w:r>
            <w:bookmarkEnd w:id="2"/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，准确记录实验结果。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4.科学解释实验结果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准确描述加入碘液后，两支试管溶液呈现颜色出现的原因。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2分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00" w:type="pc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5.实验整理</w:t>
            </w:r>
          </w:p>
        </w:tc>
        <w:tc>
          <w:tcPr>
            <w:tcW w:w="33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整理实验器材，清理实验台。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066" w:type="pct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7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pStyle w:val="12"/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10分</w:t>
            </w:r>
          </w:p>
        </w:tc>
        <w:tc>
          <w:tcPr>
            <w:tcW w:w="464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auto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zh-CN"/>
              </w:rPr>
            </w:pP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sz w:val="27"/>
          <w:szCs w:val="27"/>
        </w:rPr>
      </w:pPr>
    </w:p>
    <w:p>
      <w:pPr>
        <w:ind w:firstLine="4060" w:firstLineChars="1692"/>
        <w:rPr>
          <w:rFonts w:ascii="仿宋" w:hAnsi="仿宋" w:eastAsia="仿宋" w:cs="宋体"/>
          <w:bCs/>
          <w:color w:val="000000"/>
          <w:kern w:val="0"/>
          <w:sz w:val="24"/>
          <w:szCs w:val="28"/>
        </w:rPr>
      </w:pPr>
    </w:p>
    <w:p>
      <w:pPr>
        <w:ind w:firstLine="1405" w:firstLineChars="500"/>
        <w:rPr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4"/>
        </w:rPr>
        <w:t>监考教师签名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  <w:r>
        <w:rPr>
          <w:rFonts w:hint="eastAsia" w:ascii="仿宋_GB2312" w:hAnsi="宋体" w:eastAsia="仿宋_GB2312"/>
          <w:b/>
          <w:bCs/>
          <w:sz w:val="28"/>
          <w:szCs w:val="24"/>
        </w:rPr>
        <w:t>　　得分</w:t>
      </w:r>
      <w:r>
        <w:rPr>
          <w:rFonts w:hint="eastAsia" w:ascii="仿宋_GB2312" w:hAnsi="宋体" w:eastAsia="仿宋_GB2312"/>
          <w:b/>
          <w:bCs/>
          <w:sz w:val="28"/>
          <w:szCs w:val="24"/>
          <w:u w:val="single"/>
        </w:rPr>
        <w:t>　　　　　　　</w:t>
      </w:r>
    </w:p>
    <w:p>
      <w:pPr>
        <w:ind w:firstLine="1505" w:firstLineChars="500"/>
        <w:rPr>
          <w:rFonts w:hint="eastAsia" w:ascii="仿宋_GB2312" w:hAnsi="宋体" w:eastAsia="仿宋_GB2312"/>
          <w:b/>
          <w:bCs/>
          <w:sz w:val="30"/>
          <w:szCs w:val="30"/>
          <w:u w:val="single"/>
        </w:rPr>
      </w:pPr>
      <w:bookmarkStart w:id="3" w:name="_GoBack"/>
      <w:bookmarkEnd w:id="3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F0"/>
    <w:rsid w:val="000023C3"/>
    <w:rsid w:val="00011F86"/>
    <w:rsid w:val="000404DC"/>
    <w:rsid w:val="00057D3C"/>
    <w:rsid w:val="000713B7"/>
    <w:rsid w:val="00084F47"/>
    <w:rsid w:val="00090853"/>
    <w:rsid w:val="000B018C"/>
    <w:rsid w:val="000B6AF6"/>
    <w:rsid w:val="000D3AB4"/>
    <w:rsid w:val="000E287E"/>
    <w:rsid w:val="000F2D98"/>
    <w:rsid w:val="00101C5F"/>
    <w:rsid w:val="00104097"/>
    <w:rsid w:val="001117FD"/>
    <w:rsid w:val="001136ED"/>
    <w:rsid w:val="00121429"/>
    <w:rsid w:val="0014192F"/>
    <w:rsid w:val="00142DBB"/>
    <w:rsid w:val="00150770"/>
    <w:rsid w:val="001508A9"/>
    <w:rsid w:val="00162528"/>
    <w:rsid w:val="001625D7"/>
    <w:rsid w:val="0018717C"/>
    <w:rsid w:val="001958FA"/>
    <w:rsid w:val="001B4764"/>
    <w:rsid w:val="001C368B"/>
    <w:rsid w:val="001D2B8E"/>
    <w:rsid w:val="001D4C62"/>
    <w:rsid w:val="001E5FCE"/>
    <w:rsid w:val="001F3DCB"/>
    <w:rsid w:val="001F452E"/>
    <w:rsid w:val="002035B5"/>
    <w:rsid w:val="00205F93"/>
    <w:rsid w:val="0020714F"/>
    <w:rsid w:val="0021054A"/>
    <w:rsid w:val="002174D8"/>
    <w:rsid w:val="00220DB0"/>
    <w:rsid w:val="00223198"/>
    <w:rsid w:val="0022541A"/>
    <w:rsid w:val="00242116"/>
    <w:rsid w:val="00247B24"/>
    <w:rsid w:val="00254746"/>
    <w:rsid w:val="00260626"/>
    <w:rsid w:val="002674A5"/>
    <w:rsid w:val="00272FF3"/>
    <w:rsid w:val="002814C9"/>
    <w:rsid w:val="002C4E65"/>
    <w:rsid w:val="002E09E5"/>
    <w:rsid w:val="0030508E"/>
    <w:rsid w:val="00317292"/>
    <w:rsid w:val="00332C95"/>
    <w:rsid w:val="00351577"/>
    <w:rsid w:val="00351B82"/>
    <w:rsid w:val="003B0665"/>
    <w:rsid w:val="003B748E"/>
    <w:rsid w:val="00412141"/>
    <w:rsid w:val="00421E89"/>
    <w:rsid w:val="00433B0B"/>
    <w:rsid w:val="00456FA3"/>
    <w:rsid w:val="004625A8"/>
    <w:rsid w:val="004A3735"/>
    <w:rsid w:val="004E44C4"/>
    <w:rsid w:val="004F74B1"/>
    <w:rsid w:val="00502234"/>
    <w:rsid w:val="005434D2"/>
    <w:rsid w:val="0059258B"/>
    <w:rsid w:val="005A3F9E"/>
    <w:rsid w:val="005B7A54"/>
    <w:rsid w:val="005C01BE"/>
    <w:rsid w:val="005C5EB6"/>
    <w:rsid w:val="005F00D2"/>
    <w:rsid w:val="005F57DB"/>
    <w:rsid w:val="0060445F"/>
    <w:rsid w:val="0061019E"/>
    <w:rsid w:val="006345DE"/>
    <w:rsid w:val="006537C3"/>
    <w:rsid w:val="00661784"/>
    <w:rsid w:val="00692966"/>
    <w:rsid w:val="00695A55"/>
    <w:rsid w:val="006A60D3"/>
    <w:rsid w:val="006B434D"/>
    <w:rsid w:val="006C3B45"/>
    <w:rsid w:val="006C41CE"/>
    <w:rsid w:val="006C7CCE"/>
    <w:rsid w:val="006E0447"/>
    <w:rsid w:val="006F09AE"/>
    <w:rsid w:val="006F0F85"/>
    <w:rsid w:val="007043F0"/>
    <w:rsid w:val="007212FA"/>
    <w:rsid w:val="00737620"/>
    <w:rsid w:val="007444AA"/>
    <w:rsid w:val="00761206"/>
    <w:rsid w:val="00762F58"/>
    <w:rsid w:val="00763328"/>
    <w:rsid w:val="00777572"/>
    <w:rsid w:val="00777F24"/>
    <w:rsid w:val="0078309D"/>
    <w:rsid w:val="007C31AE"/>
    <w:rsid w:val="007D7488"/>
    <w:rsid w:val="007F77AB"/>
    <w:rsid w:val="00812DBA"/>
    <w:rsid w:val="0081307A"/>
    <w:rsid w:val="008650E7"/>
    <w:rsid w:val="00871DF3"/>
    <w:rsid w:val="008726BA"/>
    <w:rsid w:val="00873EFD"/>
    <w:rsid w:val="00896061"/>
    <w:rsid w:val="008A0282"/>
    <w:rsid w:val="008B0107"/>
    <w:rsid w:val="009057DF"/>
    <w:rsid w:val="009119D0"/>
    <w:rsid w:val="009171A9"/>
    <w:rsid w:val="00931496"/>
    <w:rsid w:val="00971D2F"/>
    <w:rsid w:val="00972791"/>
    <w:rsid w:val="0097415C"/>
    <w:rsid w:val="00974661"/>
    <w:rsid w:val="009860CD"/>
    <w:rsid w:val="009A190A"/>
    <w:rsid w:val="009A3F41"/>
    <w:rsid w:val="009D25BC"/>
    <w:rsid w:val="009E24BC"/>
    <w:rsid w:val="009E7CDE"/>
    <w:rsid w:val="009F6525"/>
    <w:rsid w:val="00A126D7"/>
    <w:rsid w:val="00A2520F"/>
    <w:rsid w:val="00A50381"/>
    <w:rsid w:val="00A64B11"/>
    <w:rsid w:val="00A6756D"/>
    <w:rsid w:val="00A705CF"/>
    <w:rsid w:val="00A8765C"/>
    <w:rsid w:val="00AA661E"/>
    <w:rsid w:val="00AD1750"/>
    <w:rsid w:val="00AD6629"/>
    <w:rsid w:val="00AE4200"/>
    <w:rsid w:val="00AF2E60"/>
    <w:rsid w:val="00AF5AF6"/>
    <w:rsid w:val="00B073D8"/>
    <w:rsid w:val="00B171D8"/>
    <w:rsid w:val="00B32657"/>
    <w:rsid w:val="00B457C1"/>
    <w:rsid w:val="00B913FB"/>
    <w:rsid w:val="00BB7C39"/>
    <w:rsid w:val="00BD74C3"/>
    <w:rsid w:val="00BF78E9"/>
    <w:rsid w:val="00C01F4B"/>
    <w:rsid w:val="00C10FCB"/>
    <w:rsid w:val="00C360BB"/>
    <w:rsid w:val="00C50F91"/>
    <w:rsid w:val="00C647DD"/>
    <w:rsid w:val="00C6569E"/>
    <w:rsid w:val="00C75B9F"/>
    <w:rsid w:val="00CA2390"/>
    <w:rsid w:val="00CC64F9"/>
    <w:rsid w:val="00CD0951"/>
    <w:rsid w:val="00CF62A7"/>
    <w:rsid w:val="00D06897"/>
    <w:rsid w:val="00D365E8"/>
    <w:rsid w:val="00D517BC"/>
    <w:rsid w:val="00D51CE1"/>
    <w:rsid w:val="00D525EA"/>
    <w:rsid w:val="00D53D05"/>
    <w:rsid w:val="00D71DCC"/>
    <w:rsid w:val="00D85A6E"/>
    <w:rsid w:val="00D873C6"/>
    <w:rsid w:val="00DA07DB"/>
    <w:rsid w:val="00DD4960"/>
    <w:rsid w:val="00DF2752"/>
    <w:rsid w:val="00E02E10"/>
    <w:rsid w:val="00E06965"/>
    <w:rsid w:val="00E12DB0"/>
    <w:rsid w:val="00E20E61"/>
    <w:rsid w:val="00E34873"/>
    <w:rsid w:val="00E46BE0"/>
    <w:rsid w:val="00E72E43"/>
    <w:rsid w:val="00E92408"/>
    <w:rsid w:val="00EA0CE3"/>
    <w:rsid w:val="00EB1080"/>
    <w:rsid w:val="00EB2840"/>
    <w:rsid w:val="00EB34B2"/>
    <w:rsid w:val="00EC2C55"/>
    <w:rsid w:val="00EC5AB0"/>
    <w:rsid w:val="00EE20CB"/>
    <w:rsid w:val="00EF2C22"/>
    <w:rsid w:val="00EF50FD"/>
    <w:rsid w:val="00EF5383"/>
    <w:rsid w:val="00F036AD"/>
    <w:rsid w:val="00F074F6"/>
    <w:rsid w:val="00F10740"/>
    <w:rsid w:val="00F45D1D"/>
    <w:rsid w:val="00F61897"/>
    <w:rsid w:val="00F722E9"/>
    <w:rsid w:val="00FA0760"/>
    <w:rsid w:val="00FA2124"/>
    <w:rsid w:val="00FA4DE6"/>
    <w:rsid w:val="00FC41FE"/>
    <w:rsid w:val="00FC44B0"/>
    <w:rsid w:val="00FD0B78"/>
    <w:rsid w:val="04076A27"/>
    <w:rsid w:val="1BFD8AA9"/>
    <w:rsid w:val="3CBF62C5"/>
    <w:rsid w:val="6B6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spacing w:before="8"/>
      <w:ind w:left="471"/>
      <w:jc w:val="left"/>
    </w:pPr>
    <w:rPr>
      <w:rFonts w:ascii="宋体" w:hAnsi="宋体"/>
      <w:kern w:val="0"/>
      <w:sz w:val="20"/>
      <w:szCs w:val="20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宋体"/>
      <w:lang w:eastAsia="en-US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射洪市教育科学研究室</Manager>
  <Company>射洪市教育科学研究室</Company>
  <Pages>2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2025-03-19T00:45:00Z</dcterms:created>
  <dc:creator>周裕志</dc:creator>
  <cp:lastModifiedBy> </cp:lastModifiedBy>
  <dcterms:modified xsi:type="dcterms:W3CDTF">2025-03-28T15:52:18Z</dcterms:modified>
  <dc:subject>2025年遂宁市实验操作考试</dc:subject>
  <dc:title>2025年遂宁市实验操作考试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D48E09703D9EBF3695FEE5672C38C2A8_42</vt:lpwstr>
  </property>
</Properties>
</file>