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方正小标宋简体"/>
          <w:b/>
          <w:bCs/>
          <w:sz w:val="36"/>
          <w:szCs w:val="36"/>
        </w:rPr>
      </w:pPr>
    </w:p>
    <w:p>
      <w:pPr>
        <w:jc w:val="center"/>
        <w:rPr>
          <w:rFonts w:ascii="华文中宋" w:hAnsi="华文中宋" w:eastAsia="华文中宋" w:cs="方正小标宋简体"/>
          <w:b/>
          <w:bCs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bCs/>
          <w:sz w:val="36"/>
          <w:szCs w:val="36"/>
        </w:rPr>
        <w:t>遂宁市教育和体育局</w:t>
      </w:r>
    </w:p>
    <w:p>
      <w:pPr>
        <w:jc w:val="center"/>
        <w:rPr>
          <w:rFonts w:ascii="华文中宋" w:hAnsi="华文中宋" w:eastAsia="华文中宋" w:cs="方正小标宋简体"/>
          <w:b/>
          <w:bCs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bCs/>
          <w:sz w:val="36"/>
          <w:szCs w:val="36"/>
        </w:rPr>
        <w:t>关于《中等职业学校“双师型”教师认定</w:t>
      </w:r>
      <w:r>
        <w:rPr>
          <w:rFonts w:hint="eastAsia" w:ascii="华文中宋" w:hAnsi="华文中宋" w:eastAsia="华文中宋" w:cs="方正小标宋简体"/>
          <w:b/>
          <w:bCs/>
          <w:sz w:val="36"/>
          <w:szCs w:val="36"/>
          <w:lang w:eastAsia="zh-CN"/>
        </w:rPr>
        <w:t>工作</w:t>
      </w:r>
      <w:r>
        <w:rPr>
          <w:rFonts w:hint="eastAsia" w:ascii="华文中宋" w:hAnsi="华文中宋" w:eastAsia="华文中宋" w:cs="方正小标宋简体"/>
          <w:b/>
          <w:bCs/>
          <w:sz w:val="36"/>
          <w:szCs w:val="36"/>
        </w:rPr>
        <w:t>实施细则的通知》的起草说明</w:t>
      </w:r>
    </w:p>
    <w:p>
      <w:pPr>
        <w:ind w:firstLine="420" w:firstLineChars="200"/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一、起草背景和依据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（一）起草《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遂宁市</w:t>
      </w:r>
      <w:r>
        <w:rPr>
          <w:rFonts w:hint="eastAsia" w:ascii="楷体_GB2312" w:hAnsi="楷体_GB2312" w:eastAsia="楷体_GB2312" w:cs="楷体_GB2312"/>
          <w:sz w:val="32"/>
          <w:szCs w:val="32"/>
        </w:rPr>
        <w:t>中等职业学校“双师型”教师认定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工作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实施细则》（以下简称《实施细则》）的背景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为贯彻党的二十大精神，落实新修订的《中华人民共和国职业教育法》《中共中央 国务院关于全面深化新时代教师队伍建设改革的意见》和中共中央办公厅、国务院办公厅印发《关于推动现代职业教育高质量发展的意见》要求，加快推进职业教育“双师型”教师队伍高质量建设，健全教师标准体系。</w:t>
      </w:r>
    </w:p>
    <w:p>
      <w:pPr>
        <w:numPr>
          <w:ilvl w:val="0"/>
          <w:numId w:val="1"/>
        </w:num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编制依据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《教育部办公厅关于做好职业教育“双师型”教师认定工作的通知》（教师厅〔2022〕2号）、《四川省教育厅办公室关于做好职业教育“双师型”教师认定工作的通知》</w:t>
      </w:r>
      <w:r>
        <w:rPr>
          <w:rFonts w:hint="default" w:ascii="Times New Roman" w:hAnsi="Times New Roman" w:eastAsia="CESI仿宋-GB2312" w:cs="Times New Roman"/>
          <w:color w:val="333333"/>
          <w:sz w:val="32"/>
          <w:szCs w:val="32"/>
        </w:rPr>
        <w:t>《四川省职业教育“双师型”教师认定基本条件（试行）》的通知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（川教〔2023〕128号）。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t xml:space="preserve"> </w:t>
      </w:r>
      <w:r>
        <w:rPr>
          <w:rFonts w:hint="eastAsia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日，遂宁市教育体育局接到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CESI仿宋-GB2312" w:cs="Times New Roman"/>
          <w:color w:val="333333"/>
          <w:sz w:val="32"/>
          <w:szCs w:val="32"/>
        </w:rPr>
        <w:t>四川省教育厅关于印发《四川省职业教育“双师型”教师认定基本条件（试行）》的通知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》（川教〔2023〕 128号）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，局领导迅速批示、安排部署，由职成科、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</w:rPr>
        <w:t>科负责我市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中等职业学校“双师型”教师认定工作实施细则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的起草工作。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月下旬，市教育体育局职成科组织人员，讨论起草方案和进度安排，于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旬完成《实施方案》（初稿）。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</w:t>
      </w:r>
      <w:r>
        <w:rPr>
          <w:rFonts w:hint="default" w:ascii="Times New Roman" w:hAnsi="Times New Roman" w:eastAsia="CESI仿宋-GB2312" w:cs="Times New Roman"/>
          <w:color w:val="333333"/>
          <w:sz w:val="32"/>
          <w:szCs w:val="32"/>
        </w:rPr>
        <w:t>《四川省职业教育“双师型”教师认定基本条件（试行）》的通知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Times New Roman" w:hAnsi="Times New Roman" w:eastAsia="CESI仿宋-GB2312" w:cs="Times New Roman"/>
          <w:color w:val="333333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，召开了我市部分职业教育专业人士座谈会，提出了意见和建议。在《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》（初稿）的基础上形成了《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》（讨论稿）。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月下旬，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组织市内职业院校职教专家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》（讨论稿）进行了较大修改，形成了《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实施细则》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日，将《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》（征求意见稿）发至相关单位、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各县（市、区）教育体育局，市直园区社事局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征求修改意见。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共五章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17条，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第一章总则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、第二章组织机构及职责、第三章认定条件、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第四章认定程序、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第五章认定管理、第六章附则。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成立了市、县、校三级管理机构；明确了</w:t>
      </w:r>
      <w:r>
        <w:rPr>
          <w:rFonts w:hint="default" w:ascii="Times New Roman" w:hAnsi="Times New Roman" w:eastAsia="CESI仿宋-GB2312" w:cs="Times New Roman"/>
          <w:color w:val="333333"/>
          <w:sz w:val="32"/>
          <w:szCs w:val="32"/>
        </w:rPr>
        <w:t>“双师型”教师</w:t>
      </w:r>
      <w:r>
        <w:rPr>
          <w:rFonts w:hint="eastAsia" w:ascii="Times New Roman" w:hAnsi="Times New Roman" w:eastAsia="CESI仿宋-GB2312" w:cs="Times New Roman"/>
          <w:color w:val="333333"/>
          <w:sz w:val="32"/>
          <w:szCs w:val="32"/>
          <w:lang w:eastAsia="zh-CN"/>
        </w:rPr>
        <w:t>认定对象；细化了</w:t>
      </w:r>
      <w:r>
        <w:rPr>
          <w:rFonts w:hint="default" w:ascii="Times New Roman" w:hAnsi="Times New Roman" w:eastAsia="CESI仿宋-GB2312" w:cs="Times New Roman"/>
          <w:color w:val="333333"/>
          <w:sz w:val="32"/>
          <w:szCs w:val="32"/>
        </w:rPr>
        <w:t>“双师型”教师</w:t>
      </w:r>
      <w:r>
        <w:rPr>
          <w:rFonts w:hint="eastAsia" w:ascii="Times New Roman" w:hAnsi="Times New Roman" w:eastAsia="CESI仿宋-GB2312" w:cs="Times New Roman"/>
          <w:color w:val="333333"/>
          <w:sz w:val="32"/>
          <w:szCs w:val="32"/>
          <w:lang w:eastAsia="zh-CN"/>
        </w:rPr>
        <w:t>基本条件、申报条件及工作流程；加强了</w:t>
      </w:r>
      <w:r>
        <w:rPr>
          <w:rFonts w:hint="default" w:ascii="Times New Roman" w:hAnsi="Times New Roman" w:eastAsia="CESI仿宋-GB2312" w:cs="Times New Roman"/>
          <w:color w:val="333333"/>
          <w:sz w:val="32"/>
          <w:szCs w:val="32"/>
        </w:rPr>
        <w:t>“双师型”教师</w:t>
      </w:r>
      <w:r>
        <w:rPr>
          <w:rFonts w:hint="eastAsia" w:ascii="Times New Roman" w:hAnsi="Times New Roman" w:eastAsia="CESI仿宋-GB2312" w:cs="Times New Roman"/>
          <w:color w:val="333333"/>
          <w:sz w:val="32"/>
          <w:szCs w:val="32"/>
          <w:lang w:eastAsia="zh-CN"/>
        </w:rPr>
        <w:t>的管理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遂宁市教育和体育局</w:t>
      </w:r>
    </w:p>
    <w:p>
      <w:pPr>
        <w:ind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2024年3月22日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354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33C1A"/>
    <w:multiLevelType w:val="singleLevel"/>
    <w:tmpl w:val="62F33C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40"/>
    <w:rsid w:val="00015A3F"/>
    <w:rsid w:val="00091BA6"/>
    <w:rsid w:val="000A5640"/>
    <w:rsid w:val="002C0D05"/>
    <w:rsid w:val="007E65EE"/>
    <w:rsid w:val="00B475FB"/>
    <w:rsid w:val="00B7419C"/>
    <w:rsid w:val="00E23B25"/>
    <w:rsid w:val="00FF25BD"/>
    <w:rsid w:val="0B6F3F13"/>
    <w:rsid w:val="216F7221"/>
    <w:rsid w:val="24546C6A"/>
    <w:rsid w:val="24774251"/>
    <w:rsid w:val="6CDE1AA9"/>
    <w:rsid w:val="75BC51B5"/>
    <w:rsid w:val="AD7F6ABB"/>
    <w:rsid w:val="D9F78D89"/>
    <w:rsid w:val="F7230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cs="Arial"/>
      <w:kern w:val="2"/>
      <w:sz w:val="18"/>
      <w:szCs w:val="18"/>
    </w:rPr>
  </w:style>
  <w:style w:type="paragraph" w:styleId="10">
    <w:name w:val="List Paragraph"/>
    <w:basedOn w:val="1"/>
    <w:qFormat/>
    <w:uiPriority w:val="1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188</Words>
  <Characters>1077</Characters>
  <Lines>8</Lines>
  <Paragraphs>2</Paragraphs>
  <TotalTime>2</TotalTime>
  <ScaleCrop>false</ScaleCrop>
  <LinksUpToDate>false</LinksUpToDate>
  <CharactersWithSpaces>1263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2020-11-11T01:18:00Z</dcterms:created>
  <dc:creator>JSN-AL00</dc:creator>
  <cp:lastModifiedBy>微信用户</cp:lastModifiedBy>
  <cp:lastPrinted>2024-03-22T18:09:00Z</cp:lastPrinted>
  <dcterms:modified xsi:type="dcterms:W3CDTF">2024-03-22T14:20:56Z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