
<file path=[Content_Types].xml><?xml version="1.0" encoding="utf-8"?>
<Types xmlns="http://schemas.openxmlformats.org/package/2006/content-types">
  <Default Extension="xml" ContentType="application/xml"/>
  <Default Extension="xlsx" ContentType="application/vnd.openxmlformats-officedocument.spreadsheetml.sheet"/>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colors3.xml" ContentType="application/vnd.ms-office.chartcolorstyle+xml"/>
  <Override PartName="/word/charts/colors4.xml" ContentType="application/vnd.ms-office.chartcolorstyle+xml"/>
  <Override PartName="/word/charts/colors5.xml" ContentType="application/vnd.ms-office.chartcolorstyle+xml"/>
  <Override PartName="/word/charts/colors6.xml" ContentType="application/vnd.ms-office.chartcolorstyle+xml"/>
  <Override PartName="/word/charts/colors7.xml" ContentType="application/vnd.ms-office.chartcolorstyle+xml"/>
  <Override PartName="/word/charts/style1.xml" ContentType="application/vnd.ms-office.chartstyle+xml"/>
  <Override PartName="/word/charts/style2.xml" ContentType="application/vnd.ms-office.chartstyle+xml"/>
  <Override PartName="/word/charts/style3.xml" ContentType="application/vnd.ms-office.chartstyle+xml"/>
  <Override PartName="/word/charts/style4.xml" ContentType="application/vnd.ms-office.chartstyle+xml"/>
  <Override PartName="/word/charts/style5.xml" ContentType="application/vnd.ms-office.chartstyle+xml"/>
  <Override PartName="/word/charts/style6.xml" ContentType="application/vnd.ms-office.chartstyle+xml"/>
  <Override PartName="/word/charts/style7.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outlineLvl w:val="0"/>
        <w:rPr>
          <w:rFonts w:ascii="方正小标宋简体" w:hAnsi="宋体" w:eastAsia="方正小标宋简体"/>
          <w:color w:val="000000"/>
          <w:sz w:val="72"/>
          <w:szCs w:val="72"/>
        </w:rPr>
      </w:pPr>
      <w:bookmarkStart w:id="0" w:name="_Toc15306267"/>
    </w:p>
    <w:p>
      <w:pPr>
        <w:spacing w:line="600" w:lineRule="exact"/>
        <w:jc w:val="center"/>
        <w:outlineLvl w:val="0"/>
        <w:rPr>
          <w:rFonts w:ascii="方正小标宋简体" w:hAnsi="宋体" w:eastAsia="方正小标宋简体"/>
          <w:color w:val="000000"/>
          <w:sz w:val="72"/>
          <w:szCs w:val="72"/>
        </w:rPr>
      </w:pPr>
    </w:p>
    <w:p>
      <w:pPr>
        <w:spacing w:line="600" w:lineRule="exact"/>
        <w:jc w:val="center"/>
        <w:outlineLvl w:val="0"/>
        <w:rPr>
          <w:rFonts w:ascii="方正小标宋简体" w:hAnsi="宋体" w:eastAsia="方正小标宋简体"/>
          <w:color w:val="000000"/>
          <w:sz w:val="72"/>
          <w:szCs w:val="72"/>
        </w:rPr>
      </w:pPr>
    </w:p>
    <w:p>
      <w:pPr>
        <w:spacing w:line="600" w:lineRule="exact"/>
        <w:jc w:val="center"/>
        <w:outlineLvl w:val="0"/>
        <w:rPr>
          <w:rFonts w:ascii="方正小标宋简体" w:hAnsi="宋体" w:eastAsia="方正小标宋简体"/>
          <w:color w:val="000000"/>
          <w:sz w:val="72"/>
          <w:szCs w:val="72"/>
        </w:rPr>
      </w:pPr>
    </w:p>
    <w:p>
      <w:pPr>
        <w:adjustRightInd w:val="0"/>
        <w:snapToGrid w:val="0"/>
        <w:spacing w:line="360" w:lineRule="auto"/>
        <w:jc w:val="center"/>
        <w:outlineLvl w:val="0"/>
        <w:rPr>
          <w:rFonts w:ascii="方正小标宋简体" w:hAnsi="宋体" w:eastAsia="方正小标宋简体"/>
          <w:color w:val="000000"/>
          <w:sz w:val="72"/>
          <w:szCs w:val="72"/>
        </w:rPr>
      </w:pPr>
      <w:bookmarkStart w:id="1" w:name="_Toc15378441"/>
      <w:bookmarkStart w:id="2" w:name="_Toc15396475"/>
      <w:bookmarkStart w:id="3" w:name="_Toc15396597"/>
      <w:bookmarkStart w:id="4" w:name="_Toc15377425"/>
      <w:bookmarkStart w:id="5" w:name="_Toc15377193"/>
      <w:r>
        <w:rPr>
          <w:rFonts w:ascii="黑体" w:hAnsi="黑体" w:eastAsia="黑体"/>
          <w:color w:val="000000"/>
          <w:sz w:val="72"/>
          <w:szCs w:val="72"/>
        </w:rPr>
        <w:t>201</w:t>
      </w:r>
      <w:r>
        <w:rPr>
          <w:rFonts w:hint="eastAsia" w:ascii="黑体" w:hAnsi="黑体" w:eastAsia="黑体"/>
          <w:color w:val="000000"/>
          <w:sz w:val="72"/>
          <w:szCs w:val="72"/>
        </w:rPr>
        <w:t>9</w:t>
      </w:r>
      <w:r>
        <w:rPr>
          <w:rFonts w:hint="eastAsia" w:ascii="方正小标宋简体" w:hAnsi="宋体" w:eastAsia="方正小标宋简体"/>
          <w:color w:val="000000"/>
          <w:sz w:val="72"/>
          <w:szCs w:val="72"/>
        </w:rPr>
        <w:t>年度</w:t>
      </w:r>
      <w:bookmarkEnd w:id="1"/>
      <w:bookmarkEnd w:id="2"/>
      <w:bookmarkEnd w:id="3"/>
      <w:bookmarkEnd w:id="4"/>
      <w:bookmarkEnd w:id="5"/>
    </w:p>
    <w:p>
      <w:pPr>
        <w:adjustRightInd w:val="0"/>
        <w:snapToGrid w:val="0"/>
        <w:spacing w:line="360" w:lineRule="auto"/>
        <w:jc w:val="center"/>
        <w:outlineLvl w:val="0"/>
        <w:rPr>
          <w:rFonts w:ascii="方正小标宋简体" w:hAnsi="宋体" w:eastAsia="方正小标宋简体"/>
          <w:color w:val="000000"/>
          <w:sz w:val="72"/>
          <w:szCs w:val="72"/>
        </w:rPr>
      </w:pPr>
      <w:bookmarkStart w:id="6" w:name="_Toc15377194"/>
      <w:bookmarkStart w:id="7" w:name="_Toc15378442"/>
      <w:bookmarkStart w:id="8" w:name="_Toc15377426"/>
      <w:bookmarkStart w:id="9" w:name="_Toc15396598"/>
      <w:bookmarkStart w:id="10" w:name="_Toc15396476"/>
      <w:r>
        <w:rPr>
          <w:rFonts w:hint="eastAsia" w:ascii="方正小标宋简体" w:hAnsi="宋体" w:eastAsia="方正小标宋简体"/>
          <w:color w:val="000000"/>
          <w:sz w:val="72"/>
          <w:szCs w:val="72"/>
        </w:rPr>
        <w:t>四川省</w:t>
      </w:r>
      <w:bookmarkEnd w:id="0"/>
      <w:bookmarkStart w:id="11" w:name="_Toc15306268"/>
      <w:r>
        <w:rPr>
          <w:rFonts w:hint="eastAsia" w:ascii="方正小标宋简体" w:hAnsi="宋体" w:eastAsia="方正小标宋简体"/>
          <w:color w:val="000000"/>
          <w:sz w:val="72"/>
          <w:szCs w:val="72"/>
        </w:rPr>
        <w:t>遂宁市教育和体育局部门决算</w:t>
      </w:r>
      <w:bookmarkEnd w:id="6"/>
      <w:bookmarkEnd w:id="7"/>
      <w:bookmarkEnd w:id="8"/>
      <w:bookmarkEnd w:id="9"/>
      <w:bookmarkEnd w:id="10"/>
      <w:bookmarkEnd w:id="11"/>
    </w:p>
    <w:p>
      <w:pPr>
        <w:widowControl/>
        <w:jc w:val="center"/>
        <w:rPr>
          <w:rFonts w:ascii="黑体" w:hAnsi="黑体" w:eastAsia="黑体"/>
          <w:color w:val="000000"/>
          <w:sz w:val="48"/>
          <w:szCs w:val="48"/>
        </w:rPr>
      </w:pPr>
      <w:r>
        <w:rPr>
          <w:rFonts w:ascii="方正小标宋简体" w:hAnsi="宋体" w:eastAsia="方正小标宋简体"/>
          <w:color w:val="000000"/>
          <w:sz w:val="36"/>
          <w:szCs w:val="36"/>
        </w:rPr>
        <w:br w:type="page"/>
      </w:r>
      <w:r>
        <w:rPr>
          <w:rFonts w:hint="eastAsia" w:ascii="黑体" w:hAnsi="黑体" w:eastAsia="黑体"/>
          <w:color w:val="000000"/>
          <w:sz w:val="48"/>
          <w:szCs w:val="48"/>
        </w:rPr>
        <w:t>目录</w:t>
      </w:r>
    </w:p>
    <w:p>
      <w:pPr>
        <w:widowControl/>
        <w:jc w:val="center"/>
        <w:rPr>
          <w:rFonts w:ascii="黑体" w:hAnsi="黑体" w:eastAsia="黑体" w:cstheme="minorBidi"/>
          <w:sz w:val="28"/>
          <w:szCs w:val="28"/>
        </w:rPr>
      </w:pPr>
    </w:p>
    <w:p>
      <w:pPr>
        <w:pStyle w:val="10"/>
      </w:pPr>
      <w:r>
        <w:rPr>
          <w:rFonts w:hint="eastAsia"/>
        </w:rPr>
        <w:t>公开时间：2020年9月</w:t>
      </w:r>
      <w:r>
        <w:rPr>
          <w:rFonts w:hint="eastAsia"/>
          <w:lang w:val="en-US" w:eastAsia="zh-CN"/>
        </w:rPr>
        <w:t>3</w:t>
      </w:r>
      <w:r>
        <w:rPr>
          <w:rFonts w:hint="eastAsia"/>
        </w:rPr>
        <w:t>日</w:t>
      </w:r>
    </w:p>
    <w:p>
      <w:pPr>
        <w:pStyle w:val="11"/>
        <w:adjustRightInd w:val="0"/>
        <w:snapToGrid w:val="0"/>
        <w:spacing w:line="440" w:lineRule="exact"/>
        <w:jc w:val="left"/>
        <w:rPr>
          <w:sz w:val="24"/>
        </w:rPr>
      </w:pPr>
    </w:p>
    <w:p>
      <w:pPr>
        <w:pStyle w:val="11"/>
        <w:adjustRightInd w:val="0"/>
        <w:snapToGrid w:val="0"/>
        <w:spacing w:line="440" w:lineRule="exact"/>
        <w:ind w:left="0" w:leftChars="0"/>
        <w:jc w:val="left"/>
        <w:rPr>
          <w:sz w:val="24"/>
        </w:rPr>
      </w:pPr>
      <w:r>
        <w:rPr>
          <w:rFonts w:hint="eastAsia"/>
          <w:sz w:val="24"/>
        </w:rPr>
        <w:t>第一部分部门概况</w:t>
      </w:r>
    </w:p>
    <w:p>
      <w:pPr>
        <w:pStyle w:val="11"/>
        <w:adjustRightInd w:val="0"/>
        <w:snapToGrid w:val="0"/>
        <w:spacing w:line="440" w:lineRule="exact"/>
        <w:jc w:val="left"/>
        <w:rPr>
          <w:sz w:val="24"/>
        </w:rPr>
      </w:pPr>
      <w:r>
        <w:rPr>
          <w:rFonts w:hint="eastAsia"/>
          <w:sz w:val="24"/>
        </w:rPr>
        <w:t>一、基本职能及主要工作</w:t>
      </w:r>
    </w:p>
    <w:p>
      <w:pPr>
        <w:pStyle w:val="11"/>
        <w:adjustRightInd w:val="0"/>
        <w:snapToGrid w:val="0"/>
        <w:spacing w:line="440" w:lineRule="exact"/>
        <w:jc w:val="left"/>
        <w:rPr>
          <w:sz w:val="24"/>
        </w:rPr>
      </w:pPr>
      <w:r>
        <w:rPr>
          <w:rFonts w:hint="eastAsia"/>
          <w:sz w:val="24"/>
        </w:rPr>
        <w:t>二、机构设置</w:t>
      </w:r>
    </w:p>
    <w:p>
      <w:pPr>
        <w:pStyle w:val="11"/>
        <w:adjustRightInd w:val="0"/>
        <w:snapToGrid w:val="0"/>
        <w:spacing w:line="440" w:lineRule="exact"/>
        <w:ind w:left="0" w:leftChars="0"/>
        <w:jc w:val="left"/>
        <w:rPr>
          <w:sz w:val="24"/>
        </w:rPr>
      </w:pPr>
      <w:r>
        <w:rPr>
          <w:rFonts w:hint="eastAsia"/>
          <w:sz w:val="24"/>
        </w:rPr>
        <w:t>第二部分度部门决算情况说明</w:t>
      </w:r>
    </w:p>
    <w:p>
      <w:pPr>
        <w:pStyle w:val="11"/>
        <w:adjustRightInd w:val="0"/>
        <w:snapToGrid w:val="0"/>
        <w:spacing w:line="440" w:lineRule="exact"/>
        <w:ind w:left="0" w:leftChars="0"/>
        <w:jc w:val="left"/>
        <w:rPr>
          <w:sz w:val="24"/>
        </w:rPr>
      </w:pPr>
      <w:r>
        <w:rPr>
          <w:rFonts w:hint="eastAsia"/>
          <w:sz w:val="24"/>
        </w:rPr>
        <w:t>一、收入支出决算总体情况说明</w:t>
      </w:r>
    </w:p>
    <w:p>
      <w:pPr>
        <w:pStyle w:val="11"/>
        <w:adjustRightInd w:val="0"/>
        <w:snapToGrid w:val="0"/>
        <w:spacing w:line="440" w:lineRule="exact"/>
        <w:ind w:left="0" w:leftChars="0"/>
        <w:jc w:val="left"/>
        <w:rPr>
          <w:sz w:val="24"/>
        </w:rPr>
      </w:pPr>
      <w:r>
        <w:rPr>
          <w:rFonts w:hint="eastAsia"/>
          <w:sz w:val="24"/>
        </w:rPr>
        <w:t>二、收入决算情况说明</w:t>
      </w:r>
    </w:p>
    <w:p>
      <w:pPr>
        <w:pStyle w:val="11"/>
        <w:adjustRightInd w:val="0"/>
        <w:snapToGrid w:val="0"/>
        <w:spacing w:line="440" w:lineRule="exact"/>
        <w:ind w:left="0" w:leftChars="0"/>
        <w:jc w:val="left"/>
        <w:rPr>
          <w:sz w:val="24"/>
        </w:rPr>
      </w:pPr>
      <w:r>
        <w:rPr>
          <w:rFonts w:hint="eastAsia"/>
          <w:sz w:val="24"/>
        </w:rPr>
        <w:t>三、支出决算情况说明</w:t>
      </w:r>
    </w:p>
    <w:p>
      <w:pPr>
        <w:pStyle w:val="11"/>
        <w:adjustRightInd w:val="0"/>
        <w:snapToGrid w:val="0"/>
        <w:spacing w:line="440" w:lineRule="exact"/>
        <w:ind w:left="0" w:leftChars="0"/>
        <w:jc w:val="left"/>
        <w:rPr>
          <w:sz w:val="24"/>
        </w:rPr>
      </w:pPr>
      <w:r>
        <w:rPr>
          <w:rFonts w:hint="eastAsia"/>
          <w:sz w:val="24"/>
        </w:rPr>
        <w:t>四、财政拨款收入支出决算总体情况说明</w:t>
      </w:r>
    </w:p>
    <w:p>
      <w:pPr>
        <w:pStyle w:val="11"/>
        <w:adjustRightInd w:val="0"/>
        <w:snapToGrid w:val="0"/>
        <w:spacing w:line="440" w:lineRule="exact"/>
        <w:ind w:left="0" w:leftChars="0"/>
        <w:jc w:val="left"/>
        <w:rPr>
          <w:sz w:val="24"/>
        </w:rPr>
      </w:pPr>
      <w:r>
        <w:rPr>
          <w:rFonts w:hint="eastAsia"/>
          <w:sz w:val="24"/>
        </w:rPr>
        <w:t>五、一般公共预算财政拨款支出决算情况说明</w:t>
      </w:r>
    </w:p>
    <w:p>
      <w:pPr>
        <w:pStyle w:val="11"/>
        <w:adjustRightInd w:val="0"/>
        <w:snapToGrid w:val="0"/>
        <w:spacing w:line="440" w:lineRule="exact"/>
        <w:ind w:left="0" w:leftChars="0"/>
        <w:jc w:val="left"/>
        <w:rPr>
          <w:sz w:val="24"/>
        </w:rPr>
      </w:pPr>
      <w:r>
        <w:rPr>
          <w:rFonts w:hint="eastAsia"/>
          <w:sz w:val="24"/>
        </w:rPr>
        <w:t>六、一般公共预算财政拨款基本支出决算情况说明</w:t>
      </w:r>
    </w:p>
    <w:p>
      <w:pPr>
        <w:pStyle w:val="11"/>
        <w:adjustRightInd w:val="0"/>
        <w:snapToGrid w:val="0"/>
        <w:spacing w:line="440" w:lineRule="exact"/>
        <w:ind w:left="0" w:leftChars="0"/>
        <w:jc w:val="left"/>
        <w:rPr>
          <w:sz w:val="24"/>
        </w:rPr>
      </w:pPr>
      <w:r>
        <w:rPr>
          <w:rFonts w:hint="eastAsia"/>
          <w:sz w:val="24"/>
        </w:rPr>
        <w:t>七、“三公”经费财政拨款支出决算情况说明</w:t>
      </w:r>
    </w:p>
    <w:p>
      <w:pPr>
        <w:pStyle w:val="11"/>
        <w:adjustRightInd w:val="0"/>
        <w:snapToGrid w:val="0"/>
        <w:spacing w:line="440" w:lineRule="exact"/>
        <w:ind w:left="0" w:leftChars="0"/>
        <w:jc w:val="left"/>
        <w:rPr>
          <w:sz w:val="24"/>
        </w:rPr>
      </w:pPr>
      <w:r>
        <w:rPr>
          <w:rFonts w:hint="eastAsia"/>
          <w:sz w:val="24"/>
        </w:rPr>
        <w:t>八、政府性基金预算支出决算情况说明</w:t>
      </w:r>
    </w:p>
    <w:p>
      <w:pPr>
        <w:pStyle w:val="11"/>
        <w:adjustRightInd w:val="0"/>
        <w:snapToGrid w:val="0"/>
        <w:spacing w:line="440" w:lineRule="exact"/>
        <w:ind w:left="0" w:leftChars="0"/>
        <w:jc w:val="left"/>
        <w:rPr>
          <w:sz w:val="24"/>
        </w:rPr>
      </w:pPr>
      <w:r>
        <w:rPr>
          <w:rFonts w:hint="eastAsia"/>
          <w:sz w:val="24"/>
        </w:rPr>
        <w:t>九、国有资本经营预算支出决算情况说明</w:t>
      </w:r>
    </w:p>
    <w:p>
      <w:pPr>
        <w:pStyle w:val="11"/>
        <w:adjustRightInd w:val="0"/>
        <w:snapToGrid w:val="0"/>
        <w:spacing w:line="440" w:lineRule="exact"/>
        <w:ind w:left="0" w:leftChars="0"/>
        <w:jc w:val="left"/>
        <w:rPr>
          <w:sz w:val="24"/>
        </w:rPr>
      </w:pPr>
      <w:r>
        <w:rPr>
          <w:rFonts w:hint="eastAsia"/>
          <w:sz w:val="24"/>
        </w:rPr>
        <w:t>十、其他重要事项的情况说明</w:t>
      </w:r>
    </w:p>
    <w:p>
      <w:pPr>
        <w:pStyle w:val="11"/>
        <w:adjustRightInd w:val="0"/>
        <w:snapToGrid w:val="0"/>
        <w:spacing w:line="440" w:lineRule="exact"/>
        <w:ind w:left="0" w:leftChars="0"/>
        <w:jc w:val="left"/>
        <w:rPr>
          <w:sz w:val="24"/>
        </w:rPr>
      </w:pPr>
      <w:r>
        <w:rPr>
          <w:rFonts w:hint="eastAsia"/>
          <w:sz w:val="24"/>
        </w:rPr>
        <w:t>第三部分名词解释</w:t>
      </w:r>
    </w:p>
    <w:p>
      <w:pPr>
        <w:pStyle w:val="11"/>
        <w:adjustRightInd w:val="0"/>
        <w:snapToGrid w:val="0"/>
        <w:spacing w:line="440" w:lineRule="exact"/>
        <w:ind w:left="0" w:leftChars="0"/>
        <w:jc w:val="left"/>
        <w:rPr>
          <w:sz w:val="24"/>
        </w:rPr>
      </w:pPr>
      <w:r>
        <w:rPr>
          <w:rFonts w:hint="eastAsia"/>
          <w:sz w:val="24"/>
        </w:rPr>
        <w:t>第四部分附件</w:t>
      </w:r>
    </w:p>
    <w:p>
      <w:pPr>
        <w:pStyle w:val="11"/>
        <w:adjustRightInd w:val="0"/>
        <w:snapToGrid w:val="0"/>
        <w:spacing w:line="440" w:lineRule="exact"/>
        <w:ind w:left="0" w:leftChars="0"/>
        <w:jc w:val="left"/>
        <w:rPr>
          <w:sz w:val="24"/>
        </w:rPr>
      </w:pPr>
      <w:r>
        <w:rPr>
          <w:rFonts w:hint="eastAsia"/>
          <w:sz w:val="24"/>
        </w:rPr>
        <w:t>附件1</w:t>
      </w:r>
    </w:p>
    <w:p>
      <w:pPr>
        <w:pStyle w:val="11"/>
        <w:adjustRightInd w:val="0"/>
        <w:snapToGrid w:val="0"/>
        <w:spacing w:line="440" w:lineRule="exact"/>
        <w:ind w:left="0" w:leftChars="0"/>
        <w:jc w:val="left"/>
        <w:rPr>
          <w:sz w:val="24"/>
        </w:rPr>
      </w:pPr>
      <w:r>
        <w:rPr>
          <w:rFonts w:hint="eastAsia"/>
          <w:sz w:val="24"/>
        </w:rPr>
        <w:t>附件2</w:t>
      </w:r>
    </w:p>
    <w:p>
      <w:pPr>
        <w:pStyle w:val="11"/>
        <w:adjustRightInd w:val="0"/>
        <w:snapToGrid w:val="0"/>
        <w:spacing w:line="440" w:lineRule="exact"/>
        <w:ind w:left="0" w:leftChars="0"/>
        <w:jc w:val="left"/>
        <w:rPr>
          <w:sz w:val="24"/>
        </w:rPr>
      </w:pPr>
      <w:r>
        <w:rPr>
          <w:rFonts w:hint="eastAsia"/>
          <w:sz w:val="24"/>
        </w:rPr>
        <w:t>第五部分附表</w:t>
      </w:r>
    </w:p>
    <w:p>
      <w:pPr>
        <w:pStyle w:val="11"/>
        <w:adjustRightInd w:val="0"/>
        <w:snapToGrid w:val="0"/>
        <w:spacing w:line="440" w:lineRule="exact"/>
        <w:ind w:left="0" w:leftChars="0"/>
        <w:jc w:val="left"/>
        <w:rPr>
          <w:sz w:val="24"/>
        </w:rPr>
      </w:pPr>
      <w:r>
        <w:rPr>
          <w:rFonts w:hint="eastAsia"/>
          <w:sz w:val="24"/>
        </w:rPr>
        <w:t>一、收入支出决算总表</w:t>
      </w:r>
    </w:p>
    <w:p>
      <w:pPr>
        <w:pStyle w:val="11"/>
        <w:adjustRightInd w:val="0"/>
        <w:snapToGrid w:val="0"/>
        <w:spacing w:line="440" w:lineRule="exact"/>
        <w:ind w:left="0" w:leftChars="0"/>
        <w:jc w:val="left"/>
        <w:rPr>
          <w:sz w:val="24"/>
        </w:rPr>
      </w:pPr>
      <w:r>
        <w:rPr>
          <w:rFonts w:hint="eastAsia"/>
          <w:sz w:val="24"/>
        </w:rPr>
        <w:t>二、收入决算表</w:t>
      </w:r>
    </w:p>
    <w:p>
      <w:pPr>
        <w:pStyle w:val="11"/>
        <w:adjustRightInd w:val="0"/>
        <w:snapToGrid w:val="0"/>
        <w:spacing w:line="440" w:lineRule="exact"/>
        <w:ind w:left="0" w:leftChars="0"/>
        <w:jc w:val="left"/>
        <w:rPr>
          <w:sz w:val="24"/>
        </w:rPr>
      </w:pPr>
      <w:r>
        <w:rPr>
          <w:rFonts w:hint="eastAsia"/>
          <w:sz w:val="24"/>
        </w:rPr>
        <w:t>三、支出决算表</w:t>
      </w:r>
    </w:p>
    <w:p>
      <w:pPr>
        <w:pStyle w:val="11"/>
        <w:adjustRightInd w:val="0"/>
        <w:snapToGrid w:val="0"/>
        <w:spacing w:line="440" w:lineRule="exact"/>
        <w:ind w:left="0" w:leftChars="0"/>
        <w:jc w:val="left"/>
        <w:rPr>
          <w:sz w:val="24"/>
        </w:rPr>
      </w:pPr>
      <w:r>
        <w:rPr>
          <w:rFonts w:hint="eastAsia"/>
          <w:sz w:val="24"/>
        </w:rPr>
        <w:t>四、财政拨款收入支出决算总表</w:t>
      </w:r>
    </w:p>
    <w:p>
      <w:pPr>
        <w:pStyle w:val="11"/>
        <w:adjustRightInd w:val="0"/>
        <w:snapToGrid w:val="0"/>
        <w:spacing w:line="440" w:lineRule="exact"/>
        <w:ind w:left="0" w:leftChars="0"/>
        <w:jc w:val="left"/>
        <w:rPr>
          <w:sz w:val="24"/>
        </w:rPr>
      </w:pPr>
      <w:r>
        <w:rPr>
          <w:rFonts w:hint="eastAsia"/>
          <w:sz w:val="24"/>
        </w:rPr>
        <w:t>五、财政拨款支出决算明细表</w:t>
      </w:r>
    </w:p>
    <w:p>
      <w:pPr>
        <w:pStyle w:val="11"/>
        <w:adjustRightInd w:val="0"/>
        <w:snapToGrid w:val="0"/>
        <w:spacing w:line="440" w:lineRule="exact"/>
        <w:ind w:left="0" w:leftChars="0"/>
        <w:jc w:val="left"/>
        <w:rPr>
          <w:sz w:val="24"/>
        </w:rPr>
      </w:pPr>
      <w:r>
        <w:rPr>
          <w:rFonts w:hint="eastAsia"/>
          <w:sz w:val="24"/>
        </w:rPr>
        <w:t>六、一般公共预算财政拨款支出决算表</w:t>
      </w:r>
    </w:p>
    <w:p>
      <w:pPr>
        <w:pStyle w:val="11"/>
        <w:adjustRightInd w:val="0"/>
        <w:snapToGrid w:val="0"/>
        <w:spacing w:line="440" w:lineRule="exact"/>
        <w:ind w:left="0" w:leftChars="0"/>
        <w:jc w:val="left"/>
        <w:rPr>
          <w:sz w:val="24"/>
        </w:rPr>
      </w:pPr>
      <w:r>
        <w:rPr>
          <w:rFonts w:hint="eastAsia"/>
          <w:sz w:val="24"/>
        </w:rPr>
        <w:t>七、一般公共预算财政拨款支出决算明细表</w:t>
      </w:r>
    </w:p>
    <w:p>
      <w:pPr>
        <w:pStyle w:val="11"/>
        <w:adjustRightInd w:val="0"/>
        <w:snapToGrid w:val="0"/>
        <w:spacing w:line="440" w:lineRule="exact"/>
        <w:ind w:left="0" w:leftChars="0"/>
        <w:jc w:val="left"/>
        <w:rPr>
          <w:sz w:val="24"/>
        </w:rPr>
      </w:pPr>
      <w:r>
        <w:rPr>
          <w:rFonts w:hint="eastAsia"/>
          <w:sz w:val="24"/>
        </w:rPr>
        <w:t>八、一般公共预算财政拨款基本支出决算表</w:t>
      </w:r>
    </w:p>
    <w:p>
      <w:pPr>
        <w:pStyle w:val="11"/>
        <w:adjustRightInd w:val="0"/>
        <w:snapToGrid w:val="0"/>
        <w:spacing w:line="440" w:lineRule="exact"/>
        <w:ind w:left="0" w:leftChars="0"/>
        <w:jc w:val="left"/>
        <w:rPr>
          <w:sz w:val="24"/>
        </w:rPr>
      </w:pPr>
      <w:r>
        <w:rPr>
          <w:rFonts w:hint="eastAsia"/>
          <w:sz w:val="24"/>
        </w:rPr>
        <w:t>九、一般公共预算财政拨款项目支出决算表</w:t>
      </w:r>
    </w:p>
    <w:p>
      <w:pPr>
        <w:pStyle w:val="11"/>
        <w:adjustRightInd w:val="0"/>
        <w:snapToGrid w:val="0"/>
        <w:spacing w:line="440" w:lineRule="exact"/>
        <w:ind w:left="0" w:leftChars="0"/>
        <w:jc w:val="left"/>
        <w:rPr>
          <w:sz w:val="24"/>
        </w:rPr>
      </w:pPr>
      <w:r>
        <w:rPr>
          <w:rFonts w:hint="eastAsia"/>
          <w:sz w:val="24"/>
        </w:rPr>
        <w:t>十、一般公共预算财政拨款“三公”经费支出决算表</w:t>
      </w:r>
    </w:p>
    <w:p>
      <w:pPr>
        <w:pStyle w:val="11"/>
        <w:adjustRightInd w:val="0"/>
        <w:snapToGrid w:val="0"/>
        <w:spacing w:line="440" w:lineRule="exact"/>
        <w:ind w:left="0" w:leftChars="0"/>
        <w:jc w:val="left"/>
        <w:rPr>
          <w:sz w:val="24"/>
        </w:rPr>
      </w:pPr>
      <w:r>
        <w:rPr>
          <w:rFonts w:hint="eastAsia"/>
          <w:sz w:val="24"/>
        </w:rPr>
        <w:t>十一、政府性基金预算财政拨款收入支出决算表</w:t>
      </w:r>
    </w:p>
    <w:p>
      <w:pPr>
        <w:pStyle w:val="11"/>
        <w:adjustRightInd w:val="0"/>
        <w:snapToGrid w:val="0"/>
        <w:spacing w:line="440" w:lineRule="exact"/>
        <w:ind w:left="0" w:leftChars="0"/>
        <w:jc w:val="left"/>
        <w:rPr>
          <w:sz w:val="24"/>
        </w:rPr>
      </w:pPr>
      <w:r>
        <w:rPr>
          <w:rFonts w:hint="eastAsia"/>
          <w:sz w:val="24"/>
        </w:rPr>
        <w:t>十二、政府性基金预算财政拨款“三公”经费支出决算表</w:t>
      </w:r>
    </w:p>
    <w:p>
      <w:pPr>
        <w:pStyle w:val="11"/>
        <w:adjustRightInd w:val="0"/>
        <w:snapToGrid w:val="0"/>
        <w:spacing w:line="440" w:lineRule="exact"/>
        <w:ind w:left="0" w:leftChars="0"/>
        <w:jc w:val="left"/>
        <w:rPr>
          <w:sz w:val="24"/>
        </w:rPr>
      </w:pPr>
      <w:r>
        <w:rPr>
          <w:rFonts w:hint="eastAsia"/>
          <w:sz w:val="24"/>
        </w:rPr>
        <w:t>十三、国有资本经营预算支出决算表</w:t>
      </w:r>
    </w:p>
    <w:p>
      <w:pPr>
        <w:pStyle w:val="11"/>
        <w:adjustRightInd w:val="0"/>
        <w:snapToGrid w:val="0"/>
        <w:spacing w:line="440" w:lineRule="exact"/>
        <w:ind w:left="0" w:leftChars="0"/>
        <w:jc w:val="left"/>
        <w:rPr>
          <w:sz w:val="24"/>
        </w:rPr>
      </w:pPr>
      <w:r>
        <w:rPr>
          <w:rFonts w:hint="eastAsia"/>
          <w:sz w:val="24"/>
        </w:rPr>
        <w:t>(注：请部门根据实际注明页码)</w:t>
      </w:r>
    </w:p>
    <w:p>
      <w:pPr>
        <w:pStyle w:val="11"/>
        <w:adjustRightInd w:val="0"/>
        <w:snapToGrid w:val="0"/>
        <w:spacing w:line="440" w:lineRule="exact"/>
        <w:ind w:left="0" w:leftChars="0"/>
        <w:jc w:val="left"/>
        <w:rPr>
          <w:sz w:val="24"/>
        </w:rPr>
      </w:pPr>
      <w:bookmarkStart w:id="12" w:name="_Toc15396599"/>
      <w:bookmarkStart w:id="13" w:name="_Toc15377196"/>
      <w:r>
        <w:rPr>
          <w:rFonts w:hint="eastAsia"/>
          <w:sz w:val="24"/>
        </w:rPr>
        <w:br w:type="page"/>
      </w:r>
    </w:p>
    <w:p>
      <w:pPr>
        <w:autoSpaceDE w:val="0"/>
        <w:autoSpaceDN w:val="0"/>
        <w:adjustRightInd w:val="0"/>
        <w:spacing w:line="360" w:lineRule="auto"/>
        <w:ind w:firstLine="2560" w:firstLineChars="800"/>
        <w:rPr>
          <w:rFonts w:ascii="仿宋" w:hAnsi="仿宋" w:eastAsia="仿宋" w:cs="仿宋"/>
          <w:bCs/>
          <w:color w:val="auto"/>
          <w:sz w:val="32"/>
          <w:szCs w:val="32"/>
        </w:rPr>
      </w:pPr>
      <w:r>
        <w:rPr>
          <w:rFonts w:hint="eastAsia" w:ascii="仿宋" w:hAnsi="仿宋" w:eastAsia="仿宋" w:cs="仿宋"/>
          <w:bCs/>
          <w:color w:val="auto"/>
          <w:sz w:val="32"/>
          <w:szCs w:val="32"/>
        </w:rPr>
        <w:t>第一部分部门概况</w:t>
      </w:r>
      <w:bookmarkEnd w:id="12"/>
      <w:bookmarkEnd w:id="13"/>
    </w:p>
    <w:p>
      <w:pPr>
        <w:autoSpaceDE w:val="0"/>
        <w:autoSpaceDN w:val="0"/>
        <w:adjustRightInd w:val="0"/>
        <w:spacing w:line="360" w:lineRule="auto"/>
        <w:ind w:firstLine="640" w:firstLineChars="200"/>
        <w:rPr>
          <w:rFonts w:ascii="仿宋" w:hAnsi="仿宋" w:eastAsia="仿宋" w:cs="仿宋"/>
          <w:bCs/>
          <w:color w:val="auto"/>
          <w:sz w:val="32"/>
          <w:szCs w:val="32"/>
        </w:rPr>
      </w:pPr>
      <w:bookmarkStart w:id="14" w:name="_Toc15396600"/>
      <w:bookmarkStart w:id="15" w:name="_Toc15377197"/>
    </w:p>
    <w:p>
      <w:pPr>
        <w:autoSpaceDE w:val="0"/>
        <w:autoSpaceDN w:val="0"/>
        <w:adjustRightInd w:val="0"/>
        <w:spacing w:line="360" w:lineRule="auto"/>
        <w:rPr>
          <w:rFonts w:ascii="仿宋" w:hAnsi="仿宋" w:eastAsia="仿宋" w:cs="仿宋"/>
          <w:bCs/>
          <w:color w:val="auto"/>
          <w:sz w:val="32"/>
          <w:szCs w:val="32"/>
        </w:rPr>
      </w:pPr>
      <w:r>
        <w:rPr>
          <w:rFonts w:hint="eastAsia" w:ascii="仿宋" w:hAnsi="仿宋" w:eastAsia="仿宋" w:cs="仿宋"/>
          <w:bCs/>
          <w:color w:val="auto"/>
          <w:sz w:val="32"/>
          <w:szCs w:val="32"/>
        </w:rPr>
        <w:t>一、基本职能及主要工作</w:t>
      </w:r>
      <w:bookmarkEnd w:id="14"/>
      <w:bookmarkEnd w:id="15"/>
    </w:p>
    <w:p>
      <w:pPr>
        <w:autoSpaceDE w:val="0"/>
        <w:autoSpaceDN w:val="0"/>
        <w:adjustRightInd w:val="0"/>
        <w:spacing w:line="360" w:lineRule="auto"/>
        <w:ind w:firstLine="640" w:firstLineChars="200"/>
        <w:rPr>
          <w:rFonts w:hint="eastAsia" w:ascii="仿宋" w:hAnsi="仿宋" w:eastAsia="仿宋" w:cs="仿宋"/>
          <w:bCs/>
          <w:color w:val="auto"/>
          <w:sz w:val="32"/>
          <w:szCs w:val="32"/>
          <w:lang w:eastAsia="zh-CN"/>
        </w:rPr>
      </w:pPr>
      <w:r>
        <w:rPr>
          <w:rFonts w:hint="eastAsia" w:ascii="仿宋" w:hAnsi="仿宋" w:eastAsia="仿宋" w:cs="仿宋"/>
          <w:bCs/>
          <w:color w:val="auto"/>
          <w:sz w:val="32"/>
          <w:szCs w:val="32"/>
        </w:rPr>
        <w:t>（一）主要职能。</w:t>
      </w:r>
    </w:p>
    <w:p>
      <w:pPr>
        <w:autoSpaceDE w:val="0"/>
        <w:autoSpaceDN w:val="0"/>
        <w:adjustRightInd w:val="0"/>
        <w:spacing w:line="360" w:lineRule="auto"/>
        <w:ind w:firstLine="640" w:firstLineChars="200"/>
        <w:rPr>
          <w:rFonts w:ascii="仿宋" w:hAnsi="仿宋" w:eastAsia="仿宋" w:cs="仿宋"/>
          <w:bCs/>
          <w:color w:val="auto"/>
          <w:sz w:val="32"/>
          <w:szCs w:val="32"/>
        </w:rPr>
      </w:pPr>
      <w:r>
        <w:rPr>
          <w:rFonts w:hint="eastAsia" w:ascii="仿宋" w:hAnsi="仿宋" w:eastAsia="仿宋" w:cs="仿宋"/>
          <w:bCs/>
          <w:color w:val="auto"/>
          <w:sz w:val="32"/>
          <w:szCs w:val="32"/>
        </w:rPr>
        <w:t>拟订全市教育体制改革政策和教育事业发展规划，负责各级各类教育的统筹规划和协调管理，指导各级各类学校的教育教学改革和中小学布局结构的调整；负责义务教育、普通高中教育、幼儿教育和特殊教育宏观指导工作；统筹和指导全市教育督导工作；指导以就业为导向的职业教育的发展与改革；负责本部门教育经费的统筹管理和教育资助政策落实，参与拟订筹措教育经费、教育拨款、教育基建投资的政策和措施；统筹规划、综合管理全市民办教育；主管全市教师工作；指导各级各类学校的思想政治、德育、体育卫生与艺术教育、国防教育、安全、文明校园建设、社会治安综合治理和稳定工作；贯彻执行国家和省有关招生和毕业生就业方针、政策；承担市语言文字工作委员会的具体工作；指导全市各级各类学校的教育科研工作；指导全市教育系统国际、国内交流与合作有关管理工作；负责全市教育工会工作，指导教育系统的学会、基金会等社团组织工作。</w:t>
      </w:r>
    </w:p>
    <w:p>
      <w:pPr>
        <w:autoSpaceDE w:val="0"/>
        <w:autoSpaceDN w:val="0"/>
        <w:adjustRightInd w:val="0"/>
        <w:spacing w:line="360" w:lineRule="auto"/>
        <w:ind w:firstLine="640" w:firstLineChars="200"/>
        <w:rPr>
          <w:rFonts w:ascii="仿宋" w:hAnsi="仿宋" w:eastAsia="仿宋" w:cs="仿宋"/>
          <w:bCs/>
          <w:color w:val="auto"/>
          <w:sz w:val="32"/>
          <w:szCs w:val="32"/>
        </w:rPr>
      </w:pPr>
      <w:r>
        <w:rPr>
          <w:rFonts w:hint="eastAsia" w:ascii="仿宋" w:hAnsi="仿宋" w:eastAsia="仿宋" w:cs="仿宋"/>
          <w:bCs/>
          <w:color w:val="auto"/>
          <w:sz w:val="32"/>
          <w:szCs w:val="32"/>
        </w:rPr>
        <w:t>（二）201</w:t>
      </w:r>
      <w:r>
        <w:rPr>
          <w:rFonts w:hint="eastAsia" w:ascii="仿宋" w:hAnsi="仿宋" w:eastAsia="仿宋" w:cs="仿宋"/>
          <w:bCs/>
          <w:color w:val="auto"/>
          <w:sz w:val="32"/>
          <w:szCs w:val="32"/>
          <w:lang w:val="en-US" w:eastAsia="zh-CN"/>
        </w:rPr>
        <w:t>9</w:t>
      </w:r>
      <w:r>
        <w:rPr>
          <w:rFonts w:hint="eastAsia" w:ascii="仿宋" w:hAnsi="仿宋" w:eastAsia="仿宋" w:cs="仿宋"/>
          <w:bCs/>
          <w:color w:val="auto"/>
          <w:sz w:val="32"/>
          <w:szCs w:val="32"/>
        </w:rPr>
        <w:t>年重点工作完成情况。</w:t>
      </w:r>
    </w:p>
    <w:p>
      <w:pPr>
        <w:autoSpaceDE w:val="0"/>
        <w:autoSpaceDN w:val="0"/>
        <w:adjustRightInd w:val="0"/>
        <w:spacing w:line="360" w:lineRule="auto"/>
        <w:ind w:firstLine="640" w:firstLineChars="200"/>
        <w:rPr>
          <w:rFonts w:ascii="仿宋" w:hAnsi="仿宋" w:eastAsia="仿宋" w:cs="仿宋"/>
          <w:bCs/>
          <w:color w:val="auto"/>
          <w:kern w:val="0"/>
          <w:sz w:val="32"/>
          <w:szCs w:val="32"/>
        </w:rPr>
      </w:pPr>
      <w:r>
        <w:rPr>
          <w:rFonts w:hint="eastAsia" w:ascii="仿宋" w:hAnsi="仿宋" w:eastAsia="仿宋" w:cs="仿宋"/>
          <w:bCs/>
          <w:color w:val="auto"/>
          <w:sz w:val="32"/>
          <w:szCs w:val="32"/>
        </w:rPr>
        <w:t>201</w:t>
      </w:r>
      <w:r>
        <w:rPr>
          <w:rFonts w:hint="eastAsia" w:ascii="仿宋" w:hAnsi="仿宋" w:eastAsia="仿宋" w:cs="仿宋"/>
          <w:bCs/>
          <w:color w:val="auto"/>
          <w:sz w:val="32"/>
          <w:szCs w:val="32"/>
          <w:lang w:val="en-US" w:eastAsia="zh-CN"/>
        </w:rPr>
        <w:t>9</w:t>
      </w:r>
      <w:r>
        <w:rPr>
          <w:rFonts w:hint="eastAsia" w:ascii="仿宋" w:hAnsi="仿宋" w:eastAsia="仿宋" w:cs="仿宋"/>
          <w:bCs/>
          <w:color w:val="auto"/>
          <w:sz w:val="32"/>
          <w:szCs w:val="32"/>
        </w:rPr>
        <w:t>年，全市教育系统突出“公平、质量”主线，以实施“教育质量提升年行动”为总揽，狠抓“完善教育服务体系、提高学生成长质量、深化教育综合改革、提升教育惠民水平和优化教育生态”五大重点工作攻坚，教育改革发展取得新进展</w:t>
      </w:r>
      <w:r>
        <w:rPr>
          <w:rFonts w:hint="eastAsia" w:ascii="仿宋" w:hAnsi="仿宋" w:eastAsia="仿宋" w:cs="仿宋"/>
          <w:bCs/>
          <w:color w:val="auto"/>
          <w:kern w:val="0"/>
          <w:sz w:val="32"/>
          <w:szCs w:val="32"/>
        </w:rPr>
        <w:t>，教育系统中心目标任务、省目标任务和市个性目标任务圆满完成。</w:t>
      </w:r>
    </w:p>
    <w:p>
      <w:pPr>
        <w:autoSpaceDE w:val="0"/>
        <w:autoSpaceDN w:val="0"/>
        <w:adjustRightInd w:val="0"/>
        <w:spacing w:line="360" w:lineRule="auto"/>
        <w:ind w:firstLine="640" w:firstLineChars="200"/>
        <w:rPr>
          <w:rFonts w:ascii="仿宋_GB2312" w:eastAsia="仿宋_GB2312"/>
          <w:b/>
          <w:bCs/>
          <w:sz w:val="32"/>
          <w:szCs w:val="32"/>
        </w:rPr>
      </w:pPr>
      <w:r>
        <w:rPr>
          <w:rFonts w:hint="eastAsia" w:ascii="仿宋_GB2312" w:eastAsia="仿宋_GB2312"/>
          <w:sz w:val="32"/>
          <w:szCs w:val="32"/>
        </w:rPr>
        <w:t>2019年度全市教育和体育工作呈现“</w:t>
      </w:r>
      <w:r>
        <w:rPr>
          <w:rFonts w:hint="eastAsia" w:ascii="仿宋_GB2312" w:eastAsia="仿宋_GB2312"/>
          <w:sz w:val="32"/>
          <w:szCs w:val="32"/>
          <w:lang w:eastAsia="zh-CN"/>
        </w:rPr>
        <w:t>六</w:t>
      </w:r>
      <w:r>
        <w:rPr>
          <w:rFonts w:hint="eastAsia" w:ascii="仿宋_GB2312" w:eastAsia="仿宋_GB2312"/>
          <w:sz w:val="32"/>
          <w:szCs w:val="32"/>
        </w:rPr>
        <w:t>大</w:t>
      </w:r>
      <w:r>
        <w:rPr>
          <w:rFonts w:hint="eastAsia" w:ascii="仿宋_GB2312" w:eastAsia="仿宋_GB2312"/>
          <w:kern w:val="0"/>
          <w:sz w:val="32"/>
          <w:szCs w:val="32"/>
        </w:rPr>
        <w:t>亮点”。</w:t>
      </w:r>
    </w:p>
    <w:p>
      <w:pPr>
        <w:spacing w:line="360" w:lineRule="auto"/>
        <w:ind w:firstLine="472" w:firstLineChars="147"/>
        <w:rPr>
          <w:rFonts w:hint="eastAsia" w:ascii="楷体_GB2312" w:hAnsi="黑体" w:eastAsia="楷体_GB2312" w:cs="黑体"/>
          <w:b/>
          <w:sz w:val="32"/>
          <w:szCs w:val="32"/>
          <w:lang w:bidi="ar"/>
        </w:rPr>
      </w:pPr>
      <w:bookmarkStart w:id="16" w:name="_Toc15377204"/>
      <w:bookmarkStart w:id="17" w:name="_Toc15396602"/>
      <w:r>
        <w:rPr>
          <w:rFonts w:hint="eastAsia" w:ascii="楷体_GB2312" w:hAnsi="新宋体" w:eastAsia="楷体_GB2312"/>
          <w:b/>
          <w:sz w:val="32"/>
          <w:szCs w:val="32"/>
        </w:rPr>
        <w:t>（一）</w:t>
      </w:r>
      <w:r>
        <w:rPr>
          <w:rFonts w:hint="eastAsia" w:ascii="楷体_GB2312" w:hAnsi="黑体" w:eastAsia="楷体_GB2312" w:cs="黑体"/>
          <w:b/>
          <w:sz w:val="32"/>
          <w:szCs w:val="32"/>
          <w:lang w:bidi="ar"/>
        </w:rPr>
        <w:t>党建引领更加有力。</w:t>
      </w:r>
    </w:p>
    <w:p>
      <w:pPr>
        <w:autoSpaceDE w:val="0"/>
        <w:autoSpaceDN w:val="0"/>
        <w:adjustRightInd w:val="0"/>
        <w:spacing w:line="360" w:lineRule="auto"/>
        <w:ind w:firstLine="643" w:firstLineChars="200"/>
        <w:rPr>
          <w:rFonts w:hint="eastAsia" w:ascii="仿宋_GB2312" w:eastAsia="仿宋_GB2312"/>
          <w:bCs/>
          <w:sz w:val="32"/>
          <w:szCs w:val="32"/>
        </w:rPr>
      </w:pPr>
      <w:r>
        <w:rPr>
          <w:rFonts w:hint="eastAsia" w:ascii="仿宋_GB2312" w:hAnsi="新宋体" w:eastAsia="仿宋_GB2312" w:cs="黑体"/>
          <w:b/>
          <w:sz w:val="32"/>
          <w:szCs w:val="32"/>
          <w:lang w:bidi="ar"/>
        </w:rPr>
        <w:t>一是重大教育事项统筹有序。</w:t>
      </w:r>
      <w:r>
        <w:rPr>
          <w:rFonts w:hint="eastAsia" w:ascii="仿宋_GB2312" w:hAnsi="仿宋_GB2312" w:eastAsia="仿宋_GB2312" w:cs="仿宋_GB2312"/>
          <w:sz w:val="32"/>
          <w:szCs w:val="32"/>
        </w:rPr>
        <w:t>成立市委教育工作领导小组，切实加强党对教育工作全面领导，</w:t>
      </w:r>
      <w:r>
        <w:rPr>
          <w:rFonts w:hint="eastAsia" w:ascii="仿宋_GB2312" w:hAnsi="微软雅黑" w:eastAsia="仿宋_GB2312" w:cs="仿宋_GB2312"/>
          <w:sz w:val="32"/>
          <w:szCs w:val="32"/>
          <w:lang w:bidi="ar"/>
        </w:rPr>
        <w:t>统筹解决“公办幼儿园建设、高考基础条件保障”等教育难点问题。</w:t>
      </w:r>
      <w:r>
        <w:rPr>
          <w:rFonts w:hint="eastAsia" w:ascii="仿宋_GB2312" w:hAnsi="仿宋_GB2312" w:eastAsia="仿宋_GB2312" w:cs="仿宋_GB2312"/>
          <w:sz w:val="32"/>
          <w:szCs w:val="32"/>
        </w:rPr>
        <w:t>优化机关运转方式，实现教体工作有机融合，保障重大决策落地见效。</w:t>
      </w:r>
      <w:r>
        <w:rPr>
          <w:rFonts w:hint="eastAsia" w:ascii="仿宋_GB2312" w:hAnsi="楷体_GB2312" w:eastAsia="仿宋_GB2312" w:cs="楷体_GB2312"/>
          <w:sz w:val="32"/>
          <w:szCs w:val="32"/>
        </w:rPr>
        <w:t>组织召开全市高考综合改革会、全市教育大会等重大会议</w:t>
      </w:r>
      <w:r>
        <w:rPr>
          <w:rFonts w:hint="eastAsia" w:ascii="仿宋_GB2312" w:hAnsi="仿宋" w:eastAsia="仿宋_GB2312"/>
          <w:sz w:val="32"/>
          <w:szCs w:val="32"/>
        </w:rPr>
        <w:t>，</w:t>
      </w:r>
      <w:r>
        <w:rPr>
          <w:rFonts w:hint="eastAsia" w:ascii="仿宋_GB2312" w:eastAsia="仿宋_GB2312"/>
          <w:sz w:val="32"/>
          <w:szCs w:val="32"/>
        </w:rPr>
        <w:t>成功</w:t>
      </w:r>
      <w:r>
        <w:rPr>
          <w:rFonts w:hint="eastAsia" w:ascii="仿宋_GB2312" w:eastAsia="仿宋_GB2312"/>
          <w:bCs/>
          <w:sz w:val="32"/>
          <w:szCs w:val="32"/>
        </w:rPr>
        <w:t>举办2019年中国龙舟公开赛、省第一届智力运动会和2019遂宁国际马拉赛等大型品牌赛事，</w:t>
      </w:r>
      <w:r>
        <w:rPr>
          <w:rFonts w:hint="eastAsia" w:ascii="仿宋_GB2312" w:hAnsi="仿宋_GB2312" w:eastAsia="仿宋_GB2312" w:cs="仿宋_GB2312"/>
          <w:color w:val="000000"/>
          <w:sz w:val="32"/>
          <w:szCs w:val="32"/>
          <w:shd w:val="clear" w:color="auto" w:fill="FFFFFF"/>
        </w:rPr>
        <w:t>提升了城市知名度和美誉度</w:t>
      </w:r>
      <w:r>
        <w:rPr>
          <w:rFonts w:hint="eastAsia" w:ascii="仿宋_GB2312" w:eastAsia="仿宋_GB2312"/>
          <w:bCs/>
          <w:sz w:val="32"/>
          <w:szCs w:val="32"/>
        </w:rPr>
        <w:t>。</w:t>
      </w:r>
      <w:r>
        <w:rPr>
          <w:rFonts w:hint="eastAsia" w:ascii="仿宋_GB2312" w:hAnsi="仿宋_GB2312" w:eastAsia="仿宋_GB2312" w:cs="仿宋_GB2312"/>
          <w:sz w:val="32"/>
          <w:szCs w:val="32"/>
        </w:rPr>
        <w:t>做好省政府对市政府2018年度教育履职情况督查工作。完成市委第二巡察组对局党组巡察工作。</w:t>
      </w:r>
    </w:p>
    <w:p>
      <w:pPr>
        <w:spacing w:line="360" w:lineRule="auto"/>
        <w:ind w:firstLine="630" w:firstLineChars="196"/>
        <w:rPr>
          <w:rFonts w:hint="eastAsia" w:ascii="仿宋_GB2312" w:hAnsi="黑体" w:eastAsia="仿宋_GB2312"/>
          <w:sz w:val="32"/>
          <w:szCs w:val="32"/>
        </w:rPr>
      </w:pPr>
      <w:r>
        <w:rPr>
          <w:rFonts w:hint="eastAsia" w:ascii="仿宋_GB2312" w:hAnsi="新宋体" w:eastAsia="仿宋_GB2312" w:cs="黑体"/>
          <w:b/>
          <w:sz w:val="32"/>
          <w:szCs w:val="32"/>
          <w:lang w:bidi="ar"/>
        </w:rPr>
        <w:t>二是党的政治功能逐渐增强。</w:t>
      </w:r>
      <w:r>
        <w:rPr>
          <w:rFonts w:hint="eastAsia" w:ascii="仿宋_GB2312" w:eastAsia="仿宋_GB2312"/>
          <w:bCs/>
          <w:sz w:val="32"/>
          <w:szCs w:val="32"/>
          <w:lang w:eastAsia="zh-CN"/>
        </w:rPr>
        <w:t>“不忘初心、牢记使命”主题教育</w:t>
      </w:r>
      <w:r>
        <w:rPr>
          <w:rFonts w:hint="eastAsia" w:ascii="仿宋_GB2312" w:eastAsia="仿宋_GB2312"/>
          <w:bCs/>
          <w:sz w:val="32"/>
          <w:szCs w:val="32"/>
        </w:rPr>
        <w:t>，找准路径，</w:t>
      </w:r>
      <w:r>
        <w:rPr>
          <w:rFonts w:hint="eastAsia" w:ascii="仿宋_GB2312" w:eastAsia="仿宋_GB2312"/>
          <w:sz w:val="32"/>
          <w:szCs w:val="32"/>
        </w:rPr>
        <w:t>形成推进教体事业高质量发展的调研报告；推动习</w:t>
      </w:r>
      <w:r>
        <w:rPr>
          <w:rFonts w:hint="eastAsia" w:ascii="仿宋_GB2312" w:eastAsia="仿宋_GB2312"/>
          <w:sz w:val="32"/>
          <w:szCs w:val="32"/>
          <w:lang w:eastAsia="zh-CN"/>
        </w:rPr>
        <w:t>近平</w:t>
      </w:r>
      <w:r>
        <w:rPr>
          <w:rFonts w:hint="eastAsia" w:ascii="仿宋_GB2312" w:eastAsia="仿宋_GB2312"/>
          <w:sz w:val="32"/>
          <w:szCs w:val="32"/>
        </w:rPr>
        <w:t>总书记系列重要讲话精神进学校、进课堂、进头脑，</w:t>
      </w:r>
      <w:r>
        <w:rPr>
          <w:rFonts w:hint="eastAsia" w:ascii="仿宋_GB2312" w:eastAsia="仿宋_GB2312"/>
          <w:bCs/>
          <w:sz w:val="32"/>
          <w:szCs w:val="32"/>
        </w:rPr>
        <w:t>凝聚共识，</w:t>
      </w:r>
      <w:r>
        <w:rPr>
          <w:rFonts w:hint="eastAsia" w:ascii="仿宋_GB2312" w:eastAsia="仿宋_GB2312"/>
          <w:sz w:val="32"/>
          <w:szCs w:val="32"/>
        </w:rPr>
        <w:t>举办12场中心组学习会，革军书记、正权市长带头到川职院和基层学校讲党课和作形势与政策报告；强化系统党组织建设，</w:t>
      </w:r>
      <w:r>
        <w:rPr>
          <w:rFonts w:hint="eastAsia" w:ascii="仿宋_GB2312" w:eastAsia="仿宋_GB2312"/>
          <w:bCs/>
          <w:sz w:val="32"/>
          <w:szCs w:val="32"/>
          <w:lang w:bidi="ar"/>
        </w:rPr>
        <w:t>建立</w:t>
      </w:r>
      <w:r>
        <w:rPr>
          <w:rFonts w:hint="eastAsia" w:ascii="仿宋_GB2312" w:eastAsia="仿宋_GB2312"/>
          <w:sz w:val="32"/>
          <w:szCs w:val="32"/>
        </w:rPr>
        <w:t>学校党组织换届工作台账</w:t>
      </w:r>
      <w:r>
        <w:rPr>
          <w:rFonts w:hint="eastAsia" w:ascii="仿宋_GB2312" w:eastAsia="仿宋_GB2312"/>
          <w:bCs/>
          <w:sz w:val="32"/>
          <w:szCs w:val="32"/>
          <w:lang w:bidi="ar"/>
        </w:rPr>
        <w:t>，</w:t>
      </w:r>
      <w:r>
        <w:rPr>
          <w:rFonts w:hint="eastAsia" w:ascii="仿宋_GB2312" w:eastAsia="仿宋_GB2312"/>
          <w:sz w:val="32"/>
          <w:szCs w:val="32"/>
          <w:shd w:val="clear" w:color="auto" w:fill="FFFFFF"/>
          <w:lang w:bidi="ar"/>
        </w:rPr>
        <w:t>选派84名党建指导员到民办学校加强工作指导，</w:t>
      </w:r>
      <w:r>
        <w:rPr>
          <w:rFonts w:hint="eastAsia" w:ascii="仿宋_GB2312" w:eastAsia="仿宋_GB2312"/>
          <w:sz w:val="32"/>
          <w:szCs w:val="32"/>
          <w:lang w:bidi="ar"/>
        </w:rPr>
        <w:t>公民办学校党组织和党建工作100%全覆盖；创新优化党组织设置，射洪县、船山区以“片区协同”“城市+农村”“</w:t>
      </w:r>
      <w:r>
        <w:rPr>
          <w:rFonts w:hint="eastAsia" w:ascii="仿宋_GB2312" w:eastAsia="仿宋_GB2312"/>
          <w:sz w:val="32"/>
          <w:szCs w:val="32"/>
          <w:shd w:val="clear" w:color="auto" w:fill="FFFFFF"/>
          <w:lang w:bidi="ar"/>
        </w:rPr>
        <w:t>先进+软弱”方式成立17个城乡学校党建共同体；</w:t>
      </w:r>
      <w:r>
        <w:rPr>
          <w:rFonts w:hint="eastAsia" w:ascii="仿宋_GB2312" w:eastAsia="仿宋_GB2312"/>
          <w:sz w:val="32"/>
          <w:szCs w:val="32"/>
        </w:rPr>
        <w:t>深入开展教育“微腐败”和侵害群众利益的不正之风和腐败问题的深入治理，</w:t>
      </w:r>
      <w:r>
        <w:rPr>
          <w:rFonts w:hint="eastAsia" w:ascii="仿宋_GB2312" w:hAnsi="黑体" w:eastAsia="仿宋_GB2312"/>
          <w:sz w:val="32"/>
          <w:szCs w:val="32"/>
        </w:rPr>
        <w:t>驰而不息纠正“四风”，全年教体系统未发生腐败案件。</w:t>
      </w:r>
    </w:p>
    <w:p>
      <w:pPr>
        <w:spacing w:line="360" w:lineRule="auto"/>
        <w:ind w:firstLine="630" w:firstLineChars="196"/>
        <w:rPr>
          <w:rFonts w:hint="eastAsia" w:ascii="仿宋_GB2312" w:hAnsi="仿宋_GB2312" w:eastAsia="仿宋_GB2312" w:cs="仿宋_GB2312"/>
          <w:sz w:val="32"/>
          <w:szCs w:val="32"/>
          <w:lang w:bidi="ar"/>
        </w:rPr>
      </w:pPr>
      <w:r>
        <w:rPr>
          <w:rFonts w:hint="eastAsia" w:ascii="仿宋_GB2312" w:eastAsia="仿宋_GB2312" w:cs="黑体"/>
          <w:b/>
          <w:sz w:val="32"/>
          <w:szCs w:val="32"/>
          <w:lang w:bidi="ar"/>
        </w:rPr>
        <w:t>三是</w:t>
      </w:r>
      <w:r>
        <w:rPr>
          <w:rFonts w:hint="eastAsia" w:ascii="仿宋_GB2312" w:eastAsia="仿宋_GB2312"/>
          <w:b/>
          <w:bCs/>
          <w:sz w:val="32"/>
          <w:szCs w:val="32"/>
        </w:rPr>
        <w:t>学校意识形态向上向好。</w:t>
      </w:r>
      <w:r>
        <w:rPr>
          <w:rFonts w:hint="eastAsia" w:ascii="仿宋_GB2312" w:eastAsia="仿宋_GB2312"/>
          <w:sz w:val="32"/>
          <w:szCs w:val="32"/>
          <w:lang w:bidi="ar"/>
        </w:rPr>
        <w:t>强化意识形态工作的引领和监管，</w:t>
      </w:r>
      <w:r>
        <w:rPr>
          <w:rFonts w:hint="eastAsia" w:ascii="仿宋_GB2312" w:eastAsia="仿宋_GB2312"/>
          <w:sz w:val="32"/>
          <w:szCs w:val="32"/>
          <w:shd w:val="clear" w:color="auto" w:fill="FFFFFF"/>
          <w:lang w:bidi="ar"/>
        </w:rPr>
        <w:t>专门成立思宣科，</w:t>
      </w:r>
      <w:r>
        <w:rPr>
          <w:rFonts w:hint="eastAsia" w:ascii="仿宋_GB2312" w:hAnsi="仿宋" w:eastAsia="仿宋_GB2312" w:cs="仿宋"/>
          <w:sz w:val="32"/>
          <w:szCs w:val="32"/>
        </w:rPr>
        <w:t>具体抓意识形态工作。</w:t>
      </w:r>
      <w:r>
        <w:rPr>
          <w:rFonts w:hint="eastAsia" w:ascii="仿宋_GB2312" w:eastAsia="仿宋_GB2312"/>
          <w:sz w:val="32"/>
          <w:szCs w:val="32"/>
        </w:rPr>
        <w:t>局党组集中学习意识形态理论知识6次，召开专题工作会2次，强化系统意识形态工作</w:t>
      </w:r>
      <w:r>
        <w:rPr>
          <w:rFonts w:hint="eastAsia" w:ascii="仿宋_GB2312" w:hAnsi="仿宋" w:eastAsia="仿宋_GB2312" w:cs="仿宋"/>
          <w:sz w:val="32"/>
          <w:szCs w:val="32"/>
        </w:rPr>
        <w:t>。</w:t>
      </w:r>
      <w:r>
        <w:rPr>
          <w:rFonts w:hint="eastAsia" w:ascii="仿宋_GB2312" w:eastAsia="仿宋_GB2312"/>
          <w:sz w:val="32"/>
          <w:szCs w:val="32"/>
          <w:shd w:val="clear" w:color="auto" w:fill="FFFFFF"/>
          <w:lang w:bidi="ar"/>
        </w:rPr>
        <w:t>出台</w:t>
      </w:r>
      <w:r>
        <w:rPr>
          <w:rFonts w:hint="eastAsia" w:ascii="仿宋_GB2312" w:hAnsi="仿宋" w:eastAsia="仿宋_GB2312" w:cs="仿宋"/>
          <w:sz w:val="32"/>
          <w:szCs w:val="32"/>
        </w:rPr>
        <w:t>《关于进一步加强报告会、研讨会、讲座、论坛等学术活动管理的通知》，</w:t>
      </w:r>
      <w:r>
        <w:rPr>
          <w:rFonts w:hint="eastAsia" w:ascii="仿宋_GB2312" w:eastAsia="仿宋_GB2312"/>
          <w:sz w:val="32"/>
          <w:szCs w:val="32"/>
          <w:lang w:bidi="ar"/>
        </w:rPr>
        <w:t>建立教师“上课守纪律，言论守规矩”执行监督考评机制</w:t>
      </w:r>
      <w:r>
        <w:rPr>
          <w:rFonts w:hint="eastAsia" w:ascii="仿宋_GB2312" w:eastAsia="仿宋_GB2312"/>
          <w:sz w:val="32"/>
          <w:szCs w:val="32"/>
          <w:shd w:val="clear" w:color="auto" w:fill="FFFFFF"/>
          <w:lang w:bidi="ar"/>
        </w:rPr>
        <w:t>，社团、教研活动内审机制。</w:t>
      </w:r>
      <w:r>
        <w:rPr>
          <w:rFonts w:hint="eastAsia" w:ascii="仿宋_GB2312" w:hAnsi="仿宋" w:eastAsia="仿宋_GB2312" w:cs="仿宋"/>
          <w:sz w:val="32"/>
          <w:szCs w:val="32"/>
        </w:rPr>
        <w:t>严把宣传导向，</w:t>
      </w:r>
      <w:r>
        <w:rPr>
          <w:rFonts w:hint="eastAsia" w:ascii="仿宋_GB2312" w:eastAsia="仿宋_GB2312"/>
          <w:sz w:val="32"/>
          <w:szCs w:val="32"/>
        </w:rPr>
        <w:t>通过遂宁电视台、遂宁日报等主流媒体发布相关稿件100余篇，通过“遂宁教育体育网”微信公众号等政务新媒体发布信息600余条，解读政策，回应教体热点。坚持教育与宗教相分离原则，严守工作底线，坚决防止“宗教渗透”，今年全市未发现校园内传教现象。建立健全网络舆情监控和应对机制，有效化解网络舆情30余条，有效控制和减少负面言论带来的不良影响。</w:t>
      </w:r>
    </w:p>
    <w:p>
      <w:pPr>
        <w:spacing w:line="360" w:lineRule="auto"/>
        <w:ind w:firstLine="643" w:firstLineChars="200"/>
        <w:rPr>
          <w:rFonts w:hint="eastAsia" w:ascii="楷体_GB2312" w:hAnsi="新宋体" w:eastAsia="楷体_GB2312"/>
          <w:b/>
          <w:sz w:val="32"/>
          <w:szCs w:val="32"/>
        </w:rPr>
      </w:pPr>
      <w:r>
        <w:rPr>
          <w:rFonts w:hint="eastAsia" w:ascii="楷体_GB2312" w:hAnsi="新宋体" w:eastAsia="楷体_GB2312"/>
          <w:b/>
          <w:sz w:val="32"/>
          <w:szCs w:val="32"/>
        </w:rPr>
        <w:t>（</w:t>
      </w:r>
      <w:r>
        <w:rPr>
          <w:rFonts w:hint="eastAsia" w:ascii="楷体_GB2312" w:hAnsi="新宋体" w:eastAsia="楷体_GB2312"/>
          <w:b/>
          <w:sz w:val="32"/>
          <w:szCs w:val="32"/>
          <w:lang w:eastAsia="zh-CN"/>
        </w:rPr>
        <w:t>二</w:t>
      </w:r>
      <w:r>
        <w:rPr>
          <w:rFonts w:hint="eastAsia" w:ascii="楷体_GB2312" w:hAnsi="新宋体" w:eastAsia="楷体_GB2312"/>
          <w:b/>
          <w:sz w:val="32"/>
          <w:szCs w:val="32"/>
        </w:rPr>
        <w:t>）服务体系更加完善。</w:t>
      </w:r>
    </w:p>
    <w:p>
      <w:pPr>
        <w:spacing w:line="360" w:lineRule="auto"/>
        <w:ind w:firstLine="790" w:firstLineChars="246"/>
        <w:rPr>
          <w:rFonts w:ascii="宋体" w:hAnsi="宋体" w:cs="宋体"/>
          <w:kern w:val="0"/>
          <w:sz w:val="24"/>
        </w:rPr>
      </w:pPr>
      <w:r>
        <w:rPr>
          <w:rFonts w:hint="eastAsia" w:ascii="仿宋_GB2312" w:hAnsi="新宋体" w:eastAsia="仿宋_GB2312" w:cs="黑体"/>
          <w:b/>
          <w:sz w:val="32"/>
          <w:szCs w:val="32"/>
          <w:lang w:bidi="ar"/>
        </w:rPr>
        <w:t>一是学前教育普惠发展。</w:t>
      </w:r>
      <w:r>
        <w:rPr>
          <w:rFonts w:hint="eastAsia" w:ascii="仿宋_GB2312" w:hAnsi="宋体" w:eastAsia="仿宋_GB2312" w:cs="仿宋"/>
          <w:sz w:val="32"/>
          <w:szCs w:val="32"/>
        </w:rPr>
        <w:t>实施第三期学前教育行动计划，累计投入资金3.88亿元，建成公办幼儿园园舍12万平方米。2019年年度，全市新建成</w:t>
      </w:r>
      <w:r>
        <w:rPr>
          <w:rFonts w:hint="eastAsia" w:ascii="仿宋_GB2312" w:hAnsi="宋体" w:eastAsia="仿宋_GB2312" w:cs="宋体"/>
          <w:kern w:val="0"/>
          <w:sz w:val="32"/>
          <w:szCs w:val="32"/>
        </w:rPr>
        <w:t>船山区龙凤幼儿园、安居三幼等</w:t>
      </w:r>
      <w:r>
        <w:rPr>
          <w:rFonts w:hint="eastAsia" w:ascii="仿宋_GB2312" w:hAnsi="宋体" w:eastAsia="仿宋_GB2312" w:cs="仿宋"/>
          <w:sz w:val="32"/>
          <w:szCs w:val="32"/>
        </w:rPr>
        <w:t>10所公办幼儿园，共</w:t>
      </w:r>
      <w:r>
        <w:rPr>
          <w:rFonts w:hint="eastAsia" w:ascii="仿宋_GB2312" w:hAnsi="仿宋_GB2312" w:eastAsia="仿宋_GB2312" w:cs="仿宋_GB2312"/>
          <w:sz w:val="32"/>
          <w:szCs w:val="32"/>
        </w:rPr>
        <w:t>治理71所城镇小区配套园，共认定普惠性民办幼儿园</w:t>
      </w:r>
      <w:r>
        <w:rPr>
          <w:rFonts w:ascii="仿宋_GB2312" w:hAnsi="仿宋_GB2312" w:eastAsia="仿宋_GB2312" w:cs="仿宋_GB2312"/>
          <w:sz w:val="32"/>
          <w:szCs w:val="32"/>
        </w:rPr>
        <w:t>115</w:t>
      </w:r>
      <w:r>
        <w:rPr>
          <w:rFonts w:hint="eastAsia" w:ascii="仿宋_GB2312" w:hAnsi="仿宋_GB2312" w:eastAsia="仿宋_GB2312" w:cs="仿宋_GB2312"/>
          <w:sz w:val="32"/>
          <w:szCs w:val="32"/>
        </w:rPr>
        <w:t>所。</w:t>
      </w:r>
      <w:r>
        <w:rPr>
          <w:rFonts w:hint="eastAsia" w:ascii="仿宋_GB2312" w:hAnsi="楷体" w:eastAsia="仿宋_GB2312" w:cs="楷体"/>
          <w:sz w:val="32"/>
          <w:szCs w:val="32"/>
        </w:rPr>
        <w:t>成功创建为国家级“家园共育”试点市，3所幼儿园成为试点园。</w:t>
      </w:r>
      <w:r>
        <w:rPr>
          <w:rFonts w:hint="eastAsia" w:ascii="仿宋_GB2312" w:hAnsi="仿宋_GB2312" w:eastAsia="仿宋_GB2312" w:cs="仿宋_GB2312"/>
          <w:color w:val="000000"/>
          <w:sz w:val="32"/>
          <w:szCs w:val="32"/>
        </w:rPr>
        <w:t>评估验收了市级示范幼儿园</w:t>
      </w:r>
      <w:r>
        <w:rPr>
          <w:rFonts w:ascii="仿宋_GB2312" w:hAnsi="仿宋_GB2312" w:eastAsia="仿宋_GB2312" w:cs="仿宋_GB2312"/>
          <w:color w:val="000000"/>
          <w:sz w:val="32"/>
          <w:szCs w:val="32"/>
        </w:rPr>
        <w:t>7</w:t>
      </w:r>
      <w:r>
        <w:rPr>
          <w:rFonts w:hint="eastAsia" w:ascii="仿宋_GB2312" w:hAnsi="仿宋_GB2312" w:eastAsia="仿宋_GB2312" w:cs="仿宋_GB2312"/>
          <w:color w:val="000000"/>
          <w:sz w:val="32"/>
          <w:szCs w:val="32"/>
        </w:rPr>
        <w:t>所。</w:t>
      </w:r>
      <w:r>
        <w:rPr>
          <w:rFonts w:hint="eastAsia" w:ascii="仿宋_GB2312" w:hAnsi="仿宋_GB2312" w:eastAsia="仿宋_GB2312" w:cs="仿宋_GB2312"/>
          <w:sz w:val="32"/>
          <w:szCs w:val="32"/>
        </w:rPr>
        <w:t>目前，</w:t>
      </w:r>
      <w:r>
        <w:rPr>
          <w:rFonts w:hint="eastAsia" w:ascii="仿宋_GB2312" w:eastAsia="仿宋_GB2312" w:cs="仿宋_GB2312"/>
          <w:sz w:val="32"/>
          <w:szCs w:val="32"/>
        </w:rPr>
        <w:t>全市有普惠性民办幼儿园</w:t>
      </w:r>
      <w:r>
        <w:rPr>
          <w:rFonts w:ascii="仿宋_GB2312" w:eastAsia="仿宋_GB2312" w:cs="仿宋_GB2312"/>
          <w:sz w:val="32"/>
          <w:szCs w:val="32"/>
        </w:rPr>
        <w:t>287</w:t>
      </w:r>
      <w:r>
        <w:rPr>
          <w:rFonts w:hint="eastAsia" w:ascii="仿宋_GB2312" w:eastAsia="仿宋_GB2312" w:cs="仿宋_GB2312"/>
          <w:sz w:val="32"/>
          <w:szCs w:val="32"/>
        </w:rPr>
        <w:t>所，普惠性幼儿共</w:t>
      </w:r>
      <w:r>
        <w:rPr>
          <w:rFonts w:ascii="仿宋_GB2312" w:eastAsia="仿宋_GB2312" w:cs="仿宋_GB2312"/>
          <w:sz w:val="32"/>
          <w:szCs w:val="32"/>
        </w:rPr>
        <w:t>7</w:t>
      </w:r>
      <w:r>
        <w:rPr>
          <w:rFonts w:hint="eastAsia" w:ascii="仿宋_GB2312" w:eastAsia="仿宋_GB2312" w:cs="仿宋_GB2312"/>
          <w:sz w:val="32"/>
          <w:szCs w:val="32"/>
        </w:rPr>
        <w:t>.</w:t>
      </w:r>
      <w:r>
        <w:rPr>
          <w:rFonts w:ascii="仿宋_GB2312" w:eastAsia="仿宋_GB2312" w:cs="仿宋_GB2312"/>
          <w:sz w:val="32"/>
          <w:szCs w:val="32"/>
        </w:rPr>
        <w:t>24</w:t>
      </w:r>
      <w:r>
        <w:rPr>
          <w:rFonts w:hint="eastAsia" w:ascii="仿宋_GB2312" w:eastAsia="仿宋_GB2312" w:cs="仿宋_GB2312"/>
          <w:sz w:val="32"/>
          <w:szCs w:val="32"/>
        </w:rPr>
        <w:t>万人，普惠性学前教育比例达到</w:t>
      </w:r>
      <w:r>
        <w:rPr>
          <w:rFonts w:ascii="仿宋_GB2312" w:eastAsia="仿宋_GB2312" w:cs="仿宋_GB2312"/>
          <w:sz w:val="32"/>
          <w:szCs w:val="32"/>
        </w:rPr>
        <w:t>76.8%</w:t>
      </w:r>
      <w:r>
        <w:rPr>
          <w:rFonts w:hint="eastAsia" w:ascii="仿宋_GB2312" w:eastAsia="仿宋_GB2312" w:cs="仿宋_GB2312"/>
          <w:sz w:val="32"/>
          <w:szCs w:val="32"/>
        </w:rPr>
        <w:t>，</w:t>
      </w:r>
      <w:r>
        <w:rPr>
          <w:rFonts w:hint="eastAsia" w:ascii="仿宋_GB2312" w:eastAsia="仿宋_GB2312" w:cs="仿宋_GB2312"/>
          <w:sz w:val="32"/>
          <w:szCs w:val="32"/>
          <w:shd w:val="clear" w:color="auto" w:fill="FFFFFF"/>
          <w:lang w:bidi="ar"/>
        </w:rPr>
        <w:t>学前三年毛入园率达到</w:t>
      </w:r>
      <w:r>
        <w:rPr>
          <w:rFonts w:hint="eastAsia" w:ascii="仿宋_GB2312" w:eastAsia="仿宋_GB2312"/>
          <w:sz w:val="32"/>
          <w:szCs w:val="32"/>
          <w:shd w:val="clear" w:color="auto" w:fill="FFFFFF"/>
          <w:lang w:bidi="ar"/>
        </w:rPr>
        <w:t>87.5%</w:t>
      </w:r>
      <w:r>
        <w:rPr>
          <w:rFonts w:hint="eastAsia" w:ascii="仿宋_GB2312" w:hAnsi="仿宋_GB2312" w:eastAsia="仿宋_GB2312" w:cs="仿宋_GB2312"/>
          <w:sz w:val="32"/>
          <w:szCs w:val="32"/>
          <w:lang w:bidi="ar"/>
        </w:rPr>
        <w:t>。</w:t>
      </w:r>
    </w:p>
    <w:p>
      <w:pPr>
        <w:spacing w:line="360" w:lineRule="auto"/>
        <w:ind w:firstLine="630" w:firstLineChars="196"/>
        <w:rPr>
          <w:rFonts w:hint="eastAsia" w:ascii="仿宋_GB2312" w:hAnsi="新宋体" w:eastAsia="仿宋_GB2312" w:cs="黑体"/>
          <w:sz w:val="32"/>
          <w:szCs w:val="32"/>
          <w:lang w:bidi="ar"/>
        </w:rPr>
      </w:pPr>
      <w:r>
        <w:rPr>
          <w:rFonts w:hint="eastAsia" w:ascii="仿宋_GB2312" w:hAnsi="新宋体" w:eastAsia="仿宋_GB2312" w:cs="黑体"/>
          <w:b/>
          <w:sz w:val="32"/>
          <w:szCs w:val="32"/>
          <w:lang w:bidi="ar"/>
        </w:rPr>
        <w:t>二是公办义务学校建设提速。</w:t>
      </w:r>
      <w:r>
        <w:rPr>
          <w:rFonts w:hint="eastAsia" w:ascii="仿宋_GB2312" w:hAnsi="新宋体" w:eastAsia="仿宋_GB2312" w:cs="黑体"/>
          <w:sz w:val="32"/>
          <w:szCs w:val="32"/>
          <w:lang w:bidi="ar"/>
        </w:rPr>
        <w:t>投资1.8亿元，建成梧桐路小学、高升实验学校、射洪县太和四小等7所城乡公办义务教育学校。</w:t>
      </w:r>
      <w:r>
        <w:rPr>
          <w:rFonts w:hint="eastAsia" w:ascii="仿宋_GB2312" w:hAnsi="宋体" w:eastAsia="仿宋_GB2312" w:cs="仿宋"/>
          <w:bCs/>
          <w:sz w:val="32"/>
          <w:szCs w:val="32"/>
        </w:rPr>
        <w:t>出台《遂宁市义务教育薄弱环节改善与能力提升工作项目规划》，</w:t>
      </w:r>
      <w:r>
        <w:rPr>
          <w:rFonts w:hint="eastAsia" w:ascii="仿宋_GB2312" w:hAnsi="宋体" w:eastAsia="仿宋_GB2312" w:cs="仿宋"/>
          <w:sz w:val="32"/>
          <w:szCs w:val="32"/>
        </w:rPr>
        <w:t>投资3.87亿元，改造义务教育薄弱环节学校95所。</w:t>
      </w:r>
      <w:r>
        <w:rPr>
          <w:rFonts w:hint="eastAsia" w:ascii="仿宋_GB2312" w:hAnsi="楷体_GB2312" w:eastAsia="仿宋_GB2312" w:cs="楷体_GB2312"/>
          <w:sz w:val="32"/>
          <w:szCs w:val="32"/>
        </w:rPr>
        <w:t>遂宁</w:t>
      </w:r>
      <w:r>
        <w:rPr>
          <w:rFonts w:hint="eastAsia" w:ascii="仿宋_GB2312" w:hAnsi="仿宋_GB2312" w:eastAsia="仿宋_GB2312" w:cs="仿宋_GB2312"/>
          <w:sz w:val="32"/>
          <w:szCs w:val="32"/>
        </w:rPr>
        <w:t>体育训练综合楼全面竣工并投入使用。</w:t>
      </w:r>
      <w:r>
        <w:rPr>
          <w:rFonts w:hint="eastAsia" w:ascii="仿宋_GB2312" w:hAnsi="楷体" w:eastAsia="仿宋_GB2312"/>
          <w:sz w:val="32"/>
          <w:szCs w:val="32"/>
        </w:rPr>
        <w:t>建成灯光照明健康教室1580间</w:t>
      </w:r>
      <w:r>
        <w:rPr>
          <w:rFonts w:hint="eastAsia" w:ascii="仿宋_GB2312" w:hAnsi="仿宋_GB2312" w:eastAsia="仿宋_GB2312" w:cs="仿宋_GB2312"/>
          <w:sz w:val="32"/>
          <w:szCs w:val="32"/>
        </w:rPr>
        <w:t>、“明厨亮灶”学校食堂699所</w:t>
      </w:r>
      <w:r>
        <w:rPr>
          <w:rFonts w:hint="eastAsia" w:ascii="仿宋_GB2312" w:hAnsi="仿宋" w:eastAsia="仿宋_GB2312" w:cs="仿宋"/>
          <w:color w:val="000000"/>
          <w:kern w:val="0"/>
          <w:sz w:val="32"/>
          <w:szCs w:val="32"/>
        </w:rPr>
        <w:t>。目前，</w:t>
      </w:r>
      <w:r>
        <w:rPr>
          <w:rFonts w:hint="eastAsia" w:ascii="仿宋_GB2312" w:eastAsia="仿宋_GB2312" w:cs="仿宋_GB2312"/>
          <w:sz w:val="32"/>
          <w:szCs w:val="32"/>
          <w:lang w:bidi="ar"/>
        </w:rPr>
        <w:t>全市所有县（市、区）实现区域义务教育实现基本均衡发展。</w:t>
      </w:r>
    </w:p>
    <w:p>
      <w:pPr>
        <w:spacing w:line="360" w:lineRule="auto"/>
        <w:ind w:firstLine="643" w:firstLineChars="200"/>
        <w:rPr>
          <w:rFonts w:hint="eastAsia" w:ascii="仿宋_GB2312" w:hAnsi="仿宋_GB2312" w:eastAsia="仿宋_GB2312" w:cs="仿宋_GB2312"/>
          <w:sz w:val="32"/>
          <w:szCs w:val="32"/>
        </w:rPr>
      </w:pPr>
      <w:r>
        <w:rPr>
          <w:rFonts w:hint="eastAsia" w:ascii="仿宋_GB2312" w:eastAsia="仿宋_GB2312" w:cs="仿宋_GB2312"/>
          <w:b/>
          <w:sz w:val="32"/>
          <w:szCs w:val="32"/>
          <w:shd w:val="clear" w:color="auto" w:fill="FFFFFF"/>
          <w:lang w:bidi="ar"/>
        </w:rPr>
        <w:t>三是</w:t>
      </w:r>
      <w:r>
        <w:rPr>
          <w:rFonts w:hint="eastAsia" w:ascii="仿宋_GB2312" w:hAnsi="黑体" w:eastAsia="仿宋_GB2312" w:cs="黑体"/>
          <w:b/>
          <w:bCs/>
          <w:sz w:val="32"/>
          <w:szCs w:val="32"/>
        </w:rPr>
        <w:t>普通高中学校多元发展。</w:t>
      </w:r>
      <w:r>
        <w:rPr>
          <w:rFonts w:hint="eastAsia" w:ascii="仿宋_GB2312" w:eastAsia="仿宋_GB2312" w:cs="仿宋_GB2312"/>
          <w:sz w:val="32"/>
          <w:szCs w:val="32"/>
          <w:lang w:bidi="ar"/>
        </w:rPr>
        <w:t>实施高中阶段教育普及攻坚计划，截至目前，</w:t>
      </w:r>
      <w:r>
        <w:rPr>
          <w:rFonts w:hint="eastAsia" w:ascii="仿宋_GB2312" w:eastAsia="仿宋_GB2312" w:cs="仿宋_GB2312"/>
          <w:sz w:val="32"/>
          <w:szCs w:val="32"/>
          <w:shd w:val="clear" w:color="auto" w:fill="FFFFFF"/>
          <w:lang w:bidi="ar"/>
        </w:rPr>
        <w:t>已累计投入资金</w:t>
      </w:r>
      <w:r>
        <w:rPr>
          <w:rFonts w:hint="eastAsia" w:ascii="仿宋_GB2312" w:eastAsia="仿宋_GB2312"/>
          <w:sz w:val="32"/>
          <w:szCs w:val="32"/>
          <w:shd w:val="clear" w:color="auto" w:fill="FFFFFF"/>
          <w:lang w:bidi="ar"/>
        </w:rPr>
        <w:t>1.5</w:t>
      </w:r>
      <w:r>
        <w:rPr>
          <w:rFonts w:hint="eastAsia" w:ascii="仿宋_GB2312" w:eastAsia="仿宋_GB2312" w:cs="仿宋_GB2312"/>
          <w:sz w:val="32"/>
          <w:szCs w:val="32"/>
          <w:shd w:val="clear" w:color="auto" w:fill="FFFFFF"/>
          <w:lang w:bidi="ar"/>
        </w:rPr>
        <w:t>亿元，开工校舍建筑面积</w:t>
      </w:r>
      <w:r>
        <w:rPr>
          <w:rFonts w:hint="eastAsia" w:ascii="仿宋_GB2312" w:eastAsia="仿宋_GB2312"/>
          <w:sz w:val="32"/>
          <w:szCs w:val="32"/>
          <w:shd w:val="clear" w:color="auto" w:fill="FFFFFF"/>
          <w:lang w:bidi="ar"/>
        </w:rPr>
        <w:t>3</w:t>
      </w:r>
      <w:r>
        <w:rPr>
          <w:rFonts w:hint="eastAsia" w:ascii="仿宋_GB2312" w:eastAsia="仿宋_GB2312" w:cs="仿宋_GB2312"/>
          <w:sz w:val="32"/>
          <w:szCs w:val="32"/>
          <w:shd w:val="clear" w:color="auto" w:fill="FFFFFF"/>
          <w:lang w:bidi="ar"/>
        </w:rPr>
        <w:t>万余平方米。全市高中阶段教育毛入学率达</w:t>
      </w:r>
      <w:r>
        <w:rPr>
          <w:rFonts w:hint="eastAsia" w:ascii="仿宋_GB2312" w:eastAsia="仿宋_GB2312"/>
          <w:sz w:val="32"/>
          <w:szCs w:val="32"/>
          <w:shd w:val="clear" w:color="auto" w:fill="FFFFFF"/>
          <w:lang w:bidi="ar"/>
        </w:rPr>
        <w:t>90.7</w:t>
      </w:r>
      <w:r>
        <w:rPr>
          <w:rFonts w:hint="eastAsia" w:ascii="仿宋_GB2312" w:eastAsia="仿宋_GB2312" w:cs="仿宋_GB2312"/>
          <w:sz w:val="32"/>
          <w:szCs w:val="32"/>
          <w:shd w:val="clear" w:color="auto" w:fill="FFFFFF"/>
          <w:lang w:bidi="ar"/>
        </w:rPr>
        <w:t>％。</w:t>
      </w:r>
      <w:r>
        <w:rPr>
          <w:rFonts w:hint="eastAsia" w:ascii="仿宋_GB2312" w:eastAsia="仿宋_GB2312" w:cs="仿宋_GB2312"/>
          <w:sz w:val="32"/>
          <w:szCs w:val="32"/>
          <w:shd w:val="clear" w:color="auto" w:fill="FFFFFF"/>
        </w:rPr>
        <w:t>大英中学被人社部、教育部表彰为全国教育系统先进集体。</w:t>
      </w:r>
      <w:r>
        <w:rPr>
          <w:rFonts w:hint="eastAsia" w:ascii="仿宋_GB2312" w:eastAsia="仿宋_GB2312" w:cs="仿宋_GB2312"/>
          <w:sz w:val="32"/>
          <w:szCs w:val="32"/>
          <w:shd w:val="clear" w:color="auto" w:fill="FFFFFF"/>
          <w:lang w:bidi="ar"/>
        </w:rPr>
        <w:t>大英中学和</w:t>
      </w:r>
      <w:r>
        <w:rPr>
          <w:rFonts w:hint="eastAsia" w:ascii="仿宋_GB2312" w:hAnsi="仿宋_GB2312" w:eastAsia="仿宋_GB2312" w:cs="仿宋_GB2312"/>
          <w:sz w:val="32"/>
          <w:szCs w:val="32"/>
        </w:rPr>
        <w:t>蓬溪中学</w:t>
      </w:r>
      <w:r>
        <w:rPr>
          <w:rFonts w:hint="eastAsia" w:ascii="仿宋_GB2312" w:eastAsia="仿宋_GB2312" w:cs="仿宋_GB2312"/>
          <w:sz w:val="32"/>
          <w:szCs w:val="32"/>
          <w:shd w:val="clear" w:color="auto" w:fill="FFFFFF"/>
          <w:lang w:bidi="ar"/>
        </w:rPr>
        <w:t>创建成省一级示范高中。</w:t>
      </w:r>
      <w:r>
        <w:rPr>
          <w:rFonts w:hint="eastAsia" w:ascii="仿宋_GB2312" w:eastAsia="仿宋_GB2312" w:cs="仿宋_GB2312"/>
          <w:bCs/>
          <w:sz w:val="32"/>
          <w:szCs w:val="32"/>
          <w:shd w:val="clear" w:color="auto" w:fill="FFFFFF"/>
          <w:lang w:bidi="ar"/>
        </w:rPr>
        <w:t>太和中学、遂宁一中等学校艺体特色突出</w:t>
      </w:r>
      <w:r>
        <w:rPr>
          <w:rFonts w:hint="eastAsia" w:ascii="仿宋_GB2312" w:eastAsia="仿宋_GB2312" w:cs="仿宋_GB2312"/>
          <w:sz w:val="32"/>
          <w:szCs w:val="32"/>
          <w:shd w:val="clear" w:color="auto" w:fill="FFFFFF"/>
          <w:lang w:bidi="ar"/>
        </w:rPr>
        <w:t>，大英育才中学办成综合高中，遂宁二中与遂宁应用高级技工学校联办技能高考班。</w:t>
      </w:r>
    </w:p>
    <w:p>
      <w:pPr>
        <w:spacing w:line="360" w:lineRule="auto"/>
        <w:ind w:firstLine="643" w:firstLineChars="200"/>
        <w:rPr>
          <w:rFonts w:hint="eastAsia" w:ascii="仿宋_GB2312" w:hAnsi="仿宋_GB2312" w:eastAsia="仿宋_GB2312" w:cs="仿宋_GB2312"/>
          <w:sz w:val="32"/>
          <w:szCs w:val="32"/>
        </w:rPr>
      </w:pPr>
      <w:r>
        <w:rPr>
          <w:rFonts w:hint="eastAsia" w:ascii="仿宋_GB2312" w:hAnsi="黑体" w:eastAsia="仿宋_GB2312"/>
          <w:b/>
          <w:bCs/>
          <w:sz w:val="32"/>
          <w:szCs w:val="32"/>
        </w:rPr>
        <w:t>四是</w:t>
      </w:r>
      <w:r>
        <w:rPr>
          <w:rFonts w:hint="eastAsia" w:eastAsia="仿宋_GB2312" w:cs="仿宋_GB2312"/>
          <w:b/>
          <w:sz w:val="32"/>
          <w:szCs w:val="32"/>
          <w:shd w:val="clear" w:color="auto" w:fill="FFFFFF"/>
          <w:lang w:bidi="ar"/>
        </w:rPr>
        <w:t>职业教育学校融合发展。</w:t>
      </w:r>
      <w:r>
        <w:rPr>
          <w:rFonts w:hint="eastAsia" w:ascii="仿宋_GB2312" w:hAnsi="仿宋_GB2312" w:eastAsia="仿宋_GB2312" w:cs="仿宋_GB2312"/>
          <w:sz w:val="32"/>
          <w:szCs w:val="32"/>
        </w:rPr>
        <w:t>全市各职业学校招生1.1万人，圆满完成年度目标任务。</w:t>
      </w:r>
      <w:r>
        <w:rPr>
          <w:rFonts w:hint="eastAsia" w:ascii="仿宋_GB2312" w:eastAsia="仿宋_GB2312"/>
          <w:sz w:val="32"/>
          <w:szCs w:val="32"/>
          <w:shd w:val="clear" w:color="auto" w:fill="FFFFFF"/>
          <w:lang w:bidi="ar"/>
        </w:rPr>
        <w:t>5</w:t>
      </w:r>
      <w:r>
        <w:rPr>
          <w:rFonts w:hint="eastAsia" w:ascii="仿宋_GB2312" w:eastAsia="仿宋_GB2312" w:cs="仿宋_GB2312"/>
          <w:sz w:val="32"/>
          <w:szCs w:val="32"/>
          <w:shd w:val="clear" w:color="auto" w:fill="FFFFFF"/>
          <w:lang w:bidi="ar"/>
        </w:rPr>
        <w:t>所职业学校和企业共建“校中厂”，</w:t>
      </w:r>
      <w:r>
        <w:rPr>
          <w:rFonts w:hint="eastAsia" w:ascii="仿宋_GB2312" w:eastAsia="仿宋_GB2312" w:cs="仿宋_GB2312"/>
          <w:sz w:val="32"/>
          <w:szCs w:val="32"/>
        </w:rPr>
        <w:t>老年人服务与管理、幼儿保育等10个专业点与企业深度融合，</w:t>
      </w:r>
      <w:r>
        <w:rPr>
          <w:rFonts w:hint="eastAsia" w:ascii="仿宋_GB2312" w:eastAsia="仿宋_GB2312"/>
          <w:sz w:val="32"/>
          <w:szCs w:val="32"/>
          <w:shd w:val="clear" w:color="auto" w:fill="FFFFFF"/>
          <w:lang w:bidi="ar"/>
        </w:rPr>
        <w:t>6</w:t>
      </w:r>
      <w:r>
        <w:rPr>
          <w:rFonts w:hint="eastAsia" w:ascii="仿宋_GB2312" w:eastAsia="仿宋_GB2312" w:cs="仿宋_GB2312"/>
          <w:sz w:val="32"/>
          <w:szCs w:val="32"/>
          <w:shd w:val="clear" w:color="auto" w:fill="FFFFFF"/>
          <w:lang w:bidi="ar"/>
        </w:rPr>
        <w:t>所中职学校成功纳入省“双示范”建设项目，公办中等职业学校办学</w:t>
      </w:r>
      <w:r>
        <w:rPr>
          <w:rFonts w:hint="eastAsia" w:ascii="仿宋_GB2312" w:hAnsi="仿宋_GB2312" w:eastAsia="仿宋_GB2312" w:cs="仿宋_GB2312"/>
          <w:sz w:val="32"/>
          <w:szCs w:val="32"/>
          <w:lang w:bidi="ar"/>
        </w:rPr>
        <w:t>条件达到了《中等职业学校设置标准》的</w:t>
      </w:r>
      <w:r>
        <w:rPr>
          <w:rFonts w:hint="eastAsia" w:ascii="仿宋_GB2312" w:eastAsia="仿宋_GB2312"/>
          <w:sz w:val="32"/>
          <w:szCs w:val="32"/>
          <w:shd w:val="clear" w:color="auto" w:fill="FFFFFF"/>
          <w:lang w:bidi="ar"/>
        </w:rPr>
        <w:t>80%</w:t>
      </w:r>
      <w:r>
        <w:rPr>
          <w:rFonts w:hint="eastAsia" w:ascii="仿宋_GB2312" w:hAnsi="仿宋_GB2312" w:eastAsia="仿宋_GB2312" w:cs="仿宋_GB2312"/>
          <w:sz w:val="32"/>
          <w:szCs w:val="32"/>
          <w:lang w:bidi="ar"/>
        </w:rPr>
        <w:t>。</w:t>
      </w:r>
      <w:r>
        <w:rPr>
          <w:rFonts w:hint="eastAsia" w:ascii="仿宋_GB2312" w:hAnsi="仿宋_GB2312" w:eastAsia="仿宋_GB2312" w:cs="仿宋_GB2312"/>
          <w:bCs/>
          <w:sz w:val="32"/>
          <w:szCs w:val="32"/>
        </w:rPr>
        <w:t>“9+3”免费教育计划稳步实施，</w:t>
      </w:r>
      <w:r>
        <w:rPr>
          <w:rFonts w:hint="eastAsia" w:ascii="仿宋_GB2312" w:hAnsi="仿宋_GB2312" w:eastAsia="仿宋_GB2312" w:cs="仿宋_GB2312"/>
          <w:sz w:val="32"/>
          <w:szCs w:val="32"/>
        </w:rPr>
        <w:t>市教育体育局、市职校、射洪市中职校荣获四川省民族地区“9+3”免费教育计划先进集体。遂宁市教育体育局在全省“9+3”总结会上作了经验交流。</w:t>
      </w:r>
    </w:p>
    <w:p>
      <w:pPr>
        <w:spacing w:line="360" w:lineRule="auto"/>
        <w:ind w:firstLine="643" w:firstLineChars="200"/>
        <w:rPr>
          <w:rFonts w:hint="eastAsia" w:ascii="仿宋_GB2312" w:eastAsia="仿宋_GB2312" w:cs="仿宋_GB2312"/>
          <w:sz w:val="32"/>
          <w:szCs w:val="32"/>
          <w:shd w:val="clear" w:color="auto" w:fill="FFFFFF"/>
          <w:lang w:bidi="ar"/>
        </w:rPr>
      </w:pPr>
      <w:r>
        <w:rPr>
          <w:rFonts w:hint="eastAsia" w:ascii="仿宋_GB2312" w:eastAsia="仿宋_GB2312"/>
          <w:b/>
          <w:sz w:val="32"/>
          <w:szCs w:val="32"/>
          <w:shd w:val="clear" w:color="auto" w:fill="FFFFFF"/>
          <w:lang w:bidi="ar"/>
        </w:rPr>
        <w:t>五是</w:t>
      </w:r>
      <w:r>
        <w:rPr>
          <w:rFonts w:hint="eastAsia" w:ascii="仿宋_GB2312" w:hAnsi="仿宋_GB2312" w:eastAsia="仿宋_GB2312" w:cs="仿宋_GB2312"/>
          <w:b/>
          <w:sz w:val="32"/>
          <w:szCs w:val="32"/>
          <w:lang w:bidi="ar"/>
        </w:rPr>
        <w:t>民办教育学校</w:t>
      </w:r>
      <w:r>
        <w:rPr>
          <w:rFonts w:hint="eastAsia" w:ascii="仿宋_GB2312" w:eastAsia="仿宋_GB2312" w:cs="仿宋_GB2312"/>
          <w:b/>
          <w:sz w:val="32"/>
          <w:szCs w:val="32"/>
          <w:shd w:val="clear" w:color="auto" w:fill="FFFFFF"/>
          <w:lang w:bidi="ar"/>
        </w:rPr>
        <w:t>规</w:t>
      </w:r>
      <w:r>
        <w:rPr>
          <w:rFonts w:hint="eastAsia" w:ascii="仿宋_GB2312" w:hAnsi="仿宋_GB2312" w:eastAsia="仿宋_GB2312" w:cs="仿宋_GB2312"/>
          <w:b/>
          <w:sz w:val="32"/>
          <w:szCs w:val="32"/>
          <w:lang w:bidi="ar"/>
        </w:rPr>
        <w:t>范发展</w:t>
      </w:r>
      <w:r>
        <w:rPr>
          <w:rFonts w:hint="eastAsia" w:ascii="仿宋_GB2312" w:hAnsi="宋体" w:eastAsia="仿宋_GB2312" w:cs="仿宋_GB2312"/>
          <w:sz w:val="32"/>
          <w:szCs w:val="32"/>
          <w:lang w:bidi="ar"/>
        </w:rPr>
        <w:t>。</w:t>
      </w:r>
      <w:r>
        <w:rPr>
          <w:rFonts w:hint="eastAsia" w:ascii="仿宋_GB2312" w:hAnsi="仿宋_GB2312" w:eastAsia="仿宋_GB2312" w:cs="仿宋_GB2312"/>
          <w:sz w:val="32"/>
          <w:szCs w:val="32"/>
        </w:rPr>
        <w:t>有序推进民办学校分类改革，全市已完成分类选择的现有民办学校30所。出台了《遂宁市营利性民办学校监督管理实施办法》等文件，进一步规范了全市校外培训机构和营利性民办学校办学行为，</w:t>
      </w:r>
      <w:r>
        <w:rPr>
          <w:rFonts w:hint="eastAsia" w:ascii="仿宋_GB2312" w:eastAsia="仿宋_GB2312" w:cs="仿宋_GB2312"/>
          <w:sz w:val="32"/>
          <w:szCs w:val="32"/>
          <w:shd w:val="clear" w:color="auto" w:fill="FFFFFF"/>
          <w:lang w:bidi="ar"/>
        </w:rPr>
        <w:t>建立了校外培训机构黑白名单，其中白名单269所、黑名单58所。建立健全和落实对民办学校差别化扶持政策体系，设立了300万元民办教育专项发展资金。</w:t>
      </w:r>
    </w:p>
    <w:p>
      <w:pPr>
        <w:spacing w:line="360" w:lineRule="auto"/>
        <w:ind w:firstLine="643" w:firstLineChars="200"/>
        <w:rPr>
          <w:rFonts w:hint="eastAsia" w:ascii="仿宋_GB2312" w:eastAsia="仿宋_GB2312" w:cs="仿宋_GB2312"/>
          <w:sz w:val="32"/>
          <w:szCs w:val="32"/>
          <w:shd w:val="clear" w:color="auto" w:fill="FFFFFF"/>
          <w:lang w:bidi="ar"/>
        </w:rPr>
      </w:pPr>
      <w:r>
        <w:rPr>
          <w:rFonts w:hint="eastAsia" w:ascii="仿宋_GB2312" w:eastAsia="仿宋_GB2312"/>
          <w:b/>
          <w:bCs/>
          <w:sz w:val="32"/>
          <w:szCs w:val="32"/>
        </w:rPr>
        <w:t>六是大学教育和社区教育取得新进展。</w:t>
      </w:r>
      <w:r>
        <w:rPr>
          <w:rFonts w:hint="eastAsia" w:ascii="仿宋_GB2312" w:hAnsi="仿宋_GB2312" w:eastAsia="仿宋_GB2312" w:cs="仿宋_GB2312"/>
          <w:sz w:val="32"/>
          <w:szCs w:val="32"/>
        </w:rPr>
        <w:t>“四川能源职业学院”项目将于2020年底建成。“四川经济技术职业学院”项目完成选址</w:t>
      </w:r>
      <w:r>
        <w:rPr>
          <w:rFonts w:hint="eastAsia" w:ascii="仿宋_GB2312" w:hAnsi="宋体" w:eastAsia="仿宋_GB2312" w:cs="宋体"/>
          <w:kern w:val="0"/>
          <w:sz w:val="32"/>
          <w:szCs w:val="32"/>
        </w:rPr>
        <w:t>。</w:t>
      </w:r>
      <w:r>
        <w:rPr>
          <w:rFonts w:hint="eastAsia" w:ascii="仿宋_GB2312" w:hAnsi="仿宋_GB2312" w:eastAsia="仿宋_GB2312" w:cs="仿宋_GB2312"/>
          <w:sz w:val="32"/>
          <w:szCs w:val="32"/>
          <w:lang w:bidi="ar"/>
        </w:rPr>
        <w:t>新</w:t>
      </w:r>
      <w:r>
        <w:rPr>
          <w:rFonts w:hint="eastAsia" w:ascii="仿宋_GB2312" w:hAnsi="仿宋_GB2312" w:eastAsia="仿宋_GB2312" w:cs="仿宋_GB2312"/>
          <w:sz w:val="32"/>
          <w:szCs w:val="32"/>
        </w:rPr>
        <w:t>成立社区教育学院3所，实现了5个县市区全覆盖，开展各级各类社区教育培训3万余人次。</w:t>
      </w:r>
    </w:p>
    <w:p>
      <w:pPr>
        <w:spacing w:line="360" w:lineRule="auto"/>
        <w:ind w:firstLine="643" w:firstLineChars="200"/>
        <w:rPr>
          <w:rFonts w:hint="eastAsia" w:ascii="仿宋_GB2312" w:hAnsi="楷体" w:eastAsia="仿宋_GB2312" w:cs="楷体"/>
          <w:sz w:val="32"/>
          <w:szCs w:val="32"/>
        </w:rPr>
      </w:pPr>
      <w:r>
        <w:rPr>
          <w:rFonts w:hint="eastAsia" w:ascii="仿宋_GB2312" w:hAnsi="楷体" w:eastAsia="仿宋_GB2312" w:cs="楷体"/>
          <w:b/>
          <w:sz w:val="32"/>
          <w:szCs w:val="32"/>
        </w:rPr>
        <w:t>七是教育信息化服务水平明显增强。</w:t>
      </w:r>
      <w:r>
        <w:rPr>
          <w:rFonts w:hint="eastAsia" w:ascii="仿宋_GB2312" w:hAnsi="楷体" w:eastAsia="仿宋_GB2312" w:cs="楷体"/>
          <w:sz w:val="32"/>
          <w:szCs w:val="32"/>
        </w:rPr>
        <w:t>学校联网攻坚取得突破，全市中小学校互联网接入率达100%，接入平均带宽250M；</w:t>
      </w:r>
      <w:r>
        <w:rPr>
          <w:rFonts w:hint="eastAsia" w:ascii="仿宋_GB2312" w:hAnsi="楷体" w:eastAsia="仿宋_GB2312" w:cs="楷体"/>
          <w:bCs/>
          <w:sz w:val="32"/>
          <w:szCs w:val="32"/>
        </w:rPr>
        <w:t>教育装备水平进一步提升，新增计算机5300台，</w:t>
      </w:r>
      <w:r>
        <w:rPr>
          <w:rFonts w:hint="eastAsia" w:ascii="仿宋_GB2312" w:hAnsi="楷体" w:eastAsia="仿宋_GB2312" w:cs="楷体"/>
          <w:sz w:val="32"/>
          <w:szCs w:val="32"/>
        </w:rPr>
        <w:t>完成遂宁教育服务云平台与国家教育资源公共服务平台、遂宁市教师继续教育平台对接；信息技术与学科融合成效显著，4个教育信息技术科研课题省级课题顺利推进，</w:t>
      </w:r>
      <w:r>
        <w:rPr>
          <w:rFonts w:hint="eastAsia" w:ascii="仿宋_GB2312" w:hAnsi="楷体" w:eastAsia="仿宋_GB2312" w:cs="楷体"/>
          <w:bCs/>
          <w:sz w:val="32"/>
          <w:szCs w:val="32"/>
        </w:rPr>
        <w:t>市第一批教育信息化基地项目试点工作取得阶段性成果。</w:t>
      </w:r>
      <w:r>
        <w:rPr>
          <w:rFonts w:hint="eastAsia" w:ascii="仿宋_GB2312" w:hAnsi="楷体" w:eastAsia="仿宋_GB2312" w:cs="楷体"/>
          <w:sz w:val="32"/>
          <w:szCs w:val="32"/>
        </w:rPr>
        <w:t>8993名教师、8759件作品参加了全国“一师一优课”和全省“课堂大比武”活动，参晒率、参晒作品数量名列全省第2名，自主开发的134个小学科学实验教学资源包成功上线。参加中小学实验教学、教育信息化、教育创客等省级竞赛活动，共获得全省一等奖12个。市教育和体育局获四川省中小学实验教学说课评选活动结果优秀组织奖。</w:t>
      </w:r>
    </w:p>
    <w:p>
      <w:pPr>
        <w:spacing w:line="360" w:lineRule="auto"/>
        <w:ind w:firstLine="630" w:firstLineChars="196"/>
        <w:rPr>
          <w:rFonts w:ascii="仿宋_GB2312" w:eastAsia="仿宋_GB2312"/>
          <w:sz w:val="32"/>
          <w:szCs w:val="32"/>
        </w:rPr>
      </w:pPr>
      <w:r>
        <w:rPr>
          <w:rFonts w:hint="eastAsia" w:ascii="仿宋_GB2312" w:eastAsia="仿宋_GB2312"/>
          <w:b/>
          <w:sz w:val="32"/>
          <w:szCs w:val="32"/>
          <w:lang w:eastAsia="zh-CN"/>
        </w:rPr>
        <w:t>八是</w:t>
      </w:r>
      <w:r>
        <w:rPr>
          <w:rFonts w:hint="eastAsia" w:ascii="仿宋_GB2312" w:eastAsia="仿宋_GB2312"/>
          <w:b/>
          <w:sz w:val="32"/>
          <w:szCs w:val="32"/>
        </w:rPr>
        <w:t>教师队伍建设成效明显。</w:t>
      </w:r>
      <w:r>
        <w:rPr>
          <w:rFonts w:hint="eastAsia" w:ascii="仿宋_GB2312" w:eastAsia="仿宋_GB2312"/>
          <w:sz w:val="32"/>
          <w:szCs w:val="32"/>
        </w:rPr>
        <w:t>市委、市政府出台《遂宁市关于全面深化新时代教师队伍建设改革的实施意见》，教师队伍建设政策保障更加有力。健全落实师德师风长效机制，明确师德红线，强化师德考核，组织开展“不忘初心，立德树人”师德演讲比赛，全面提升师德素养。全方位关心关爱教师，落实教师工资福利待遇，组织开展庆祝第35个教师节系列活动，全市各级表扬优秀教师500余名，慰问教师1000余名。</w:t>
      </w:r>
      <w:r>
        <w:rPr>
          <w:rFonts w:hint="eastAsia" w:ascii="仿宋_GB2312" w:eastAsia="仿宋_GB2312" w:cs="宋体"/>
          <w:kern w:val="0"/>
          <w:sz w:val="32"/>
          <w:szCs w:val="32"/>
        </w:rPr>
        <w:t>实施</w:t>
      </w:r>
      <w:r>
        <w:rPr>
          <w:rFonts w:hint="eastAsia" w:ascii="仿宋_GB2312" w:eastAsia="仿宋_GB2312"/>
          <w:sz w:val="32"/>
          <w:szCs w:val="32"/>
        </w:rPr>
        <w:t>“三名”工程，2人被教育部、人社部表彰为“</w:t>
      </w:r>
      <w:r>
        <w:rPr>
          <w:rFonts w:hint="eastAsia" w:ascii="仿宋_GB2312" w:hAnsi="黑体" w:eastAsia="仿宋_GB2312"/>
          <w:sz w:val="32"/>
          <w:szCs w:val="32"/>
        </w:rPr>
        <w:t>全国模范教师</w:t>
      </w:r>
      <w:r>
        <w:rPr>
          <w:rFonts w:hint="eastAsia" w:ascii="仿宋_GB2312" w:eastAsia="仿宋_GB2312"/>
          <w:sz w:val="32"/>
          <w:szCs w:val="32"/>
        </w:rPr>
        <w:t>”</w:t>
      </w:r>
      <w:r>
        <w:rPr>
          <w:rFonts w:hint="eastAsia" w:ascii="仿宋_GB2312" w:hAnsi="黑体" w:eastAsia="仿宋_GB2312"/>
          <w:sz w:val="32"/>
          <w:szCs w:val="32"/>
        </w:rPr>
        <w:t>、3</w:t>
      </w:r>
      <w:r>
        <w:rPr>
          <w:rFonts w:hint="eastAsia" w:ascii="仿宋_GB2312" w:eastAsia="仿宋_GB2312"/>
          <w:sz w:val="32"/>
          <w:szCs w:val="32"/>
        </w:rPr>
        <w:t>人被教育部表彰为</w:t>
      </w:r>
      <w:r>
        <w:rPr>
          <w:rFonts w:hint="eastAsia" w:ascii="仿宋_GB2312" w:hAnsi="黑体" w:eastAsia="仿宋_GB2312"/>
          <w:sz w:val="32"/>
          <w:szCs w:val="32"/>
        </w:rPr>
        <w:t>“全国优秀教师”，</w:t>
      </w:r>
      <w:r>
        <w:rPr>
          <w:rFonts w:hint="eastAsia" w:ascii="仿宋_GB2312" w:eastAsia="仿宋_GB2312"/>
          <w:sz w:val="32"/>
          <w:szCs w:val="32"/>
        </w:rPr>
        <w:t>15人被省教育厅评为省级教书育人名师名校长。大力引进高层次教育人才，“遂州英才”招聘硕士研究生、部属公费师范生</w:t>
      </w:r>
      <w:r>
        <w:rPr>
          <w:rFonts w:ascii="仿宋_GB2312" w:eastAsia="仿宋_GB2312"/>
          <w:sz w:val="32"/>
          <w:szCs w:val="32"/>
        </w:rPr>
        <w:t>54</w:t>
      </w:r>
      <w:r>
        <w:rPr>
          <w:rFonts w:hint="eastAsia" w:ascii="仿宋_GB2312" w:eastAsia="仿宋_GB2312"/>
          <w:sz w:val="32"/>
          <w:szCs w:val="32"/>
        </w:rPr>
        <w:t>名。</w:t>
      </w:r>
      <w:r>
        <w:rPr>
          <w:rFonts w:hint="eastAsia" w:ascii="仿宋_GB2312" w:hAnsi="华文仿宋" w:eastAsia="仿宋_GB2312" w:cs="仿宋_GB2312"/>
          <w:sz w:val="32"/>
          <w:szCs w:val="32"/>
        </w:rPr>
        <w:t>着力提升教师队伍整体素质，建成</w:t>
      </w:r>
      <w:r>
        <w:rPr>
          <w:rFonts w:hint="eastAsia" w:ascii="仿宋_GB2312" w:eastAsia="仿宋_GB2312" w:cs="宋体"/>
          <w:sz w:val="32"/>
          <w:szCs w:val="32"/>
        </w:rPr>
        <w:t>教师继续教育学习管理平台，优化学习方式和载体，规范学时登记管理；强化骨干培训，</w:t>
      </w:r>
      <w:r>
        <w:rPr>
          <w:rFonts w:hint="eastAsia" w:ascii="仿宋_GB2312" w:eastAsia="仿宋_GB2312"/>
          <w:sz w:val="32"/>
          <w:szCs w:val="32"/>
        </w:rPr>
        <w:t>与</w:t>
      </w:r>
      <w:r>
        <w:rPr>
          <w:rFonts w:hint="eastAsia" w:ascii="仿宋_GB2312" w:hAnsi="仿宋_GB2312" w:eastAsia="仿宋_GB2312" w:cs="仿宋_GB2312"/>
          <w:sz w:val="32"/>
          <w:szCs w:val="32"/>
        </w:rPr>
        <w:t>西南大学合作培训专家型校园长</w:t>
      </w:r>
      <w:r>
        <w:rPr>
          <w:rFonts w:ascii="仿宋_GB2312" w:hAnsi="仿宋_GB2312" w:eastAsia="仿宋_GB2312" w:cs="仿宋_GB2312"/>
          <w:sz w:val="32"/>
          <w:szCs w:val="32"/>
        </w:rPr>
        <w:t>100</w:t>
      </w:r>
      <w:r>
        <w:rPr>
          <w:rFonts w:hint="eastAsia" w:ascii="仿宋_GB2312" w:hAnsi="仿宋_GB2312" w:eastAsia="仿宋_GB2312" w:cs="仿宋_GB2312"/>
          <w:sz w:val="32"/>
          <w:szCs w:val="32"/>
        </w:rPr>
        <w:t>人，组织参加国培</w:t>
      </w:r>
      <w:r>
        <w:rPr>
          <w:rFonts w:ascii="仿宋_GB2312" w:hAnsi="仿宋_GB2312" w:eastAsia="仿宋_GB2312" w:cs="仿宋_GB2312"/>
          <w:sz w:val="32"/>
          <w:szCs w:val="32"/>
        </w:rPr>
        <w:t>300</w:t>
      </w:r>
      <w:r>
        <w:rPr>
          <w:rFonts w:hint="eastAsia" w:ascii="仿宋_GB2312" w:hAnsi="仿宋_GB2312" w:eastAsia="仿宋_GB2312" w:cs="仿宋_GB2312"/>
          <w:sz w:val="32"/>
          <w:szCs w:val="32"/>
        </w:rPr>
        <w:t>余人；注重全员培训，</w:t>
      </w:r>
      <w:r>
        <w:rPr>
          <w:rFonts w:hint="eastAsia" w:ascii="仿宋_GB2312" w:eastAsia="仿宋_GB2312"/>
          <w:sz w:val="32"/>
          <w:szCs w:val="32"/>
        </w:rPr>
        <w:t>全市各级</w:t>
      </w:r>
      <w:r>
        <w:rPr>
          <w:rFonts w:hint="eastAsia" w:ascii="仿宋_GB2312" w:hAnsi="仿宋_GB2312" w:eastAsia="仿宋_GB2312" w:cs="仿宋_GB2312"/>
          <w:sz w:val="32"/>
          <w:szCs w:val="32"/>
        </w:rPr>
        <w:t>培训教师</w:t>
      </w:r>
      <w:r>
        <w:rPr>
          <w:rFonts w:ascii="仿宋_GB2312" w:hAnsi="仿宋_GB2312" w:eastAsia="仿宋_GB2312" w:cs="仿宋_GB2312"/>
          <w:sz w:val="32"/>
          <w:szCs w:val="32"/>
        </w:rPr>
        <w:t>1</w:t>
      </w:r>
      <w:r>
        <w:rPr>
          <w:rFonts w:hint="eastAsia" w:ascii="仿宋_GB2312" w:hAnsi="仿宋_GB2312" w:eastAsia="仿宋_GB2312" w:cs="仿宋_GB2312"/>
          <w:sz w:val="32"/>
          <w:szCs w:val="32"/>
        </w:rPr>
        <w:t>万余人次。</w:t>
      </w:r>
      <w:r>
        <w:rPr>
          <w:rFonts w:hint="eastAsia" w:ascii="仿宋_GB2312" w:eastAsia="仿宋_GB2312"/>
          <w:sz w:val="32"/>
          <w:szCs w:val="32"/>
        </w:rPr>
        <w:t>全面落实乡村教师支持计划，新招聘乡村教师、接收安置公费师范生和</w:t>
      </w:r>
      <w:r>
        <w:rPr>
          <w:rFonts w:hint="eastAsia" w:ascii="仿宋_GB2312" w:hAnsi="等线" w:eastAsia="仿宋_GB2312"/>
          <w:sz w:val="32"/>
          <w:szCs w:val="32"/>
        </w:rPr>
        <w:t>招募退休教师</w:t>
      </w:r>
      <w:r>
        <w:rPr>
          <w:rFonts w:hint="eastAsia" w:ascii="仿宋_GB2312" w:eastAsia="仿宋_GB2312"/>
          <w:sz w:val="32"/>
          <w:szCs w:val="32"/>
        </w:rPr>
        <w:t>400余人</w:t>
      </w:r>
      <w:r>
        <w:rPr>
          <w:rFonts w:hint="eastAsia" w:ascii="仿宋_GB2312" w:hAnsi="等线" w:eastAsia="仿宋_GB2312"/>
          <w:sz w:val="32"/>
          <w:szCs w:val="32"/>
        </w:rPr>
        <w:t>，</w:t>
      </w:r>
      <w:r>
        <w:rPr>
          <w:rFonts w:hint="eastAsia" w:ascii="仿宋_GB2312" w:eastAsia="仿宋_GB2312"/>
          <w:sz w:val="32"/>
          <w:szCs w:val="32"/>
        </w:rPr>
        <w:t>交流轮岗校长教师</w:t>
      </w:r>
      <w:r>
        <w:rPr>
          <w:rFonts w:ascii="仿宋_GB2312" w:eastAsia="仿宋_GB2312"/>
          <w:sz w:val="32"/>
          <w:szCs w:val="32"/>
        </w:rPr>
        <w:t>800</w:t>
      </w:r>
      <w:r>
        <w:rPr>
          <w:rFonts w:hint="eastAsia" w:ascii="仿宋_GB2312" w:eastAsia="仿宋_GB2312"/>
          <w:sz w:val="32"/>
          <w:szCs w:val="32"/>
        </w:rPr>
        <w:t>余人次，农村教师评聘高级职称700余人。助力藏区扶贫攻坚，</w:t>
      </w:r>
      <w:r>
        <w:rPr>
          <w:rFonts w:ascii="仿宋_GB2312" w:eastAsia="仿宋_GB2312"/>
          <w:sz w:val="32"/>
          <w:szCs w:val="32"/>
        </w:rPr>
        <w:t>58</w:t>
      </w:r>
      <w:r>
        <w:rPr>
          <w:rFonts w:hint="eastAsia" w:ascii="仿宋_GB2312" w:eastAsia="仿宋_GB2312"/>
          <w:sz w:val="32"/>
          <w:szCs w:val="32"/>
        </w:rPr>
        <w:t>名教师到藏区彝区支教扶贫，</w:t>
      </w:r>
      <w:r>
        <w:rPr>
          <w:rFonts w:ascii="仿宋_GB2312" w:hAnsi="仿宋" w:eastAsia="仿宋_GB2312" w:cs="仿宋"/>
          <w:bCs/>
          <w:sz w:val="32"/>
          <w:szCs w:val="32"/>
        </w:rPr>
        <w:t>16</w:t>
      </w:r>
      <w:r>
        <w:rPr>
          <w:rFonts w:hint="eastAsia" w:ascii="仿宋_GB2312" w:hAnsi="仿宋" w:eastAsia="仿宋_GB2312" w:cs="仿宋"/>
          <w:bCs/>
          <w:sz w:val="32"/>
          <w:szCs w:val="32"/>
        </w:rPr>
        <w:t>所学校与藏区学校结对帮扶。积极</w:t>
      </w:r>
      <w:r>
        <w:rPr>
          <w:rFonts w:hint="eastAsia" w:ascii="仿宋_GB2312" w:hAnsi="楷体_GB2312" w:eastAsia="仿宋_GB2312" w:cs="楷体_GB2312"/>
          <w:sz w:val="32"/>
          <w:szCs w:val="32"/>
        </w:rPr>
        <w:t>参加“三个十万”职工劳动竞赛活动，市教育体育局获组织工作先进集体，</w:t>
      </w:r>
      <w:r>
        <w:rPr>
          <w:rFonts w:ascii="仿宋_GB2312" w:hAnsi="仿宋_GB2312" w:eastAsia="仿宋_GB2312" w:cs="仿宋_GB2312"/>
          <w:sz w:val="32"/>
          <w:szCs w:val="32"/>
        </w:rPr>
        <w:t>17</w:t>
      </w:r>
      <w:r>
        <w:rPr>
          <w:rFonts w:hint="eastAsia" w:ascii="仿宋_GB2312" w:hAnsi="仿宋_GB2312" w:eastAsia="仿宋_GB2312" w:cs="仿宋_GB2312"/>
          <w:sz w:val="32"/>
          <w:szCs w:val="32"/>
        </w:rPr>
        <w:t>人获优秀晋级职工和技术标兵荣誉，</w:t>
      </w:r>
      <w:r>
        <w:rPr>
          <w:rFonts w:ascii="仿宋_GB2312" w:hAnsi="仿宋_GB2312" w:eastAsia="仿宋_GB2312" w:cs="仿宋_GB2312"/>
          <w:sz w:val="32"/>
          <w:szCs w:val="32"/>
        </w:rPr>
        <w:t>1</w:t>
      </w:r>
      <w:r>
        <w:rPr>
          <w:rFonts w:hint="eastAsia" w:ascii="仿宋_GB2312" w:hAnsi="仿宋_GB2312" w:eastAsia="仿宋_GB2312" w:cs="仿宋_GB2312"/>
          <w:sz w:val="32"/>
          <w:szCs w:val="32"/>
        </w:rPr>
        <w:t>人获中华全国总工会通报表扬。</w:t>
      </w:r>
    </w:p>
    <w:p>
      <w:pPr>
        <w:spacing w:line="360" w:lineRule="auto"/>
        <w:ind w:firstLine="643" w:firstLineChars="200"/>
        <w:rPr>
          <w:rFonts w:hint="eastAsia" w:ascii="楷体_GB2312" w:hAnsi="新宋体" w:eastAsia="楷体_GB2312"/>
          <w:b/>
          <w:sz w:val="32"/>
          <w:szCs w:val="32"/>
        </w:rPr>
      </w:pPr>
      <w:r>
        <w:rPr>
          <w:rFonts w:hint="eastAsia" w:ascii="楷体_GB2312" w:hAnsi="新宋体" w:eastAsia="楷体_GB2312"/>
          <w:b/>
          <w:sz w:val="32"/>
          <w:szCs w:val="32"/>
        </w:rPr>
        <w:t>（</w:t>
      </w:r>
      <w:r>
        <w:rPr>
          <w:rFonts w:hint="eastAsia" w:ascii="楷体_GB2312" w:hAnsi="新宋体" w:eastAsia="楷体_GB2312"/>
          <w:b/>
          <w:sz w:val="32"/>
          <w:szCs w:val="32"/>
          <w:lang w:eastAsia="zh-CN"/>
        </w:rPr>
        <w:t>三</w:t>
      </w:r>
      <w:r>
        <w:rPr>
          <w:rFonts w:hint="eastAsia" w:ascii="楷体_GB2312" w:hAnsi="新宋体" w:eastAsia="楷体_GB2312"/>
          <w:b/>
          <w:sz w:val="32"/>
          <w:szCs w:val="32"/>
        </w:rPr>
        <w:t>）教育质量加快提升。</w:t>
      </w:r>
    </w:p>
    <w:p>
      <w:pPr>
        <w:spacing w:line="360" w:lineRule="auto"/>
        <w:ind w:firstLine="800" w:firstLineChars="250"/>
        <w:rPr>
          <w:rFonts w:hint="eastAsia" w:ascii="仿宋_GB2312" w:hAnsi="仿宋_GB2312" w:eastAsia="仿宋_GB2312" w:cs="仿宋_GB2312"/>
          <w:sz w:val="32"/>
          <w:szCs w:val="32"/>
        </w:rPr>
      </w:pPr>
      <w:r>
        <w:rPr>
          <w:rFonts w:hint="eastAsia" w:ascii="仿宋_GB2312" w:eastAsia="仿宋_GB2312" w:cs="仿宋_GB2312"/>
          <w:sz w:val="32"/>
          <w:szCs w:val="32"/>
          <w:lang w:bidi="ar"/>
        </w:rPr>
        <w:t>抓实</w:t>
      </w:r>
      <w:r>
        <w:rPr>
          <w:rFonts w:hint="eastAsia" w:ascii="仿宋_GB2312" w:hAnsi="仿宋" w:eastAsia="仿宋_GB2312" w:cs="仿宋"/>
          <w:bCs/>
          <w:sz w:val="32"/>
          <w:szCs w:val="32"/>
          <w:lang w:val="zh-TW" w:bidi="ar"/>
        </w:rPr>
        <w:t>立德树人根本任务。</w:t>
      </w:r>
      <w:r>
        <w:rPr>
          <w:rFonts w:hint="eastAsia" w:ascii="仿宋_GB2312" w:hAnsi="宋体" w:eastAsia="仿宋_GB2312" w:cs="宋体"/>
          <w:kern w:val="0"/>
          <w:sz w:val="32"/>
          <w:szCs w:val="32"/>
          <w:lang w:bidi="ar"/>
        </w:rPr>
        <w:t>以推进</w:t>
      </w:r>
      <w:r>
        <w:rPr>
          <w:rFonts w:hint="eastAsia" w:ascii="仿宋_GB2312" w:eastAsia="仿宋_GB2312" w:cs="仿宋_GB2312"/>
          <w:sz w:val="32"/>
          <w:lang w:bidi="ar"/>
        </w:rPr>
        <w:t>学校德育</w:t>
      </w:r>
      <w:r>
        <w:rPr>
          <w:rFonts w:hint="eastAsia" w:ascii="仿宋_GB2312" w:hAnsi="仿宋_GB2312" w:eastAsia="仿宋_GB2312" w:cs="仿宋_GB2312"/>
          <w:color w:val="000000"/>
          <w:sz w:val="32"/>
          <w:szCs w:val="32"/>
        </w:rPr>
        <w:t>“十个一”</w:t>
      </w:r>
      <w:r>
        <w:rPr>
          <w:rFonts w:hint="eastAsia" w:ascii="仿宋_GB2312" w:eastAsia="仿宋_GB2312"/>
          <w:color w:val="000000"/>
          <w:sz w:val="32"/>
          <w:szCs w:val="32"/>
        </w:rPr>
        <w:t>“学习新思想，做好接班人”</w:t>
      </w:r>
      <w:r>
        <w:rPr>
          <w:rFonts w:hint="eastAsia" w:ascii="仿宋_GB2312" w:eastAsia="仿宋_GB2312"/>
          <w:sz w:val="32"/>
          <w:szCs w:val="32"/>
        </w:rPr>
        <w:t>“五个一素质能力”</w:t>
      </w:r>
      <w:r>
        <w:rPr>
          <w:rFonts w:hint="eastAsia" w:ascii="仿宋_GB2312" w:eastAsia="仿宋_GB2312"/>
          <w:color w:val="000000"/>
          <w:sz w:val="32"/>
          <w:szCs w:val="32"/>
        </w:rPr>
        <w:t>等</w:t>
      </w:r>
      <w:r>
        <w:rPr>
          <w:rFonts w:hint="eastAsia" w:ascii="仿宋_GB2312" w:hAnsi="仿宋_GB2312" w:eastAsia="仿宋_GB2312" w:cs="仿宋_GB2312"/>
          <w:sz w:val="32"/>
          <w:szCs w:val="32"/>
        </w:rPr>
        <w:t>系列德育</w:t>
      </w:r>
      <w:bookmarkStart w:id="69" w:name="_GoBack"/>
      <w:bookmarkEnd w:id="69"/>
      <w:r>
        <w:rPr>
          <w:rFonts w:hint="eastAsia" w:ascii="仿宋_GB2312" w:hAnsi="仿宋_GB2312" w:eastAsia="仿宋_GB2312" w:cs="仿宋_GB2312"/>
          <w:sz w:val="32"/>
          <w:szCs w:val="32"/>
          <w:lang w:eastAsia="zh-CN"/>
        </w:rPr>
        <w:t>主题教育</w:t>
      </w:r>
      <w:r>
        <w:rPr>
          <w:rFonts w:hint="eastAsia" w:ascii="仿宋_GB2312" w:hAnsi="仿宋_GB2312" w:eastAsia="仿宋_GB2312" w:cs="仿宋_GB2312"/>
          <w:sz w:val="32"/>
          <w:szCs w:val="32"/>
        </w:rPr>
        <w:t>、</w:t>
      </w:r>
      <w:r>
        <w:rPr>
          <w:rFonts w:hint="eastAsia" w:ascii="仿宋_GB2312" w:eastAsia="仿宋_GB2312" w:cs="仿宋_GB2312"/>
          <w:sz w:val="32"/>
          <w:lang w:bidi="ar"/>
        </w:rPr>
        <w:t>学校青少年宫建设、道德讲堂建设、传统文化进校园、</w:t>
      </w:r>
      <w:r>
        <w:rPr>
          <w:rFonts w:hint="eastAsia" w:ascii="仿宋_GB2312" w:hAnsi="仿宋" w:eastAsia="仿宋_GB2312" w:cs="仿宋"/>
          <w:sz w:val="32"/>
          <w:szCs w:val="32"/>
        </w:rPr>
        <w:t>研学旅行实践基地建设</w:t>
      </w:r>
      <w:r>
        <w:rPr>
          <w:rFonts w:hint="eastAsia" w:ascii="仿宋_GB2312" w:eastAsia="仿宋_GB2312" w:cs="仿宋_GB2312"/>
          <w:sz w:val="32"/>
          <w:lang w:bidi="ar"/>
        </w:rPr>
        <w:t>等专项工作，提升学校德育工作质效，切实解决学生成长中的身体素质、心理健康、动手能力等方面突出问题，全面提升学生健康成才水平。</w:t>
      </w:r>
      <w:r>
        <w:rPr>
          <w:rFonts w:hint="eastAsia" w:ascii="仿宋_GB2312" w:eastAsia="仿宋_GB2312"/>
          <w:kern w:val="32"/>
          <w:sz w:val="32"/>
          <w:szCs w:val="32"/>
        </w:rPr>
        <w:t>学生成才质量显提升著。</w:t>
      </w:r>
      <w:r>
        <w:rPr>
          <w:rFonts w:hint="eastAsia" w:ascii="仿宋_GB2312" w:hAnsi="仿宋" w:eastAsia="仿宋_GB2312"/>
          <w:sz w:val="32"/>
          <w:szCs w:val="32"/>
        </w:rPr>
        <w:t>21037名学子被普通高校录取，录取总人数比2018年增加2014人；</w:t>
      </w:r>
      <w:r>
        <w:rPr>
          <w:rFonts w:hint="eastAsia" w:ascii="仿宋_GB2312" w:eastAsia="仿宋_GB2312" w:cs="仿宋_GB2312"/>
          <w:sz w:val="32"/>
          <w:szCs w:val="32"/>
        </w:rPr>
        <w:t>9582名学子被本科层次高校录取，</w:t>
      </w:r>
      <w:r>
        <w:rPr>
          <w:rFonts w:hint="eastAsia" w:ascii="仿宋_GB2312" w:hAnsi="仿宋" w:eastAsia="仿宋_GB2312"/>
          <w:sz w:val="32"/>
          <w:szCs w:val="32"/>
        </w:rPr>
        <w:t>比2018年增加879人；</w:t>
      </w:r>
      <w:r>
        <w:rPr>
          <w:rFonts w:hint="eastAsia" w:ascii="仿宋_GB2312" w:hAnsi="仿宋_GB2312" w:eastAsia="仿宋_GB2312"/>
          <w:sz w:val="32"/>
          <w:szCs w:val="32"/>
        </w:rPr>
        <w:t>372名学子被全国“双一流”高校录取，13名学子被清华、北大录取,27名学子被录取为空军（民航）飞行员</w:t>
      </w:r>
      <w:r>
        <w:rPr>
          <w:rFonts w:hint="eastAsia" w:ascii="仿宋_GB2312" w:hAnsi="仿宋" w:eastAsia="仿宋_GB2312"/>
          <w:sz w:val="32"/>
          <w:szCs w:val="32"/>
        </w:rPr>
        <w:t>。</w:t>
      </w:r>
      <w:r>
        <w:rPr>
          <w:rFonts w:hint="eastAsia" w:ascii="仿宋_GB2312" w:eastAsia="仿宋_GB2312"/>
          <w:sz w:val="32"/>
          <w:szCs w:val="32"/>
        </w:rPr>
        <w:t>成人高校招生报名2801人，比2018年增加784人，增长38.86%，录取新生2315人，录取率为82.65%。自考事业稳步发展，教师资格证书考试、</w:t>
      </w:r>
      <w:r>
        <w:rPr>
          <w:rFonts w:hint="eastAsia" w:ascii="仿宋_GB2312" w:hAnsi="宋体" w:eastAsia="仿宋_GB2312" w:cs="宋体"/>
          <w:kern w:val="0"/>
          <w:sz w:val="32"/>
          <w:szCs w:val="32"/>
        </w:rPr>
        <w:t>学历考试等</w:t>
      </w:r>
      <w:r>
        <w:rPr>
          <w:rFonts w:hint="eastAsia" w:ascii="仿宋_GB2312" w:eastAsia="仿宋_GB2312"/>
          <w:sz w:val="32"/>
          <w:szCs w:val="32"/>
        </w:rPr>
        <w:t>参考考生近4万人</w:t>
      </w:r>
      <w:r>
        <w:rPr>
          <w:rFonts w:hint="eastAsia" w:ascii="仿宋_GB2312" w:hAnsi="仿宋_GB2312" w:eastAsia="仿宋_GB2312"/>
          <w:sz w:val="32"/>
          <w:szCs w:val="32"/>
        </w:rPr>
        <w:t>；</w:t>
      </w:r>
      <w:r>
        <w:rPr>
          <w:rFonts w:hint="eastAsia" w:ascii="仿宋_GB2312" w:hAnsi="仿宋_GB2312" w:eastAsia="仿宋_GB2312" w:cs="仿宋_GB2312"/>
          <w:sz w:val="32"/>
          <w:szCs w:val="32"/>
        </w:rPr>
        <w:t>全省中职学生技能大赛</w:t>
      </w:r>
      <w:r>
        <w:rPr>
          <w:rFonts w:hint="eastAsia" w:ascii="仿宋_GB2312" w:eastAsia="仿宋_GB2312" w:cs="仿宋_GB2312"/>
          <w:sz w:val="32"/>
          <w:szCs w:val="32"/>
        </w:rPr>
        <w:t>总成绩</w:t>
      </w:r>
      <w:r>
        <w:rPr>
          <w:rFonts w:hint="eastAsia" w:ascii="仿宋_GB2312" w:hAnsi="仿宋_GB2312" w:eastAsia="仿宋_GB2312" w:cs="仿宋_GB2312"/>
          <w:sz w:val="32"/>
          <w:szCs w:val="32"/>
        </w:rPr>
        <w:t>进入全省前8名,</w:t>
      </w:r>
      <w:r>
        <w:rPr>
          <w:rFonts w:hint="eastAsia" w:ascii="仿宋_GB2312" w:eastAsia="仿宋_GB2312" w:cs="仿宋_GB2312"/>
          <w:sz w:val="32"/>
          <w:szCs w:val="32"/>
        </w:rPr>
        <w:t>2个参赛项目入围国赛，市教育和体育局获得优秀组织奖</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学校美育工作再上新台阶。全面实施中小学生艺术素质测评，覆盖率达50%以上；深入开展戏曲、书法、武术等传统文化进校园活动，学生艺术素养稳步提升，承办四川省第五届中小学生川剧传习普及展演，3个节目获得省一等奖，遂宁市教育体育课获评优秀组织奖；选派</w:t>
      </w:r>
      <w:r>
        <w:rPr>
          <w:rFonts w:hint="eastAsia" w:ascii="仿宋_GB2312" w:hAnsi="仿宋_GB2312" w:eastAsia="仿宋_GB2312" w:cs="仿宋_GB2312"/>
          <w:sz w:val="32"/>
          <w:szCs w:val="32"/>
        </w:rPr>
        <w:t>大英</w:t>
      </w:r>
      <w:r>
        <w:rPr>
          <w:rFonts w:hint="eastAsia" w:ascii="仿宋_GB2312" w:hAnsi="宋体" w:cs="宋体"/>
          <w:kern w:val="0"/>
          <w:sz w:val="32"/>
          <w:szCs w:val="32"/>
        </w:rPr>
        <w:t>郪</w:t>
      </w:r>
      <w:r>
        <w:rPr>
          <w:rFonts w:hint="eastAsia" w:ascii="仿宋_GB2312" w:hAnsi="宋体" w:eastAsia="仿宋_GB2312" w:cs="宋体"/>
          <w:kern w:val="0"/>
          <w:sz w:val="32"/>
          <w:szCs w:val="32"/>
        </w:rPr>
        <w:t>江</w:t>
      </w:r>
      <w:r>
        <w:rPr>
          <w:rFonts w:hint="eastAsia" w:ascii="仿宋_GB2312" w:hAnsi="仿宋_GB2312" w:eastAsia="仿宋_GB2312" w:cs="仿宋_GB2312"/>
          <w:sz w:val="32"/>
          <w:szCs w:val="32"/>
        </w:rPr>
        <w:t>外国语学校《废旧报纸艺术工作坊》</w:t>
      </w:r>
      <w:r>
        <w:rPr>
          <w:rFonts w:ascii="仿宋_GB2312" w:hAnsi="仿宋_GB2312" w:eastAsia="仿宋_GB2312" w:cs="仿宋_GB2312"/>
          <w:sz w:val="32"/>
          <w:szCs w:val="32"/>
        </w:rPr>
        <w:t>参加全国中小学生艺术展演活动获得全国一等奖，受到</w:t>
      </w:r>
      <w:r>
        <w:rPr>
          <w:rFonts w:hint="eastAsia" w:ascii="仿宋_GB2312" w:hAnsi="仿宋_GB2312" w:eastAsia="仿宋_GB2312" w:cs="仿宋_GB2312"/>
          <w:sz w:val="32"/>
          <w:szCs w:val="32"/>
        </w:rPr>
        <w:t>教育部</w:t>
      </w:r>
      <w:r>
        <w:rPr>
          <w:rFonts w:ascii="仿宋_GB2312" w:hAnsi="仿宋_GB2312" w:eastAsia="仿宋_GB2312" w:cs="仿宋_GB2312"/>
          <w:sz w:val="32"/>
          <w:szCs w:val="32"/>
        </w:rPr>
        <w:t>陈宝生部</w:t>
      </w:r>
      <w:r>
        <w:rPr>
          <w:rFonts w:hint="eastAsia" w:ascii="仿宋_GB2312" w:hAnsi="仿宋_GB2312" w:eastAsia="仿宋_GB2312" w:cs="仿宋_GB2312"/>
          <w:sz w:val="32"/>
          <w:szCs w:val="32"/>
        </w:rPr>
        <w:t>长点赞；教育科研取得新成绩。</w:t>
      </w:r>
      <w:r>
        <w:rPr>
          <w:rFonts w:hint="eastAsia" w:ascii="仿宋_GB2312" w:hAnsi="仿宋" w:eastAsia="仿宋_GB2312"/>
          <w:sz w:val="32"/>
          <w:szCs w:val="32"/>
        </w:rPr>
        <w:t>学科奥赛成绩优异，</w:t>
      </w:r>
      <w:r>
        <w:rPr>
          <w:rFonts w:hint="eastAsia" w:ascii="仿宋_GB2312" w:hAnsi="仿宋_GB2312" w:eastAsia="仿宋_GB2312" w:cs="仿宋_GB2312"/>
          <w:sz w:val="32"/>
          <w:szCs w:val="32"/>
        </w:rPr>
        <w:t>55名高中学子获得了全国五大奥赛四川赛区全国一、二等奖，2名学子获得全国“青少年科技创新成果竞赛项目”一等奖；</w:t>
      </w:r>
      <w:r>
        <w:rPr>
          <w:rFonts w:hint="eastAsia" w:ascii="仿宋_GB2312" w:hAnsi="楷体" w:eastAsia="仿宋_GB2312" w:cs="楷体"/>
          <w:sz w:val="32"/>
          <w:szCs w:val="32"/>
        </w:rPr>
        <w:t>课题申报取得新突破</w:t>
      </w:r>
      <w:r>
        <w:rPr>
          <w:rFonts w:hint="eastAsia" w:ascii="仿宋_GB2312" w:hAnsi="仿宋" w:eastAsia="仿宋_GB2312"/>
          <w:sz w:val="32"/>
          <w:szCs w:val="32"/>
        </w:rPr>
        <w:t>，组织申报四川省教育厅立项科研课题12项，成功立项5项，并首次获批省级10项重大课题1项，名校长专项课题2项；学科建设成效显著，选派14名选手参加省级优质课展评，共获得省级一等奖6人次。其中物理、英语代表四川省参加全国优质课展评，均荣获全国一等奖。</w:t>
      </w:r>
    </w:p>
    <w:p>
      <w:pPr>
        <w:spacing w:line="360" w:lineRule="auto"/>
        <w:ind w:firstLine="643" w:firstLineChars="200"/>
        <w:rPr>
          <w:rFonts w:hint="eastAsia" w:ascii="楷体_GB2312" w:hAnsi="新宋体" w:eastAsia="楷体_GB2312"/>
          <w:b/>
          <w:sz w:val="32"/>
          <w:szCs w:val="32"/>
        </w:rPr>
      </w:pPr>
      <w:r>
        <w:rPr>
          <w:rFonts w:hint="eastAsia" w:ascii="楷体_GB2312" w:hAnsi="新宋体" w:eastAsia="楷体_GB2312"/>
          <w:b/>
          <w:sz w:val="32"/>
          <w:szCs w:val="32"/>
        </w:rPr>
        <w:t>（</w:t>
      </w:r>
      <w:r>
        <w:rPr>
          <w:rFonts w:hint="eastAsia" w:ascii="楷体_GB2312" w:hAnsi="新宋体" w:eastAsia="楷体_GB2312"/>
          <w:b/>
          <w:sz w:val="32"/>
          <w:szCs w:val="32"/>
          <w:lang w:eastAsia="zh-CN"/>
        </w:rPr>
        <w:t>四</w:t>
      </w:r>
      <w:r>
        <w:rPr>
          <w:rFonts w:hint="eastAsia" w:ascii="楷体_GB2312" w:hAnsi="新宋体" w:eastAsia="楷体_GB2312"/>
          <w:b/>
          <w:sz w:val="32"/>
          <w:szCs w:val="32"/>
        </w:rPr>
        <w:t>）体育事业蓬勃发展。</w:t>
      </w:r>
    </w:p>
    <w:p>
      <w:pPr>
        <w:spacing w:line="360" w:lineRule="auto"/>
        <w:ind w:firstLine="643" w:firstLineChars="200"/>
        <w:rPr>
          <w:rFonts w:hint="eastAsia" w:ascii="仿宋_GB2312" w:hAnsi="仿宋_GB2312" w:eastAsia="仿宋_GB2312" w:cs="仿宋_GB2312"/>
          <w:sz w:val="32"/>
          <w:szCs w:val="32"/>
        </w:rPr>
      </w:pPr>
      <w:r>
        <w:rPr>
          <w:rFonts w:hint="eastAsia" w:ascii="仿宋_GB2312" w:hAnsi="楷体_GB2312" w:eastAsia="仿宋_GB2312" w:cs="楷体_GB2312"/>
          <w:b/>
          <w:sz w:val="32"/>
          <w:szCs w:val="32"/>
        </w:rPr>
        <w:t>一是群众体育加快发展。</w:t>
      </w:r>
      <w:r>
        <w:rPr>
          <w:rFonts w:hint="eastAsia" w:ascii="仿宋_GB2312" w:hAnsi="楷体_GB2312" w:eastAsia="仿宋_GB2312" w:cs="楷体_GB2312"/>
          <w:sz w:val="32"/>
          <w:szCs w:val="32"/>
        </w:rPr>
        <w:t>群众</w:t>
      </w:r>
      <w:r>
        <w:rPr>
          <w:rFonts w:hint="eastAsia" w:ascii="仿宋_GB2312" w:hAnsi="仿宋_GB2312" w:eastAsia="仿宋_GB2312" w:cs="仿宋_GB2312"/>
          <w:sz w:val="32"/>
          <w:szCs w:val="32"/>
        </w:rPr>
        <w:t>健身场地设施不断完善，完成农民体育健身工程行政村建设项目420个，全市7个大型体育场馆免费低收费开放服务达150万人次；全民健身活动丰富多彩，举办篮球、足球、网球、健身操舞等全民健身系列活动100余场次，参与群众100万余人次；群众体育赛事成绩突出，</w:t>
      </w:r>
      <w:r>
        <w:rPr>
          <w:rFonts w:hint="eastAsia" w:ascii="仿宋_GB2312" w:hAnsi="仿宋_GB2312" w:eastAsia="仿宋_GB2312" w:cs="仿宋_GB2312"/>
          <w:color w:val="333333"/>
          <w:sz w:val="32"/>
          <w:szCs w:val="32"/>
          <w:shd w:val="clear" w:color="auto" w:fill="FFFFFF"/>
        </w:rPr>
        <w:t>参加</w:t>
      </w:r>
      <w:r>
        <w:rPr>
          <w:rFonts w:hint="eastAsia" w:ascii="仿宋_GB2312" w:hAnsi="仿宋_GB2312" w:eastAsia="仿宋_GB2312" w:cs="仿宋_GB2312"/>
          <w:sz w:val="32"/>
          <w:szCs w:val="32"/>
        </w:rPr>
        <w:t>第八届世界传统武术锦标赛、全国业余围棋公开赛、第一届川籍农民工运动会等赛事，我市成绩优异，夺得金牌7枚；开展国民体质监测服务进机关、进社区、进企业等活动，监测服务1.24万余人。</w:t>
      </w:r>
    </w:p>
    <w:p>
      <w:pPr>
        <w:spacing w:line="360" w:lineRule="auto"/>
        <w:ind w:firstLine="643" w:firstLineChars="200"/>
        <w:rPr>
          <w:rFonts w:hint="eastAsia" w:ascii="仿宋_GB2312" w:hAnsi="仿宋_GB2312" w:eastAsia="仿宋_GB2312" w:cs="仿宋_GB2312"/>
          <w:sz w:val="32"/>
          <w:szCs w:val="32"/>
        </w:rPr>
      </w:pPr>
      <w:r>
        <w:rPr>
          <w:rFonts w:hint="eastAsia" w:ascii="仿宋_GB2312" w:hAnsi="楷体_GB2312" w:eastAsia="仿宋_GB2312" w:cs="楷体_GB2312"/>
          <w:b/>
          <w:sz w:val="32"/>
          <w:szCs w:val="32"/>
        </w:rPr>
        <w:t>二是</w:t>
      </w:r>
      <w:r>
        <w:rPr>
          <w:rFonts w:hint="eastAsia" w:ascii="仿宋_GB2312" w:hAnsi="仿宋_GB2312" w:eastAsia="仿宋_GB2312" w:cs="仿宋_GB2312"/>
          <w:b/>
          <w:sz w:val="32"/>
          <w:szCs w:val="32"/>
        </w:rPr>
        <w:t>学校体育有序推进。</w:t>
      </w:r>
      <w:r>
        <w:rPr>
          <w:rFonts w:ascii="仿宋_GB2312" w:hAnsi="仿宋_GB2312" w:eastAsia="仿宋_GB2312" w:cs="仿宋_GB2312"/>
          <w:sz w:val="32"/>
          <w:szCs w:val="32"/>
        </w:rPr>
        <w:t>全市学校100%开足开齐体育课，体育教师配备率达86%</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深入开展阳光体育活动，确保每名学生每天运动不少于一小时，每名学生掌握一到两项终生受益的体育技能，学生体质健康水平测试合格率达90.36%，呈逐年上升趋势。健全完善全市学校三层三级体育竞赛体系，成功</w:t>
      </w:r>
      <w:r>
        <w:rPr>
          <w:rFonts w:hint="eastAsia" w:ascii="仿宋_GB2312" w:hAnsi="仿宋_GB2312" w:eastAsia="仿宋_GB2312" w:cs="仿宋_GB2312"/>
          <w:sz w:val="32"/>
          <w:szCs w:val="32"/>
        </w:rPr>
        <w:t>举办2019年全国青少年体育冬夏令营(遂宁站)、全市中小学生运动会、</w:t>
      </w:r>
      <w:r>
        <w:rPr>
          <w:rFonts w:ascii="仿宋_GB2312" w:hAnsi="仿宋_GB2312" w:eastAsia="仿宋_GB2312" w:cs="仿宋_GB2312"/>
          <w:sz w:val="32"/>
          <w:szCs w:val="32"/>
        </w:rPr>
        <w:t>篮球比赛</w:t>
      </w:r>
      <w:r>
        <w:rPr>
          <w:rFonts w:hint="eastAsia" w:ascii="仿宋_GB2312" w:hAnsi="仿宋_GB2312" w:eastAsia="仿宋_GB2312" w:cs="仿宋_GB2312"/>
          <w:sz w:val="32"/>
          <w:szCs w:val="32"/>
        </w:rPr>
        <w:t>等活动，参与学生近3万人次。</w:t>
      </w:r>
      <w:r>
        <w:rPr>
          <w:rFonts w:ascii="仿宋_GB2312" w:hAnsi="仿宋_GB2312" w:eastAsia="仿宋_GB2312" w:cs="仿宋_GB2312"/>
          <w:sz w:val="32"/>
          <w:szCs w:val="32"/>
        </w:rPr>
        <w:t>成功创建12所市级、3所省级阳光体育示范校。</w:t>
      </w:r>
      <w:r>
        <w:rPr>
          <w:rFonts w:hint="eastAsia" w:ascii="仿宋_GB2312" w:hAnsi="仿宋_GB2312" w:eastAsia="仿宋_GB2312" w:cs="仿宋_GB2312"/>
          <w:sz w:val="32"/>
          <w:szCs w:val="32"/>
        </w:rPr>
        <w:t>推进校园足球发展，扎实开展校园足球最佳阵容遴选，成功创建全国青少年校园足球特色学校5所、足球特色幼儿园5所，目前我市全国中小学足球特色学校（幼儿园）达5</w:t>
      </w:r>
      <w:r>
        <w:rPr>
          <w:rFonts w:ascii="仿宋_GB2312" w:hAnsi="仿宋_GB2312" w:eastAsia="仿宋_GB2312" w:cs="仿宋_GB2312"/>
          <w:sz w:val="32"/>
          <w:szCs w:val="32"/>
        </w:rPr>
        <w:t>5</w:t>
      </w:r>
      <w:r>
        <w:rPr>
          <w:rFonts w:hint="eastAsia" w:ascii="仿宋_GB2312" w:hAnsi="仿宋_GB2312" w:eastAsia="仿宋_GB2312" w:cs="仿宋_GB2312"/>
          <w:sz w:val="32"/>
          <w:szCs w:val="32"/>
        </w:rPr>
        <w:t>所。</w:t>
      </w:r>
    </w:p>
    <w:p>
      <w:pPr>
        <w:spacing w:line="360" w:lineRule="auto"/>
        <w:ind w:firstLine="643" w:firstLineChars="200"/>
        <w:rPr>
          <w:rFonts w:hint="eastAsia" w:ascii="楷体_GB2312" w:hAnsi="楷体_GB2312" w:eastAsia="楷体_GB2312" w:cs="楷体_GB2312"/>
          <w:sz w:val="32"/>
          <w:szCs w:val="32"/>
        </w:rPr>
      </w:pPr>
      <w:r>
        <w:rPr>
          <w:rFonts w:hint="eastAsia" w:ascii="仿宋_GB2312" w:hAnsi="仿宋_GB2312" w:eastAsia="仿宋_GB2312" w:cs="仿宋_GB2312"/>
          <w:b/>
          <w:sz w:val="32"/>
          <w:szCs w:val="32"/>
        </w:rPr>
        <w:t>三是</w:t>
      </w:r>
      <w:r>
        <w:rPr>
          <w:rFonts w:hint="eastAsia" w:ascii="仿宋_GB2312" w:hAnsi="楷体_GB2312" w:eastAsia="仿宋_GB2312" w:cs="楷体_GB2312"/>
          <w:b/>
          <w:sz w:val="32"/>
          <w:szCs w:val="32"/>
        </w:rPr>
        <w:t>竞技体育成绩突出。</w:t>
      </w:r>
      <w:r>
        <w:rPr>
          <w:rFonts w:hint="eastAsia" w:ascii="仿宋_GB2312" w:hAnsi="仿宋_GB2312" w:eastAsia="仿宋_GB2312" w:cs="仿宋_GB2312"/>
          <w:sz w:val="32"/>
          <w:szCs w:val="32"/>
        </w:rPr>
        <w:t>代表省局组队参加全国二青会，获得2金3银7铜的好成绩，市水校被省政府表彰为“突出贡献单位”。全国赛艇锦标赛获得1金1银1铜，水校1名运动员入选国家青年队，代表中国参加世界青年赛艇锦标赛暨奥运选拔赛获第四名，目前入选全国仅10个名额的“大个子计划”。</w:t>
      </w:r>
      <w:r>
        <w:rPr>
          <w:rFonts w:ascii="仿宋_GB2312" w:hAnsi="仿宋_GB2312" w:eastAsia="仿宋_GB2312" w:cs="仿宋_GB2312"/>
          <w:sz w:val="32"/>
          <w:szCs w:val="32"/>
        </w:rPr>
        <w:t>初步完成省十四运会25个项目布局，完成1114名运动员注册，800余名运动员参加2019年全省青少年竞标赛，获得11枚金牌、11银牌、23枚铜牌。射洪市沙滩排球项目被省教育厅确定代表四川省组队参加全国十四届中学生运动会。</w:t>
      </w:r>
    </w:p>
    <w:p>
      <w:pPr>
        <w:spacing w:line="360" w:lineRule="auto"/>
        <w:ind w:firstLine="619" w:firstLineChars="200"/>
        <w:rPr>
          <w:rFonts w:hint="eastAsia" w:ascii="仿宋_GB2312" w:hAnsi="仿宋_GB2312" w:eastAsia="仿宋_GB2312" w:cs="仿宋_GB2312"/>
          <w:sz w:val="32"/>
          <w:szCs w:val="32"/>
        </w:rPr>
      </w:pPr>
      <w:r>
        <w:rPr>
          <w:rFonts w:hint="eastAsia" w:ascii="仿宋_GB2312" w:hAnsi="楷体_GB2312" w:eastAsia="仿宋_GB2312" w:cs="楷体_GB2312"/>
          <w:b/>
          <w:spacing w:val="-6"/>
          <w:sz w:val="32"/>
          <w:szCs w:val="32"/>
        </w:rPr>
        <w:t>四是体育产业突破提升。</w:t>
      </w:r>
      <w:r>
        <w:rPr>
          <w:rFonts w:hint="eastAsia" w:ascii="仿宋_GB2312" w:hAnsi="楷体_GB2312" w:eastAsia="仿宋_GB2312" w:cs="楷体_GB2312"/>
          <w:spacing w:val="-6"/>
          <w:sz w:val="32"/>
          <w:szCs w:val="32"/>
        </w:rPr>
        <w:t>市</w:t>
      </w:r>
      <w:r>
        <w:rPr>
          <w:rFonts w:hint="eastAsia" w:ascii="仿宋_GB2312" w:hAnsi="仿宋_GB2312" w:eastAsia="仿宋_GB2312" w:cs="仿宋_GB2312"/>
          <w:sz w:val="32"/>
          <w:szCs w:val="32"/>
        </w:rPr>
        <w:t>经开区引进资金26亿，正式签约建设以冰雪运动、山地户外运动为核心，集康体健身、休闲度假等于一体的凤祈山冰雪体育旅游项目。船山区拟引进资金80亿元建设集休闲度假、禅修、水上游乐于一体的城市旅游综合体，目前已启动拆迁安置。市河东新区将投资1亿元建设观音湖水上乐园项目，拟打造艾瑞克冰雪世界项目。</w:t>
      </w:r>
    </w:p>
    <w:p>
      <w:pPr>
        <w:spacing w:line="360" w:lineRule="auto"/>
        <w:ind w:firstLine="643" w:firstLineChars="200"/>
        <w:rPr>
          <w:rFonts w:hint="eastAsia" w:ascii="仿宋_GB2312" w:hAnsi="仿宋_GB2312" w:eastAsia="仿宋_GB2312" w:cs="仿宋_GB2312"/>
          <w:sz w:val="32"/>
          <w:szCs w:val="32"/>
        </w:rPr>
      </w:pPr>
      <w:r>
        <w:rPr>
          <w:rFonts w:hint="eastAsia" w:ascii="楷体_GB2312" w:hAnsi="新宋体" w:eastAsia="楷体_GB2312"/>
          <w:b/>
          <w:sz w:val="32"/>
          <w:szCs w:val="32"/>
        </w:rPr>
        <w:t>（</w:t>
      </w:r>
      <w:r>
        <w:rPr>
          <w:rFonts w:hint="eastAsia" w:ascii="楷体_GB2312" w:hAnsi="新宋体" w:eastAsia="楷体_GB2312"/>
          <w:b/>
          <w:sz w:val="32"/>
          <w:szCs w:val="32"/>
          <w:lang w:eastAsia="zh-CN"/>
        </w:rPr>
        <w:t>五</w:t>
      </w:r>
      <w:r>
        <w:rPr>
          <w:rFonts w:hint="eastAsia" w:ascii="楷体_GB2312" w:hAnsi="新宋体" w:eastAsia="楷体_GB2312"/>
          <w:b/>
          <w:sz w:val="32"/>
          <w:szCs w:val="32"/>
        </w:rPr>
        <w:t>）教育改革全面深入。</w:t>
      </w:r>
    </w:p>
    <w:p>
      <w:pPr>
        <w:spacing w:line="360" w:lineRule="auto"/>
        <w:ind w:firstLine="800" w:firstLineChars="250"/>
        <w:rPr>
          <w:rFonts w:hint="eastAsia" w:ascii="仿宋_GB2312" w:eastAsia="仿宋_GB2312" w:cs="仿宋_GB2312"/>
          <w:sz w:val="32"/>
          <w:szCs w:val="32"/>
        </w:rPr>
      </w:pPr>
      <w:r>
        <w:rPr>
          <w:rFonts w:hint="eastAsia" w:ascii="仿宋_GB2312" w:hAnsi="宋体" w:eastAsia="仿宋_GB2312" w:cs="宋体"/>
          <w:kern w:val="0"/>
          <w:sz w:val="32"/>
          <w:szCs w:val="32"/>
        </w:rPr>
        <w:t>推进职业教育育人模式改革，3所职业学校的现代学徒制改革已经纳入省级试点，6所职业学校实施产教融合改革；</w:t>
      </w:r>
      <w:r>
        <w:rPr>
          <w:rFonts w:hint="eastAsia" w:ascii="仿宋_GB2312" w:hAnsi="仿宋_GB2312" w:eastAsia="仿宋_GB2312" w:cs="仿宋_GB2312"/>
          <w:sz w:val="32"/>
          <w:szCs w:val="32"/>
        </w:rPr>
        <w:t>推进学校体育艺术改革，安居区投入资金1.2亿元，学校生均运动场馆面积基本达到省定标准。大英县、</w:t>
      </w:r>
      <w:r>
        <w:rPr>
          <w:rFonts w:hint="eastAsia" w:ascii="仿宋_GB2312" w:hAnsi="宋体" w:eastAsia="仿宋_GB2312" w:cs="宋体"/>
          <w:kern w:val="0"/>
          <w:sz w:val="32"/>
          <w:szCs w:val="32"/>
        </w:rPr>
        <w:t>船山区和射洪县实施“县管校聘”改革；</w:t>
      </w:r>
      <w:r>
        <w:rPr>
          <w:rFonts w:hint="eastAsia" w:ascii="仿宋_GB2312" w:hAnsi="仿宋_GB2312" w:eastAsia="仿宋_GB2312" w:cs="仿宋_GB2312"/>
          <w:sz w:val="32"/>
          <w:szCs w:val="32"/>
        </w:rPr>
        <w:t>成立“遂宁市高升实小素质教育研究协同体”，</w:t>
      </w:r>
      <w:r>
        <w:rPr>
          <w:rFonts w:hint="eastAsia" w:ascii="仿宋_GB2312" w:hAnsi="仿宋_GB2312" w:eastAsia="仿宋_GB2312" w:cs="仿宋_GB2312"/>
          <w:bCs/>
          <w:sz w:val="32"/>
          <w:szCs w:val="32"/>
        </w:rPr>
        <w:t>吸纳了从学前教育到初中共26所城乡学校</w:t>
      </w:r>
      <w:r>
        <w:rPr>
          <w:rFonts w:hint="eastAsia" w:ascii="仿宋_GB2312" w:hAnsi="仿宋_GB2312" w:eastAsia="仿宋_GB2312" w:cs="仿宋_GB2312"/>
          <w:sz w:val="32"/>
          <w:szCs w:val="32"/>
        </w:rPr>
        <w:t>；出台“对县（区）人民政府、园区管委会履行教育职责的评价办法”，</w:t>
      </w:r>
      <w:r>
        <w:rPr>
          <w:rFonts w:hint="eastAsia" w:ascii="仿宋_GB2312" w:eastAsia="仿宋_GB2312" w:cs="仿宋_GB2312"/>
          <w:sz w:val="32"/>
          <w:szCs w:val="32"/>
        </w:rPr>
        <w:t>将高考综合改革基础保障条件工作专项督导、中小学（幼儿园）安全工作专项督导、语言文字工作督导评估等一批督导重点工作申请纳入全市目标绩效考核项目，</w:t>
      </w:r>
      <w:r>
        <w:rPr>
          <w:rFonts w:hint="eastAsia" w:ascii="仿宋_GB2312" w:eastAsia="仿宋_GB2312"/>
          <w:sz w:val="32"/>
          <w:szCs w:val="32"/>
        </w:rPr>
        <w:t>加强教育督导责任区建设，</w:t>
      </w:r>
      <w:r>
        <w:rPr>
          <w:rFonts w:hint="eastAsia" w:ascii="仿宋_GB2312" w:hAnsi="华文楷体" w:eastAsia="仿宋_GB2312"/>
          <w:sz w:val="32"/>
          <w:szCs w:val="32"/>
        </w:rPr>
        <w:t>强化督政督学力度，</w:t>
      </w:r>
      <w:r>
        <w:rPr>
          <w:rFonts w:hint="eastAsia" w:ascii="仿宋_GB2312" w:hAnsi="仿宋_GB2312" w:eastAsia="仿宋_GB2312" w:cs="仿宋_GB2312"/>
          <w:sz w:val="32"/>
          <w:szCs w:val="32"/>
        </w:rPr>
        <w:t>让督政、督学“长牙齿”；推进教育交流合作，与重庆潼南区、成都市青羊区等签定“教育合作协议”，有4所学校入选西南大学基础教育集团领航名校；</w:t>
      </w:r>
      <w:r>
        <w:rPr>
          <w:rFonts w:hint="eastAsia" w:ascii="仿宋_GB2312" w:hAnsi="楷体" w:eastAsia="仿宋_GB2312" w:cs="楷体"/>
          <w:sz w:val="32"/>
          <w:szCs w:val="32"/>
        </w:rPr>
        <w:t>稳步推进课后服务改革，</w:t>
      </w:r>
      <w:r>
        <w:rPr>
          <w:rFonts w:hint="eastAsia" w:ascii="仿宋_GB2312" w:hAnsi="仿宋_GB2312" w:eastAsia="仿宋_GB2312" w:cs="仿宋_GB2312"/>
          <w:sz w:val="32"/>
          <w:szCs w:val="32"/>
        </w:rPr>
        <w:t>全市共6个县（市、区）开展课后服务工作，涉及58所中小校、9万名学生。</w:t>
      </w:r>
    </w:p>
    <w:p>
      <w:pPr>
        <w:spacing w:line="360" w:lineRule="auto"/>
        <w:ind w:firstLine="643" w:firstLineChars="200"/>
        <w:rPr>
          <w:rFonts w:hint="eastAsia" w:ascii="仿宋_GB2312" w:hAnsi="仿宋_GB2312" w:eastAsia="仿宋_GB2312" w:cs="仿宋_GB2312"/>
          <w:sz w:val="32"/>
          <w:szCs w:val="32"/>
        </w:rPr>
      </w:pPr>
      <w:r>
        <w:rPr>
          <w:rFonts w:hint="eastAsia" w:ascii="楷体_GB2312" w:hAnsi="新宋体" w:eastAsia="楷体_GB2312"/>
          <w:b/>
          <w:sz w:val="32"/>
          <w:szCs w:val="32"/>
        </w:rPr>
        <w:t>（</w:t>
      </w:r>
      <w:r>
        <w:rPr>
          <w:rFonts w:hint="eastAsia" w:ascii="楷体_GB2312" w:hAnsi="新宋体" w:eastAsia="楷体_GB2312"/>
          <w:b/>
          <w:sz w:val="32"/>
          <w:szCs w:val="32"/>
          <w:lang w:eastAsia="zh-CN"/>
        </w:rPr>
        <w:t>六</w:t>
      </w:r>
      <w:r>
        <w:rPr>
          <w:rFonts w:hint="eastAsia" w:ascii="楷体_GB2312" w:hAnsi="新宋体" w:eastAsia="楷体_GB2312"/>
          <w:b/>
          <w:sz w:val="32"/>
          <w:szCs w:val="32"/>
        </w:rPr>
        <w:t>）教育惠民扎实有效。</w:t>
      </w:r>
    </w:p>
    <w:p>
      <w:pPr>
        <w:spacing w:line="360" w:lineRule="auto"/>
        <w:ind w:firstLine="803" w:firstLineChars="250"/>
        <w:rPr>
          <w:rFonts w:hint="eastAsia" w:ascii="仿宋_GB2312" w:hAnsi="仿宋_GB2312" w:eastAsia="仿宋_GB2312"/>
          <w:sz w:val="32"/>
          <w:szCs w:val="32"/>
        </w:rPr>
      </w:pPr>
      <w:r>
        <w:rPr>
          <w:rFonts w:hint="eastAsia" w:ascii="仿宋_GB2312" w:hAnsi="楷体" w:eastAsia="仿宋_GB2312" w:cs="楷体"/>
          <w:b/>
          <w:bCs/>
          <w:sz w:val="32"/>
          <w:szCs w:val="32"/>
        </w:rPr>
        <w:t>一是</w:t>
      </w:r>
      <w:r>
        <w:rPr>
          <w:rFonts w:hint="eastAsia" w:ascii="仿宋_GB2312" w:eastAsia="仿宋_GB2312"/>
          <w:b/>
          <w:color w:val="000000"/>
          <w:sz w:val="32"/>
          <w:szCs w:val="32"/>
        </w:rPr>
        <w:t>教育扶贫成效明显。</w:t>
      </w:r>
      <w:r>
        <w:rPr>
          <w:rFonts w:hint="eastAsia" w:ascii="仿宋_GB2312" w:hAnsi="仿宋" w:eastAsia="仿宋_GB2312" w:cs="仿宋"/>
          <w:kern w:val="0"/>
          <w:sz w:val="32"/>
          <w:szCs w:val="32"/>
        </w:rPr>
        <w:t>创新推动教育扶贫，</w:t>
      </w:r>
      <w:r>
        <w:rPr>
          <w:rFonts w:hint="eastAsia" w:ascii="仿宋_GB2312" w:eastAsia="仿宋_GB2312"/>
          <w:sz w:val="32"/>
          <w:szCs w:val="32"/>
        </w:rPr>
        <w:t>举办的“志翔班”和“励志班”招收400名贫困学子；</w:t>
      </w:r>
      <w:r>
        <w:rPr>
          <w:rFonts w:hint="eastAsia" w:ascii="仿宋_GB2312" w:eastAsia="仿宋_GB2312"/>
          <w:bCs/>
          <w:sz w:val="32"/>
          <w:szCs w:val="32"/>
        </w:rPr>
        <w:t>6个县（市、区）成立教育扶贫救助基金，累计资助4.36万人次；</w:t>
      </w:r>
      <w:r>
        <w:rPr>
          <w:rFonts w:hint="eastAsia" w:ascii="仿宋_GB2312" w:hAnsi="宋体" w:eastAsia="仿宋_GB2312" w:cs="仿宋"/>
          <w:sz w:val="32"/>
          <w:szCs w:val="32"/>
        </w:rPr>
        <w:t>投入1.81亿元</w:t>
      </w:r>
      <w:r>
        <w:rPr>
          <w:rFonts w:hint="eastAsia" w:ascii="仿宋_GB2312" w:hAnsi="仿宋" w:eastAsia="仿宋_GB2312"/>
          <w:sz w:val="32"/>
          <w:szCs w:val="32"/>
        </w:rPr>
        <w:t>资助家庭经济困难学生</w:t>
      </w:r>
      <w:r>
        <w:rPr>
          <w:rFonts w:hint="eastAsia" w:ascii="仿宋_GB2312" w:hAnsi="Calibri" w:eastAsia="仿宋_GB2312"/>
          <w:sz w:val="32"/>
          <w:szCs w:val="32"/>
        </w:rPr>
        <w:t>，</w:t>
      </w:r>
      <w:r>
        <w:rPr>
          <w:rFonts w:hint="eastAsia" w:ascii="仿宋_GB2312" w:eastAsia="仿宋_GB2312" w:cs="仿宋_GB2312"/>
          <w:sz w:val="32"/>
          <w:szCs w:val="32"/>
          <w:shd w:val="clear" w:color="auto" w:fill="FFFFFF"/>
          <w:lang w:bidi="ar"/>
        </w:rPr>
        <w:t>全市</w:t>
      </w:r>
      <w:r>
        <w:rPr>
          <w:rFonts w:hint="eastAsia" w:ascii="仿宋_GB2312" w:eastAsia="仿宋_GB2312"/>
          <w:sz w:val="32"/>
          <w:szCs w:val="32"/>
          <w:shd w:val="clear" w:color="auto" w:fill="FFFFFF"/>
          <w:lang w:bidi="ar"/>
        </w:rPr>
        <w:t>23471</w:t>
      </w:r>
      <w:r>
        <w:rPr>
          <w:rFonts w:hint="eastAsia" w:ascii="仿宋_GB2312" w:eastAsia="仿宋_GB2312" w:cs="仿宋_GB2312"/>
          <w:sz w:val="32"/>
          <w:szCs w:val="32"/>
          <w:shd w:val="clear" w:color="auto" w:fill="FFFFFF"/>
          <w:lang w:bidi="ar"/>
        </w:rPr>
        <w:t>名建档立卡贫困家庭子女接受良好教育，</w:t>
      </w:r>
      <w:r>
        <w:rPr>
          <w:rFonts w:hint="eastAsia" w:ascii="仿宋_GB2312" w:eastAsia="仿宋_GB2312"/>
          <w:sz w:val="32"/>
          <w:szCs w:val="32"/>
        </w:rPr>
        <w:t>贫困学生义务教育保障率达到100%。九年义务教育巩固率，2019年达到95.8%，比2015年增加1个百分点。</w:t>
      </w:r>
    </w:p>
    <w:p>
      <w:pPr>
        <w:autoSpaceDE w:val="0"/>
        <w:autoSpaceDN w:val="0"/>
        <w:adjustRightInd w:val="0"/>
        <w:snapToGrid w:val="0"/>
        <w:spacing w:line="360" w:lineRule="auto"/>
        <w:ind w:firstLine="803" w:firstLineChars="250"/>
        <w:rPr>
          <w:rFonts w:hint="eastAsia" w:ascii="仿宋_GB2312" w:eastAsia="仿宋_GB2312" w:cs="仿宋_GB2312"/>
          <w:sz w:val="32"/>
          <w:szCs w:val="32"/>
        </w:rPr>
      </w:pPr>
      <w:r>
        <w:rPr>
          <w:rFonts w:hint="eastAsia" w:ascii="仿宋_GB2312" w:hAnsi="楷体" w:eastAsia="仿宋_GB2312" w:cs="楷体"/>
          <w:b/>
          <w:bCs/>
          <w:sz w:val="32"/>
          <w:szCs w:val="32"/>
        </w:rPr>
        <w:t>二是</w:t>
      </w:r>
      <w:r>
        <w:rPr>
          <w:rFonts w:hint="eastAsia" w:ascii="仿宋_GB2312" w:eastAsia="仿宋_GB2312"/>
          <w:b/>
          <w:color w:val="000000"/>
          <w:sz w:val="32"/>
          <w:szCs w:val="32"/>
        </w:rPr>
        <w:t>教育资助全面落实。</w:t>
      </w:r>
      <w:r>
        <w:rPr>
          <w:rFonts w:hint="eastAsia" w:ascii="仿宋_GB2312" w:eastAsia="仿宋_GB2312"/>
          <w:sz w:val="32"/>
          <w:szCs w:val="32"/>
        </w:rPr>
        <w:t>“三免一补”惠及24万名学生，</w:t>
      </w:r>
      <w:r>
        <w:rPr>
          <w:rFonts w:hint="eastAsia" w:ascii="仿宋_GB2312" w:hAnsi="仿宋_GB2312" w:eastAsia="仿宋_GB2312"/>
          <w:kern w:val="0"/>
          <w:sz w:val="32"/>
          <w:szCs w:val="32"/>
          <w:lang w:bidi="ar"/>
        </w:rPr>
        <w:t>在蓬溪县、大英县实施农村义务教育学生营养改善计划，惠及学生4.12万学生。</w:t>
      </w:r>
      <w:r>
        <w:rPr>
          <w:rFonts w:hint="eastAsia" w:ascii="仿宋_GB2312" w:hAnsi="仿宋_GB2312" w:eastAsia="仿宋_GB2312" w:cs="仿宋_GB2312"/>
          <w:sz w:val="32"/>
          <w:szCs w:val="32"/>
        </w:rPr>
        <w:t>解决农民工随迁子女义务教育就学问题，全市义务教育学校有5.13万名随迁子女就读。民办义务教育阶段学校将招生计划的30%的名额用于随机派位确定，保障学区内适龄儿童全部入学。</w:t>
      </w:r>
      <w:r>
        <w:rPr>
          <w:rFonts w:hint="eastAsia" w:ascii="仿宋_GB2312" w:eastAsia="仿宋_GB2312" w:cs="仿宋_GB2312"/>
          <w:sz w:val="32"/>
          <w:szCs w:val="32"/>
          <w:shd w:val="clear" w:color="auto" w:fill="FFFFFF"/>
          <w:lang w:bidi="ar"/>
        </w:rPr>
        <w:t>健全留守儿童关爱体系，建成留守儿童之家</w:t>
      </w:r>
      <w:r>
        <w:rPr>
          <w:rFonts w:hint="eastAsia" w:ascii="仿宋_GB2312" w:eastAsia="仿宋_GB2312"/>
          <w:sz w:val="32"/>
          <w:szCs w:val="32"/>
          <w:shd w:val="clear" w:color="auto" w:fill="FFFFFF"/>
          <w:lang w:bidi="ar"/>
        </w:rPr>
        <w:t>423</w:t>
      </w:r>
      <w:r>
        <w:rPr>
          <w:rFonts w:hint="eastAsia" w:ascii="仿宋_GB2312" w:eastAsia="仿宋_GB2312" w:cs="仿宋_GB2312"/>
          <w:sz w:val="32"/>
          <w:szCs w:val="32"/>
          <w:shd w:val="clear" w:color="auto" w:fill="FFFFFF"/>
          <w:lang w:bidi="ar"/>
        </w:rPr>
        <w:t>个。</w:t>
      </w:r>
      <w:r>
        <w:rPr>
          <w:rFonts w:hint="eastAsia" w:ascii="仿宋_GB2312" w:eastAsia="仿宋_GB2312"/>
          <w:sz w:val="32"/>
          <w:szCs w:val="32"/>
        </w:rPr>
        <w:t>实施大班额消除计划，2019年</w:t>
      </w:r>
      <w:r>
        <w:rPr>
          <w:rFonts w:hint="eastAsia" w:ascii="仿宋_GB2312" w:hAnsi="仿宋_GB2312" w:eastAsia="仿宋_GB2312" w:cs="仿宋_GB2312"/>
          <w:sz w:val="32"/>
          <w:szCs w:val="32"/>
        </w:rPr>
        <w:t>全市义务教育阶段大班额190个，占比3.19％，与2018年相比下降3.66个百分点，全市已消除66人及以上超大班额。</w:t>
      </w:r>
      <w:r>
        <w:rPr>
          <w:rFonts w:hint="eastAsia" w:ascii="仿宋_GB2312" w:eastAsia="仿宋_GB2312"/>
          <w:sz w:val="32"/>
          <w:szCs w:val="32"/>
        </w:rPr>
        <w:t>对229名未入学残疾儿童进行了入学安排，对重度残疾儿童开展送教上门达1.5万余课时。</w:t>
      </w:r>
      <w:r>
        <w:rPr>
          <w:rFonts w:hint="eastAsia" w:ascii="仿宋_GB2312" w:hAnsi="仿宋_GB2312" w:eastAsia="仿宋_GB2312"/>
          <w:sz w:val="32"/>
          <w:szCs w:val="32"/>
        </w:rPr>
        <w:t>整顿校外培训机，</w:t>
      </w:r>
      <w:r>
        <w:rPr>
          <w:rFonts w:hint="eastAsia" w:ascii="仿宋_GB2312" w:hAnsi="仿宋_GB2312" w:eastAsia="仿宋_GB2312"/>
          <w:kern w:val="0"/>
          <w:sz w:val="32"/>
          <w:szCs w:val="32"/>
        </w:rPr>
        <w:t>关停21所不符合办学条件的培训机构。</w:t>
      </w:r>
      <w:r>
        <w:rPr>
          <w:rFonts w:hint="eastAsia" w:ascii="仿宋_GB2312" w:hAnsi="仿宋_GB2312" w:eastAsia="仿宋_GB2312" w:cs="仿宋_GB2312"/>
          <w:bCs/>
          <w:sz w:val="32"/>
          <w:szCs w:val="32"/>
        </w:rPr>
        <w:t>职</w:t>
      </w:r>
      <w:r>
        <w:rPr>
          <w:rFonts w:hint="eastAsia" w:ascii="仿宋_GB2312" w:eastAsia="仿宋_GB2312"/>
          <w:sz w:val="32"/>
          <w:szCs w:val="32"/>
        </w:rPr>
        <w:t>教服务遂宁绿色发展和新兴产业提升的功能增强，校企合办专业，联合育人格局得到深化，</w:t>
      </w:r>
      <w:r>
        <w:rPr>
          <w:rFonts w:hint="eastAsia" w:ascii="仿宋_GB2312" w:eastAsia="仿宋_GB2312" w:cs="仿宋_GB2312"/>
          <w:sz w:val="32"/>
          <w:szCs w:val="32"/>
        </w:rPr>
        <w:t>毕业生在本地园区企业就业、创业人数达到50%以上。</w:t>
      </w:r>
    </w:p>
    <w:p>
      <w:pPr>
        <w:autoSpaceDE w:val="0"/>
        <w:autoSpaceDN w:val="0"/>
        <w:adjustRightInd w:val="0"/>
        <w:snapToGrid w:val="0"/>
        <w:spacing w:line="360" w:lineRule="auto"/>
        <w:ind w:firstLine="643" w:firstLineChars="200"/>
        <w:rPr>
          <w:rFonts w:hint="eastAsia" w:ascii="仿宋_GB2312" w:hAnsi="宋体" w:eastAsia="仿宋_GB2312" w:cs="宋体"/>
          <w:kern w:val="0"/>
          <w:sz w:val="32"/>
          <w:szCs w:val="32"/>
          <w:lang w:bidi="ar"/>
        </w:rPr>
      </w:pPr>
      <w:r>
        <w:rPr>
          <w:rFonts w:hint="eastAsia" w:ascii="仿宋_GB2312" w:hAnsi="楷体" w:eastAsia="仿宋_GB2312" w:cs="楷体"/>
          <w:b/>
          <w:bCs/>
          <w:sz w:val="32"/>
          <w:szCs w:val="32"/>
        </w:rPr>
        <w:t>三是</w:t>
      </w:r>
      <w:r>
        <w:rPr>
          <w:rFonts w:hint="eastAsia" w:ascii="仿宋_GB2312" w:eastAsia="仿宋_GB2312"/>
          <w:b/>
          <w:sz w:val="32"/>
          <w:szCs w:val="32"/>
        </w:rPr>
        <w:t>学校安全稳定工作更加有力。</w:t>
      </w:r>
      <w:r>
        <w:rPr>
          <w:rFonts w:hint="eastAsia" w:ascii="仿宋_GB2312" w:hAnsi="宋体" w:eastAsia="仿宋_GB2312" w:cs="宋体"/>
          <w:kern w:val="0"/>
          <w:sz w:val="32"/>
          <w:szCs w:val="32"/>
          <w:lang w:bidi="ar"/>
        </w:rPr>
        <w:t>全面加强学校安全工作“党政同责、一岗双责”责任体系建设，</w:t>
      </w:r>
      <w:r>
        <w:rPr>
          <w:rFonts w:hint="eastAsia" w:ascii="仿宋_GB2312" w:hAnsi="仿宋_GB2312" w:eastAsia="仿宋_GB2312" w:cs="仿宋_GB2312"/>
          <w:bCs/>
          <w:sz w:val="32"/>
          <w:szCs w:val="32"/>
        </w:rPr>
        <w:t>创新</w:t>
      </w:r>
      <w:r>
        <w:rPr>
          <w:rFonts w:hint="eastAsia" w:ascii="仿宋_GB2312" w:hAnsi="仿宋_GB2312" w:eastAsia="仿宋_GB2312" w:cs="仿宋_GB2312"/>
          <w:sz w:val="32"/>
          <w:szCs w:val="32"/>
        </w:rPr>
        <w:t>实施安全“督办日”制度，</w:t>
      </w:r>
      <w:r>
        <w:rPr>
          <w:rFonts w:hint="eastAsia" w:ascii="仿宋_GB2312" w:hAnsi="仿宋_GB2312" w:eastAsia="仿宋_GB2312" w:cs="仿宋_GB2312"/>
          <w:bCs/>
          <w:sz w:val="32"/>
          <w:szCs w:val="32"/>
        </w:rPr>
        <w:t>建立了部门学校稳定安全联动机制；</w:t>
      </w:r>
      <w:r>
        <w:rPr>
          <w:rFonts w:hint="eastAsia" w:ascii="仿宋_GB2312" w:eastAsia="仿宋_GB2312" w:cs="仿宋_GB2312"/>
          <w:sz w:val="32"/>
          <w:szCs w:val="32"/>
          <w:shd w:val="clear" w:color="auto" w:fill="FFFFFF"/>
          <w:lang w:bidi="ar"/>
        </w:rPr>
        <w:t>推进校园安全基础标准化建设，全市校园无</w:t>
      </w:r>
      <w:r>
        <w:rPr>
          <w:rFonts w:hint="eastAsia" w:ascii="仿宋_GB2312" w:eastAsia="仿宋_GB2312"/>
          <w:sz w:val="32"/>
          <w:szCs w:val="32"/>
          <w:shd w:val="clear" w:color="auto" w:fill="FFFFFF"/>
          <w:lang w:bidi="ar"/>
        </w:rPr>
        <w:t>D</w:t>
      </w:r>
      <w:r>
        <w:rPr>
          <w:rFonts w:hint="eastAsia" w:ascii="仿宋_GB2312" w:eastAsia="仿宋_GB2312" w:cs="仿宋_GB2312"/>
          <w:sz w:val="32"/>
          <w:szCs w:val="32"/>
          <w:shd w:val="clear" w:color="auto" w:fill="FFFFFF"/>
          <w:lang w:bidi="ar"/>
        </w:rPr>
        <w:t>级危房；加强校园“三防”工作，将安保人员配备纳入政府督查项目，落实保安</w:t>
      </w:r>
      <w:r>
        <w:rPr>
          <w:rFonts w:hint="eastAsia" w:ascii="仿宋_GB2312" w:eastAsia="仿宋_GB2312"/>
          <w:sz w:val="32"/>
          <w:szCs w:val="32"/>
          <w:shd w:val="clear" w:color="auto" w:fill="FFFFFF"/>
          <w:lang w:bidi="ar"/>
        </w:rPr>
        <w:t>1100</w:t>
      </w:r>
      <w:r>
        <w:rPr>
          <w:rFonts w:hint="eastAsia" w:ascii="仿宋_GB2312" w:eastAsia="仿宋_GB2312" w:cs="仿宋_GB2312"/>
          <w:sz w:val="32"/>
          <w:szCs w:val="32"/>
          <w:shd w:val="clear" w:color="auto" w:fill="FFFFFF"/>
          <w:lang w:bidi="ar"/>
        </w:rPr>
        <w:t>余名</w:t>
      </w:r>
      <w:r>
        <w:rPr>
          <w:rFonts w:hint="eastAsia" w:ascii="仿宋_GB2312" w:hAnsi="宋体" w:eastAsia="仿宋_GB2312" w:cs="宋体"/>
          <w:kern w:val="0"/>
          <w:sz w:val="32"/>
          <w:szCs w:val="32"/>
          <w:lang w:bidi="ar"/>
        </w:rPr>
        <w:t>，配齐配足各类校园安防器材，全市</w:t>
      </w:r>
      <w:r>
        <w:rPr>
          <w:rFonts w:hint="eastAsia" w:ascii="仿宋_GB2312" w:eastAsia="仿宋_GB2312"/>
          <w:sz w:val="32"/>
          <w:szCs w:val="32"/>
          <w:shd w:val="clear" w:color="auto" w:fill="FFFFFF"/>
          <w:lang w:bidi="ar"/>
        </w:rPr>
        <w:t>55</w:t>
      </w:r>
      <w:r>
        <w:rPr>
          <w:rFonts w:hint="eastAsia" w:ascii="仿宋_GB2312" w:eastAsia="仿宋_GB2312" w:cs="仿宋_GB2312"/>
          <w:sz w:val="32"/>
          <w:szCs w:val="32"/>
          <w:shd w:val="clear" w:color="auto" w:fill="FFFFFF"/>
          <w:lang w:bidi="ar"/>
        </w:rPr>
        <w:t>辆校车全部安装了</w:t>
      </w:r>
      <w:r>
        <w:rPr>
          <w:rFonts w:hint="eastAsia" w:ascii="仿宋_GB2312" w:eastAsia="仿宋_GB2312"/>
          <w:sz w:val="32"/>
          <w:szCs w:val="32"/>
          <w:shd w:val="clear" w:color="auto" w:fill="FFFFFF"/>
          <w:lang w:bidi="ar"/>
        </w:rPr>
        <w:t>GPS</w:t>
      </w:r>
      <w:r>
        <w:rPr>
          <w:rFonts w:hint="eastAsia" w:ascii="仿宋_GB2312" w:eastAsia="仿宋_GB2312" w:cs="仿宋_GB2312"/>
          <w:sz w:val="32"/>
          <w:szCs w:val="32"/>
          <w:shd w:val="clear" w:color="auto" w:fill="FFFFFF"/>
          <w:lang w:bidi="ar"/>
        </w:rPr>
        <w:t>视频监控系统，全市校园均安装了高清视频监控，实现了适时监控可视化动态化；</w:t>
      </w:r>
      <w:r>
        <w:rPr>
          <w:rFonts w:hint="eastAsia" w:ascii="仿宋_GB2312" w:eastAsia="仿宋_GB2312"/>
          <w:sz w:val="32"/>
          <w:szCs w:val="32"/>
        </w:rPr>
        <w:t>强化学校食堂食品安全管理，认真落实《学校食品安全与营养健康管理规定》，明厨亮灶和灭C行动全面完成，</w:t>
      </w:r>
      <w:r>
        <w:rPr>
          <w:rFonts w:hint="eastAsia" w:ascii="仿宋_GB2312" w:hAnsi="仿宋_GB2312" w:eastAsia="仿宋_GB2312" w:cs="仿宋_GB2312"/>
          <w:sz w:val="32"/>
          <w:szCs w:val="32"/>
        </w:rPr>
        <w:t>全市643所学校食堂达到B级标准，占学校食堂总数的95.5%。创新落实家长陪餐制度，全覆盖排查学校食堂食品安全隐患，学校食品安全管理工作得到市委邵书记肯定性批示。蓬南中学、大英中学获国家级“节约型公共机构示范单位”、大英县天星幼儿园获全国生态文明教育特色学校；</w:t>
      </w:r>
      <w:r>
        <w:rPr>
          <w:rFonts w:hint="eastAsia" w:ascii="仿宋_GB2312" w:hAnsi="楷体" w:eastAsia="仿宋_GB2312" w:cs="楷体"/>
          <w:sz w:val="32"/>
          <w:szCs w:val="32"/>
        </w:rPr>
        <w:t>教育法治工作深入推进，</w:t>
      </w:r>
      <w:r>
        <w:rPr>
          <w:rFonts w:hint="eastAsia" w:ascii="仿宋_GB2312" w:hAnsi="仿宋_GB2312" w:eastAsia="仿宋_GB2312" w:cs="仿宋_GB2312"/>
          <w:sz w:val="32"/>
          <w:szCs w:val="32"/>
        </w:rPr>
        <w:t>90%的行政许可事项纳入了网上可办理事项，全市所有中小学校（含中职学校）法治副校长或法治辅导员配备率达到100%；全力做好系统信访稳定工作，全年共办理信访件63件，均按照信访程序和规定全部办结</w:t>
      </w:r>
      <w:r>
        <w:rPr>
          <w:rFonts w:hint="eastAsia" w:ascii="仿宋_GB2312" w:eastAsia="仿宋_GB2312"/>
          <w:sz w:val="32"/>
          <w:szCs w:val="32"/>
        </w:rPr>
        <w:t>。2019</w:t>
      </w:r>
      <w:r>
        <w:rPr>
          <w:rFonts w:hint="eastAsia" w:ascii="仿宋_GB2312" w:eastAsia="仿宋_GB2312" w:cs="仿宋_GB2312"/>
          <w:sz w:val="32"/>
          <w:szCs w:val="32"/>
          <w:shd w:val="clear" w:color="auto" w:fill="FFFFFF"/>
          <w:lang w:bidi="ar"/>
        </w:rPr>
        <w:t>年，全市教体系统未发生较大校园安全责任</w:t>
      </w:r>
      <w:r>
        <w:rPr>
          <w:rFonts w:hint="eastAsia" w:ascii="仿宋_GB2312" w:hAnsi="宋体" w:eastAsia="仿宋_GB2312" w:cs="宋体"/>
          <w:kern w:val="0"/>
          <w:sz w:val="32"/>
          <w:szCs w:val="32"/>
          <w:lang w:bidi="ar"/>
        </w:rPr>
        <w:t>事故，</w:t>
      </w:r>
      <w:r>
        <w:rPr>
          <w:rFonts w:hint="eastAsia" w:ascii="仿宋_GB2312" w:hAnsi="仿宋_GB2312" w:eastAsia="仿宋_GB2312" w:cs="仿宋_GB2312"/>
          <w:sz w:val="32"/>
          <w:szCs w:val="32"/>
        </w:rPr>
        <w:t>未发生到省进京</w:t>
      </w:r>
      <w:r>
        <w:rPr>
          <w:rFonts w:hint="eastAsia" w:ascii="仿宋_GB2312" w:hAnsi="宋体" w:eastAsia="仿宋_GB2312" w:cs="宋体"/>
          <w:kern w:val="0"/>
          <w:sz w:val="32"/>
          <w:szCs w:val="32"/>
          <w:lang w:bidi="ar"/>
        </w:rPr>
        <w:t>群体</w:t>
      </w:r>
      <w:r>
        <w:rPr>
          <w:rFonts w:hint="eastAsia" w:ascii="仿宋_GB2312" w:hAnsi="仿宋_GB2312" w:eastAsia="仿宋_GB2312" w:cs="仿宋_GB2312"/>
          <w:sz w:val="32"/>
          <w:szCs w:val="32"/>
        </w:rPr>
        <w:t>上访事件</w:t>
      </w:r>
      <w:r>
        <w:rPr>
          <w:rFonts w:hint="eastAsia" w:ascii="仿宋_GB2312" w:hAnsi="宋体" w:eastAsia="仿宋_GB2312" w:cs="宋体"/>
          <w:kern w:val="0"/>
          <w:sz w:val="32"/>
          <w:szCs w:val="32"/>
          <w:lang w:bidi="ar"/>
        </w:rPr>
        <w:t>。</w:t>
      </w:r>
    </w:p>
    <w:p>
      <w:pPr>
        <w:autoSpaceDE w:val="0"/>
        <w:autoSpaceDN w:val="0"/>
        <w:adjustRightInd w:val="0"/>
        <w:snapToGrid w:val="0"/>
        <w:spacing w:line="360" w:lineRule="auto"/>
        <w:ind w:firstLine="643" w:firstLineChars="200"/>
        <w:rPr>
          <w:rFonts w:ascii="仿宋_GB2312" w:hAnsi="宋体" w:eastAsia="仿宋_GB2312" w:cs="宋体"/>
          <w:kern w:val="0"/>
          <w:sz w:val="32"/>
          <w:szCs w:val="32"/>
          <w:lang w:bidi="ar"/>
        </w:rPr>
      </w:pPr>
      <w:r>
        <w:rPr>
          <w:rFonts w:hint="eastAsia" w:ascii="仿宋_GB2312" w:eastAsia="仿宋_GB2312"/>
          <w:b/>
          <w:sz w:val="32"/>
          <w:szCs w:val="32"/>
        </w:rPr>
        <w:t>四是语言文字工作扎实推进。</w:t>
      </w:r>
      <w:r>
        <w:rPr>
          <w:rFonts w:hint="eastAsia" w:ascii="仿宋_GB2312" w:eastAsia="仿宋_GB2312"/>
          <w:sz w:val="32"/>
          <w:szCs w:val="32"/>
        </w:rPr>
        <w:t>举办</w:t>
      </w:r>
      <w:r>
        <w:rPr>
          <w:rFonts w:hint="eastAsia" w:ascii="仿宋_GB2312" w:hAnsi="宋体" w:eastAsia="仿宋_GB2312"/>
          <w:sz w:val="32"/>
          <w:szCs w:val="32"/>
        </w:rPr>
        <w:t>遂宁市</w:t>
      </w:r>
      <w:r>
        <w:rPr>
          <w:rFonts w:ascii="仿宋_GB2312" w:hAnsi="宋体" w:eastAsia="仿宋_GB2312"/>
          <w:sz w:val="32"/>
          <w:szCs w:val="32"/>
        </w:rPr>
        <w:t>2019年中华经典诵读比赛，</w:t>
      </w:r>
      <w:r>
        <w:rPr>
          <w:rFonts w:hint="eastAsia" w:ascii="仿宋_GB2312" w:hAnsi="宋体" w:eastAsia="仿宋_GB2312"/>
          <w:sz w:val="32"/>
          <w:szCs w:val="32"/>
        </w:rPr>
        <w:t>开展</w:t>
      </w:r>
      <w:r>
        <w:rPr>
          <w:rFonts w:hint="eastAsia" w:ascii="仿宋_GB2312" w:hAnsi="方正小标宋简体" w:eastAsia="仿宋_GB2312" w:cs="方正小标宋简体"/>
          <w:bCs/>
          <w:sz w:val="32"/>
          <w:szCs w:val="32"/>
        </w:rPr>
        <w:t>第</w:t>
      </w:r>
      <w:r>
        <w:rPr>
          <w:rFonts w:ascii="仿宋_GB2312" w:hAnsi="方正小标宋简体" w:eastAsia="仿宋_GB2312" w:cs="方正小标宋简体"/>
          <w:bCs/>
          <w:sz w:val="32"/>
          <w:szCs w:val="32"/>
        </w:rPr>
        <w:t>22届全国推广普通话宣传周活动</w:t>
      </w:r>
      <w:r>
        <w:rPr>
          <w:rFonts w:hint="eastAsia" w:ascii="仿宋_GB2312" w:hAnsi="方正小标宋简体" w:eastAsia="仿宋_GB2312" w:cs="方正小标宋简体"/>
          <w:bCs/>
          <w:sz w:val="32"/>
          <w:szCs w:val="32"/>
        </w:rPr>
        <w:t>，大英县顺利通过语言文字督导评估、</w:t>
      </w:r>
      <w:r>
        <w:rPr>
          <w:rFonts w:hint="eastAsia" w:ascii="仿宋_GB2312" w:eastAsia="仿宋_GB2312"/>
          <w:sz w:val="32"/>
          <w:szCs w:val="32"/>
        </w:rPr>
        <w:t>学校语言文字工作达标验收、普通话基本普及县域验收。</w:t>
      </w:r>
    </w:p>
    <w:p>
      <w:pPr>
        <w:spacing w:line="360" w:lineRule="auto"/>
        <w:ind w:firstLine="643" w:firstLineChars="200"/>
        <w:rPr>
          <w:rFonts w:ascii="仿宋" w:hAnsi="仿宋" w:eastAsia="仿宋" w:cs="仿宋"/>
          <w:b/>
          <w:sz w:val="32"/>
          <w:szCs w:val="32"/>
        </w:rPr>
      </w:pPr>
      <w:r>
        <w:rPr>
          <w:rFonts w:hint="eastAsia" w:ascii="仿宋" w:hAnsi="仿宋" w:eastAsia="仿宋" w:cs="仿宋"/>
          <w:b/>
          <w:sz w:val="32"/>
          <w:szCs w:val="32"/>
        </w:rPr>
        <w:t>二、机构设置</w:t>
      </w:r>
    </w:p>
    <w:p>
      <w:pPr>
        <w:spacing w:line="360" w:lineRule="auto"/>
        <w:ind w:firstLine="640" w:firstLineChars="200"/>
        <w:rPr>
          <w:rFonts w:ascii="仿宋" w:hAnsi="仿宋" w:eastAsia="仿宋"/>
          <w:color w:val="000000"/>
          <w:sz w:val="32"/>
          <w:szCs w:val="32"/>
        </w:rPr>
      </w:pPr>
      <w:r>
        <w:rPr>
          <w:rFonts w:hint="eastAsia" w:ascii="仿宋" w:hAnsi="仿宋" w:eastAsia="仿宋" w:cs="仿宋"/>
          <w:bCs/>
          <w:sz w:val="32"/>
          <w:szCs w:val="32"/>
        </w:rPr>
        <w:t>遂宁市教育和体育局下属预算单位12个，其中行政单位1个，参照公务员法管理的事业单位1个（遂宁市大学中专招生委员会办公室），其他事业单位2个（遂宁市电教教仪站、遂宁市教育科学研究所），八所学校（遂宁中学、遂宁一中、遂宁二中、遂宁四中、遂宁市职业技术学校、遂宁电大、遂宁市少年儿童业余体育学校、遂宁市水上运动学校），纳入教育局2019年度部门决算编制范围的二级预</w:t>
      </w:r>
      <w:r>
        <w:rPr>
          <w:rFonts w:hint="eastAsia" w:ascii="仿宋" w:hAnsi="仿宋" w:eastAsia="仿宋"/>
          <w:color w:val="000000"/>
          <w:sz w:val="32"/>
          <w:szCs w:val="32"/>
        </w:rPr>
        <w:t>算单位包括：</w:t>
      </w:r>
    </w:p>
    <w:p>
      <w:pPr>
        <w:pStyle w:val="5"/>
        <w:numPr>
          <w:ilvl w:val="0"/>
          <w:numId w:val="1"/>
        </w:numPr>
        <w:adjustRightInd w:val="0"/>
        <w:snapToGrid w:val="0"/>
        <w:spacing w:before="93" w:line="600" w:lineRule="exact"/>
        <w:outlineLvl w:val="2"/>
        <w:rPr>
          <w:rFonts w:ascii="仿宋" w:hAnsi="仿宋" w:eastAsia="仿宋"/>
          <w:color w:val="000000"/>
          <w:sz w:val="32"/>
          <w:szCs w:val="32"/>
        </w:rPr>
      </w:pPr>
      <w:r>
        <w:rPr>
          <w:rFonts w:hint="eastAsia" w:ascii="仿宋" w:hAnsi="仿宋" w:eastAsia="仿宋" w:cs="仿宋"/>
          <w:bCs/>
          <w:sz w:val="32"/>
          <w:szCs w:val="32"/>
        </w:rPr>
        <w:t>遂宁市大学中专招生委员会办公室</w:t>
      </w:r>
    </w:p>
    <w:p>
      <w:pPr>
        <w:pStyle w:val="5"/>
        <w:numPr>
          <w:ilvl w:val="0"/>
          <w:numId w:val="1"/>
        </w:numPr>
        <w:adjustRightInd w:val="0"/>
        <w:snapToGrid w:val="0"/>
        <w:spacing w:before="93" w:line="600" w:lineRule="exact"/>
        <w:rPr>
          <w:rFonts w:ascii="仿宋" w:hAnsi="仿宋" w:eastAsia="仿宋" w:cs="仿宋"/>
          <w:bCs/>
          <w:sz w:val="32"/>
          <w:szCs w:val="32"/>
        </w:rPr>
      </w:pPr>
      <w:r>
        <w:rPr>
          <w:rFonts w:hint="eastAsia" w:ascii="仿宋" w:hAnsi="仿宋" w:eastAsia="仿宋" w:cs="仿宋"/>
          <w:bCs/>
          <w:sz w:val="32"/>
          <w:szCs w:val="32"/>
        </w:rPr>
        <w:t>遂宁市电教教仪站</w:t>
      </w:r>
    </w:p>
    <w:p>
      <w:pPr>
        <w:pStyle w:val="5"/>
        <w:numPr>
          <w:ilvl w:val="0"/>
          <w:numId w:val="1"/>
        </w:numPr>
        <w:adjustRightInd w:val="0"/>
        <w:snapToGrid w:val="0"/>
        <w:spacing w:before="93" w:line="600" w:lineRule="exact"/>
        <w:rPr>
          <w:rFonts w:ascii="仿宋" w:hAnsi="仿宋" w:eastAsia="仿宋" w:cs="仿宋"/>
          <w:bCs/>
          <w:sz w:val="32"/>
          <w:szCs w:val="32"/>
        </w:rPr>
      </w:pPr>
      <w:r>
        <w:rPr>
          <w:rFonts w:hint="eastAsia" w:ascii="仿宋" w:hAnsi="仿宋" w:eastAsia="仿宋" w:cs="仿宋"/>
          <w:bCs/>
          <w:sz w:val="32"/>
          <w:szCs w:val="32"/>
        </w:rPr>
        <w:t>遂宁市教育科学研究所</w:t>
      </w:r>
    </w:p>
    <w:p>
      <w:pPr>
        <w:pStyle w:val="5"/>
        <w:numPr>
          <w:ilvl w:val="0"/>
          <w:numId w:val="1"/>
        </w:numPr>
        <w:adjustRightInd w:val="0"/>
        <w:snapToGrid w:val="0"/>
        <w:spacing w:before="93" w:line="600" w:lineRule="exact"/>
        <w:rPr>
          <w:rFonts w:ascii="仿宋" w:hAnsi="仿宋" w:eastAsia="仿宋" w:cs="仿宋"/>
          <w:bCs/>
          <w:sz w:val="32"/>
          <w:szCs w:val="32"/>
        </w:rPr>
      </w:pPr>
      <w:r>
        <w:rPr>
          <w:rFonts w:hint="eastAsia" w:ascii="仿宋" w:hAnsi="仿宋" w:eastAsia="仿宋" w:cs="仿宋"/>
          <w:bCs/>
          <w:sz w:val="32"/>
          <w:szCs w:val="32"/>
        </w:rPr>
        <w:t>遂宁中学</w:t>
      </w:r>
    </w:p>
    <w:p>
      <w:pPr>
        <w:pStyle w:val="5"/>
        <w:numPr>
          <w:ilvl w:val="0"/>
          <w:numId w:val="1"/>
        </w:numPr>
        <w:adjustRightInd w:val="0"/>
        <w:snapToGrid w:val="0"/>
        <w:spacing w:before="93" w:line="600" w:lineRule="exact"/>
        <w:rPr>
          <w:rFonts w:ascii="仿宋" w:hAnsi="仿宋" w:eastAsia="仿宋" w:cs="仿宋"/>
          <w:bCs/>
          <w:sz w:val="32"/>
          <w:szCs w:val="32"/>
        </w:rPr>
      </w:pPr>
      <w:r>
        <w:rPr>
          <w:rFonts w:hint="eastAsia" w:ascii="仿宋" w:hAnsi="仿宋" w:eastAsia="仿宋" w:cs="仿宋"/>
          <w:bCs/>
          <w:sz w:val="32"/>
          <w:szCs w:val="32"/>
        </w:rPr>
        <w:t>遂宁一中</w:t>
      </w:r>
    </w:p>
    <w:p>
      <w:pPr>
        <w:pStyle w:val="5"/>
        <w:numPr>
          <w:ilvl w:val="0"/>
          <w:numId w:val="1"/>
        </w:numPr>
        <w:adjustRightInd w:val="0"/>
        <w:snapToGrid w:val="0"/>
        <w:spacing w:before="93" w:line="600" w:lineRule="exact"/>
        <w:rPr>
          <w:rFonts w:ascii="仿宋" w:hAnsi="仿宋" w:eastAsia="仿宋" w:cs="仿宋"/>
          <w:bCs/>
          <w:sz w:val="32"/>
          <w:szCs w:val="32"/>
        </w:rPr>
      </w:pPr>
      <w:r>
        <w:rPr>
          <w:rFonts w:hint="eastAsia" w:ascii="仿宋" w:hAnsi="仿宋" w:eastAsia="仿宋" w:cs="仿宋"/>
          <w:bCs/>
          <w:sz w:val="32"/>
          <w:szCs w:val="32"/>
        </w:rPr>
        <w:t>遂宁二中</w:t>
      </w:r>
    </w:p>
    <w:p>
      <w:pPr>
        <w:pStyle w:val="5"/>
        <w:numPr>
          <w:ilvl w:val="0"/>
          <w:numId w:val="1"/>
        </w:numPr>
        <w:adjustRightInd w:val="0"/>
        <w:snapToGrid w:val="0"/>
        <w:spacing w:before="93" w:line="600" w:lineRule="exact"/>
        <w:rPr>
          <w:rFonts w:ascii="仿宋" w:hAnsi="仿宋" w:eastAsia="仿宋" w:cs="仿宋"/>
          <w:bCs/>
          <w:sz w:val="32"/>
          <w:szCs w:val="32"/>
        </w:rPr>
      </w:pPr>
      <w:r>
        <w:rPr>
          <w:rFonts w:hint="eastAsia" w:ascii="仿宋" w:hAnsi="仿宋" w:eastAsia="仿宋" w:cs="仿宋"/>
          <w:bCs/>
          <w:sz w:val="32"/>
          <w:szCs w:val="32"/>
        </w:rPr>
        <w:t>遂宁四中</w:t>
      </w:r>
    </w:p>
    <w:p>
      <w:pPr>
        <w:pStyle w:val="5"/>
        <w:numPr>
          <w:ilvl w:val="0"/>
          <w:numId w:val="1"/>
        </w:numPr>
        <w:adjustRightInd w:val="0"/>
        <w:snapToGrid w:val="0"/>
        <w:spacing w:before="93" w:line="600" w:lineRule="exact"/>
        <w:rPr>
          <w:rFonts w:ascii="仿宋" w:hAnsi="仿宋" w:eastAsia="仿宋" w:cs="仿宋"/>
          <w:bCs/>
          <w:sz w:val="32"/>
          <w:szCs w:val="32"/>
        </w:rPr>
      </w:pPr>
      <w:r>
        <w:rPr>
          <w:rFonts w:hint="eastAsia" w:ascii="仿宋" w:hAnsi="仿宋" w:eastAsia="仿宋" w:cs="仿宋"/>
          <w:bCs/>
          <w:sz w:val="32"/>
          <w:szCs w:val="32"/>
        </w:rPr>
        <w:t>遂宁市职业技术学校</w:t>
      </w:r>
    </w:p>
    <w:p>
      <w:pPr>
        <w:numPr>
          <w:ilvl w:val="0"/>
          <w:numId w:val="1"/>
        </w:numPr>
        <w:spacing w:line="360" w:lineRule="auto"/>
        <w:rPr>
          <w:rFonts w:ascii="仿宋" w:hAnsi="仿宋" w:eastAsia="仿宋" w:cs="仿宋"/>
          <w:bCs/>
          <w:sz w:val="32"/>
          <w:szCs w:val="32"/>
        </w:rPr>
      </w:pPr>
      <w:r>
        <w:rPr>
          <w:rFonts w:hint="eastAsia" w:ascii="仿宋" w:hAnsi="仿宋" w:eastAsia="仿宋" w:cs="仿宋"/>
          <w:bCs/>
          <w:sz w:val="32"/>
          <w:szCs w:val="32"/>
        </w:rPr>
        <w:t>遂宁电大</w:t>
      </w:r>
    </w:p>
    <w:p>
      <w:pPr>
        <w:numPr>
          <w:ilvl w:val="0"/>
          <w:numId w:val="1"/>
        </w:numPr>
        <w:spacing w:line="360" w:lineRule="auto"/>
        <w:rPr>
          <w:rFonts w:ascii="仿宋" w:hAnsi="仿宋" w:eastAsia="仿宋" w:cs="仿宋"/>
          <w:bCs/>
          <w:sz w:val="32"/>
          <w:szCs w:val="32"/>
        </w:rPr>
      </w:pPr>
      <w:r>
        <w:rPr>
          <w:rFonts w:hint="eastAsia" w:ascii="仿宋" w:hAnsi="仿宋" w:eastAsia="仿宋" w:cs="仿宋"/>
          <w:bCs/>
          <w:sz w:val="32"/>
          <w:szCs w:val="32"/>
        </w:rPr>
        <w:t>遂宁市少年儿童业余体育学校遂宁市体校</w:t>
      </w:r>
    </w:p>
    <w:p>
      <w:pPr>
        <w:spacing w:line="360" w:lineRule="auto"/>
        <w:ind w:left="672"/>
        <w:rPr>
          <w:rFonts w:ascii="黑体" w:hAnsi="黑体" w:eastAsia="黑体"/>
          <w:color w:val="000000"/>
        </w:rPr>
      </w:pPr>
      <w:r>
        <w:rPr>
          <w:rFonts w:hint="eastAsia" w:ascii="仿宋" w:hAnsi="仿宋" w:eastAsia="仿宋" w:cs="仿宋"/>
          <w:bCs/>
          <w:sz w:val="32"/>
          <w:szCs w:val="32"/>
        </w:rPr>
        <w:t>11.遂宁市水上运动学校</w:t>
      </w:r>
    </w:p>
    <w:p>
      <w:pPr>
        <w:pStyle w:val="2"/>
        <w:ind w:right="440"/>
        <w:rPr>
          <w:rFonts w:ascii="黑体" w:hAnsi="黑体" w:eastAsia="黑体"/>
          <w:b w:val="0"/>
          <w:color w:val="000000"/>
        </w:rPr>
      </w:pPr>
    </w:p>
    <w:p>
      <w:pPr>
        <w:pStyle w:val="2"/>
        <w:ind w:right="440"/>
        <w:rPr>
          <w:rFonts w:ascii="黑体" w:hAnsi="黑体" w:eastAsia="黑体"/>
          <w:b w:val="0"/>
          <w:color w:val="000000"/>
        </w:rPr>
      </w:pPr>
    </w:p>
    <w:p>
      <w:pPr>
        <w:pStyle w:val="2"/>
        <w:ind w:right="440"/>
        <w:rPr>
          <w:rFonts w:ascii="黑体" w:hAnsi="黑体" w:eastAsia="黑体"/>
          <w:b w:val="0"/>
          <w:color w:val="000000"/>
        </w:rPr>
      </w:pPr>
    </w:p>
    <w:p>
      <w:pPr>
        <w:pStyle w:val="2"/>
        <w:ind w:right="440"/>
        <w:rPr>
          <w:rFonts w:ascii="黑体" w:hAnsi="黑体" w:eastAsia="黑体"/>
          <w:b w:val="0"/>
          <w:color w:val="000000"/>
        </w:rPr>
      </w:pPr>
    </w:p>
    <w:p>
      <w:pPr>
        <w:spacing w:line="360" w:lineRule="auto"/>
        <w:rPr>
          <w:rFonts w:ascii="仿宋" w:hAnsi="仿宋" w:eastAsia="仿宋" w:cs="仿宋"/>
          <w:b/>
          <w:sz w:val="32"/>
          <w:szCs w:val="32"/>
        </w:rPr>
      </w:pPr>
    </w:p>
    <w:p>
      <w:pPr>
        <w:spacing w:line="360" w:lineRule="auto"/>
        <w:rPr>
          <w:rFonts w:ascii="仿宋" w:hAnsi="仿宋" w:eastAsia="仿宋" w:cs="仿宋"/>
          <w:b/>
          <w:sz w:val="32"/>
          <w:szCs w:val="32"/>
        </w:rPr>
      </w:pPr>
    </w:p>
    <w:p>
      <w:pPr>
        <w:spacing w:line="360" w:lineRule="auto"/>
        <w:rPr>
          <w:rFonts w:ascii="仿宋" w:hAnsi="仿宋" w:eastAsia="仿宋" w:cs="仿宋"/>
          <w:b/>
          <w:sz w:val="32"/>
          <w:szCs w:val="32"/>
        </w:rPr>
      </w:pPr>
    </w:p>
    <w:p>
      <w:pPr>
        <w:spacing w:line="360" w:lineRule="auto"/>
        <w:rPr>
          <w:rFonts w:ascii="仿宋" w:hAnsi="仿宋" w:eastAsia="仿宋" w:cs="仿宋"/>
          <w:b/>
          <w:sz w:val="32"/>
          <w:szCs w:val="32"/>
        </w:rPr>
      </w:pPr>
    </w:p>
    <w:p>
      <w:pPr>
        <w:spacing w:line="600" w:lineRule="exact"/>
        <w:ind w:firstLine="640"/>
        <w:rPr>
          <w:rFonts w:hint="eastAsia" w:ascii="仿宋" w:hAnsi="仿宋" w:eastAsia="仿宋"/>
          <w:color w:val="000000"/>
          <w:sz w:val="32"/>
          <w:szCs w:val="32"/>
        </w:rPr>
      </w:pPr>
    </w:p>
    <w:p>
      <w:pPr>
        <w:spacing w:line="600" w:lineRule="exact"/>
        <w:ind w:firstLine="1280" w:firstLineChars="400"/>
        <w:rPr>
          <w:rFonts w:ascii="仿宋" w:hAnsi="仿宋" w:eastAsia="仿宋"/>
          <w:color w:val="000000"/>
          <w:sz w:val="32"/>
          <w:szCs w:val="32"/>
        </w:rPr>
      </w:pPr>
      <w:r>
        <w:rPr>
          <w:rFonts w:hint="eastAsia" w:ascii="仿宋" w:hAnsi="仿宋" w:eastAsia="仿宋"/>
          <w:color w:val="000000"/>
          <w:sz w:val="32"/>
          <w:szCs w:val="32"/>
        </w:rPr>
        <w:t>第二部分2019年度部门决算情况说明</w:t>
      </w:r>
      <w:bookmarkEnd w:id="16"/>
      <w:bookmarkEnd w:id="17"/>
    </w:p>
    <w:p>
      <w:pPr>
        <w:spacing w:line="600" w:lineRule="exact"/>
        <w:ind w:firstLine="640"/>
        <w:rPr>
          <w:rFonts w:ascii="仿宋" w:hAnsi="仿宋" w:eastAsia="仿宋"/>
          <w:color w:val="000000"/>
          <w:sz w:val="32"/>
          <w:szCs w:val="32"/>
        </w:rPr>
      </w:pPr>
    </w:p>
    <w:p>
      <w:pPr>
        <w:spacing w:line="600" w:lineRule="exact"/>
        <w:ind w:firstLine="640"/>
        <w:rPr>
          <w:rFonts w:ascii="仿宋" w:hAnsi="仿宋" w:eastAsia="仿宋"/>
          <w:color w:val="000000"/>
          <w:sz w:val="32"/>
          <w:szCs w:val="32"/>
        </w:rPr>
      </w:pPr>
      <w:bookmarkStart w:id="18" w:name="_Toc15396603"/>
      <w:bookmarkStart w:id="19" w:name="_Toc15377205"/>
      <w:r>
        <w:rPr>
          <w:rFonts w:hint="eastAsia" w:ascii="仿宋" w:hAnsi="仿宋" w:eastAsia="仿宋"/>
          <w:color w:val="000000"/>
          <w:sz w:val="32"/>
          <w:szCs w:val="32"/>
        </w:rPr>
        <w:t>一、收入支出决算总体情况说明</w:t>
      </w:r>
      <w:bookmarkEnd w:id="18"/>
      <w:bookmarkEnd w:id="19"/>
    </w:p>
    <w:p>
      <w:pPr>
        <w:spacing w:line="600" w:lineRule="exact"/>
        <w:ind w:firstLine="640"/>
        <w:rPr>
          <w:rFonts w:ascii="仿宋" w:hAnsi="仿宋" w:eastAsia="仿宋"/>
          <w:color w:val="000000"/>
          <w:sz w:val="32"/>
          <w:szCs w:val="32"/>
        </w:rPr>
      </w:pPr>
      <w:r>
        <w:rPr>
          <w:rFonts w:hint="eastAsia" w:ascii="仿宋" w:hAnsi="仿宋" w:eastAsia="仿宋"/>
          <w:color w:val="000000"/>
          <w:sz w:val="32"/>
          <w:szCs w:val="32"/>
        </w:rPr>
        <w:t>2019年度收、支总计</w:t>
      </w:r>
      <w:bookmarkStart w:id="20" w:name="OLE_LINK1"/>
      <w:r>
        <w:rPr>
          <w:rFonts w:hint="eastAsia" w:ascii="仿宋" w:hAnsi="仿宋" w:eastAsia="仿宋"/>
          <w:color w:val="000000"/>
          <w:sz w:val="32"/>
          <w:szCs w:val="32"/>
        </w:rPr>
        <w:t>52，981.19</w:t>
      </w:r>
      <w:bookmarkEnd w:id="20"/>
      <w:r>
        <w:rPr>
          <w:rFonts w:hint="eastAsia" w:ascii="仿宋" w:hAnsi="仿宋" w:eastAsia="仿宋"/>
          <w:color w:val="000000"/>
          <w:sz w:val="32"/>
          <w:szCs w:val="32"/>
        </w:rPr>
        <w:t>万元。与2018年相比，收、支总计各增加2502.02万元，增长4.95%。主要变动原因是各直属学校基建方面经费增加较多，如修建食堂、购买教学仪器设备等。</w:t>
      </w:r>
    </w:p>
    <w:p>
      <w:pPr>
        <w:spacing w:line="600" w:lineRule="exact"/>
        <w:ind w:firstLine="640"/>
        <w:rPr>
          <w:rFonts w:hint="eastAsia" w:ascii="仿宋" w:hAnsi="仿宋" w:eastAsia="仿宋"/>
          <w:b/>
          <w:bCs/>
          <w:color w:val="auto"/>
          <w:sz w:val="32"/>
          <w:szCs w:val="32"/>
        </w:rPr>
      </w:pPr>
      <w:r>
        <w:rPr>
          <w:rFonts w:ascii="仿宋" w:hAnsi="仿宋" w:eastAsia="仿宋"/>
          <w:b/>
          <w:bCs/>
          <w:color w:val="auto"/>
          <w:sz w:val="32"/>
          <w:szCs w:val="32"/>
        </w:rPr>
        <w:drawing>
          <wp:anchor distT="0" distB="0" distL="114300" distR="114300" simplePos="0" relativeHeight="251659264" behindDoc="0" locked="0" layoutInCell="1" allowOverlap="1">
            <wp:simplePos x="0" y="0"/>
            <wp:positionH relativeFrom="column">
              <wp:posOffset>271145</wp:posOffset>
            </wp:positionH>
            <wp:positionV relativeFrom="paragraph">
              <wp:posOffset>513715</wp:posOffset>
            </wp:positionV>
            <wp:extent cx="5274310" cy="3076575"/>
            <wp:effectExtent l="0" t="0" r="0" b="0"/>
            <wp:wrapSquare wrapText="bothSides"/>
            <wp:docPr id="3"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anchor>
        </w:drawing>
      </w:r>
      <w:r>
        <w:rPr>
          <w:rFonts w:hint="eastAsia" w:ascii="仿宋" w:hAnsi="仿宋" w:eastAsia="仿宋"/>
          <w:b/>
          <w:bCs/>
          <w:color w:val="auto"/>
          <w:sz w:val="32"/>
          <w:szCs w:val="32"/>
        </w:rPr>
        <w:t>（图1：收、支决算总计变动情况图）（柱状图）</w:t>
      </w:r>
      <w:bookmarkStart w:id="21" w:name="_Toc15396604"/>
      <w:bookmarkStart w:id="22" w:name="_Toc15377206"/>
    </w:p>
    <w:p>
      <w:pPr>
        <w:spacing w:line="600" w:lineRule="exact"/>
        <w:rPr>
          <w:rFonts w:hint="eastAsia" w:ascii="仿宋" w:hAnsi="仿宋" w:eastAsia="仿宋"/>
          <w:color w:val="000000"/>
          <w:sz w:val="32"/>
          <w:szCs w:val="32"/>
          <w:lang w:eastAsia="zh-CN"/>
        </w:rPr>
      </w:pPr>
    </w:p>
    <w:p>
      <w:pPr>
        <w:spacing w:line="600" w:lineRule="exact"/>
        <w:ind w:firstLine="420"/>
        <w:rPr>
          <w:rFonts w:ascii="仿宋" w:hAnsi="仿宋" w:eastAsia="仿宋"/>
          <w:color w:val="000000"/>
          <w:sz w:val="32"/>
          <w:szCs w:val="32"/>
        </w:rPr>
      </w:pPr>
      <w:r>
        <w:rPr>
          <w:rFonts w:hint="eastAsia" w:ascii="仿宋" w:hAnsi="仿宋" w:eastAsia="仿宋"/>
          <w:color w:val="000000"/>
          <w:sz w:val="32"/>
          <w:szCs w:val="32"/>
        </w:rPr>
        <w:t>二、收入决算情况说明</w:t>
      </w:r>
      <w:bookmarkEnd w:id="21"/>
      <w:bookmarkEnd w:id="22"/>
    </w:p>
    <w:p>
      <w:pPr>
        <w:spacing w:line="600" w:lineRule="exact"/>
        <w:ind w:firstLine="640"/>
        <w:rPr>
          <w:rFonts w:hint="eastAsia" w:ascii="仿宋" w:hAnsi="仿宋" w:eastAsia="仿宋"/>
          <w:color w:val="000000"/>
          <w:sz w:val="32"/>
          <w:szCs w:val="32"/>
        </w:rPr>
      </w:pPr>
      <w:r>
        <w:rPr>
          <w:rFonts w:hint="eastAsia" w:ascii="仿宋" w:hAnsi="仿宋" w:eastAsia="仿宋"/>
          <w:color w:val="000000"/>
          <w:sz w:val="32"/>
          <w:szCs w:val="32"/>
        </w:rPr>
        <w:t>2019年本年收入合计42，331.52万元，其中：一般公共预算财政拨款收入</w:t>
      </w:r>
      <w:bookmarkStart w:id="23" w:name="OLE_LINK2"/>
      <w:r>
        <w:rPr>
          <w:rFonts w:hint="eastAsia" w:ascii="仿宋" w:hAnsi="仿宋" w:eastAsia="仿宋"/>
          <w:color w:val="000000"/>
          <w:sz w:val="32"/>
          <w:szCs w:val="32"/>
        </w:rPr>
        <w:t>34，678.91</w:t>
      </w:r>
      <w:bookmarkEnd w:id="23"/>
      <w:r>
        <w:rPr>
          <w:rFonts w:hint="eastAsia" w:ascii="仿宋" w:hAnsi="仿宋" w:eastAsia="仿宋"/>
          <w:color w:val="000000"/>
          <w:sz w:val="32"/>
          <w:szCs w:val="32"/>
        </w:rPr>
        <w:t>万元，占81.92%；政府性基金预算财政拨款收入1377.03万元，占3.25%；上级补助收入0万元，占0%；事业收入5190.91万元，占12.26%；经营收入0万元，占0%；附属单位上缴收入0万元，占0%；其他收入1084.67万元，占2.57%。</w:t>
      </w:r>
    </w:p>
    <w:p>
      <w:pPr>
        <w:spacing w:line="600" w:lineRule="exact"/>
        <w:jc w:val="center"/>
        <w:rPr>
          <w:rFonts w:hint="eastAsia" w:ascii="仿宋" w:hAnsi="仿宋" w:eastAsia="仿宋"/>
          <w:b/>
          <w:bCs/>
          <w:color w:val="auto"/>
          <w:sz w:val="32"/>
          <w:szCs w:val="32"/>
        </w:rPr>
      </w:pPr>
      <w:r>
        <w:rPr>
          <w:rFonts w:hint="eastAsia" w:ascii="仿宋" w:hAnsi="仿宋" w:eastAsia="仿宋" w:cs="仿宋"/>
          <w:b/>
          <w:bCs/>
          <w:color w:val="auto"/>
          <w:sz w:val="32"/>
          <w:szCs w:val="32"/>
        </w:rPr>
        <w:drawing>
          <wp:anchor distT="0" distB="0" distL="114300" distR="114300" simplePos="0" relativeHeight="251661312" behindDoc="1" locked="0" layoutInCell="1" allowOverlap="1">
            <wp:simplePos x="0" y="0"/>
            <wp:positionH relativeFrom="column">
              <wp:posOffset>161925</wp:posOffset>
            </wp:positionH>
            <wp:positionV relativeFrom="paragraph">
              <wp:posOffset>699770</wp:posOffset>
            </wp:positionV>
            <wp:extent cx="5500370" cy="2619375"/>
            <wp:effectExtent l="0" t="0" r="0" b="0"/>
            <wp:wrapTight wrapText="bothSides">
              <wp:wrapPolygon>
                <wp:start x="0" y="0"/>
                <wp:lineTo x="0" y="21521"/>
                <wp:lineTo x="21545" y="21521"/>
                <wp:lineTo x="21545" y="0"/>
                <wp:lineTo x="0" y="0"/>
              </wp:wrapPolygon>
            </wp:wrapTight>
            <wp:docPr id="4" name="对象 3"/>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anchor>
        </w:drawing>
      </w:r>
      <w:r>
        <w:rPr>
          <w:rFonts w:hint="eastAsia" w:ascii="仿宋" w:hAnsi="仿宋" w:eastAsia="仿宋"/>
          <w:b/>
          <w:bCs/>
          <w:color w:val="auto"/>
          <w:sz w:val="32"/>
          <w:szCs w:val="32"/>
        </w:rPr>
        <w:t>（图2：收入决算结构图）（饼状图）</w:t>
      </w:r>
      <w:bookmarkStart w:id="24" w:name="_Toc15396605"/>
      <w:bookmarkStart w:id="25" w:name="_Toc15377207"/>
    </w:p>
    <w:p>
      <w:pPr>
        <w:spacing w:line="600" w:lineRule="exact"/>
        <w:ind w:firstLine="640"/>
        <w:rPr>
          <w:rFonts w:ascii="仿宋" w:hAnsi="仿宋" w:eastAsia="仿宋"/>
          <w:color w:val="000000"/>
          <w:sz w:val="32"/>
          <w:szCs w:val="32"/>
        </w:rPr>
      </w:pPr>
      <w:r>
        <w:rPr>
          <w:rFonts w:hint="eastAsia" w:ascii="仿宋" w:hAnsi="仿宋" w:eastAsia="仿宋"/>
          <w:color w:val="000000"/>
          <w:sz w:val="32"/>
          <w:szCs w:val="32"/>
        </w:rPr>
        <w:t>三、支出决算情况说明</w:t>
      </w:r>
      <w:bookmarkEnd w:id="24"/>
      <w:bookmarkEnd w:id="25"/>
    </w:p>
    <w:p>
      <w:pPr>
        <w:spacing w:line="600" w:lineRule="exact"/>
        <w:ind w:firstLine="640"/>
        <w:rPr>
          <w:rFonts w:ascii="仿宋" w:hAnsi="仿宋" w:eastAsia="仿宋"/>
          <w:color w:val="000000"/>
          <w:sz w:val="32"/>
          <w:szCs w:val="32"/>
        </w:rPr>
      </w:pPr>
      <w:r>
        <w:rPr>
          <w:rFonts w:hint="eastAsia" w:ascii="仿宋" w:hAnsi="仿宋" w:eastAsia="仿宋"/>
          <w:color w:val="000000"/>
          <w:sz w:val="32"/>
          <w:szCs w:val="32"/>
        </w:rPr>
        <w:t>2019年本年支出合计43，465.3万元，其中：基本支出30,245.18万元，占69.58%；项目支出13,220.11万元，占30.42%；上缴上级支出0万元，占0%；经营支出0万元，占0%；对附属单位补助支出0万元，占0%。</w:t>
      </w:r>
    </w:p>
    <w:p>
      <w:pPr>
        <w:spacing w:line="600" w:lineRule="exact"/>
        <w:ind w:firstLine="640"/>
        <w:rPr>
          <w:rFonts w:ascii="仿宋" w:hAnsi="仿宋" w:eastAsia="仿宋"/>
          <w:b/>
          <w:bCs/>
          <w:color w:val="auto"/>
          <w:sz w:val="32"/>
          <w:szCs w:val="32"/>
        </w:rPr>
      </w:pPr>
      <w:r>
        <w:rPr>
          <w:rFonts w:hint="eastAsia" w:ascii="仿宋" w:hAnsi="仿宋" w:eastAsia="仿宋"/>
          <w:b/>
          <w:bCs/>
          <w:color w:val="auto"/>
          <w:sz w:val="32"/>
          <w:szCs w:val="32"/>
        </w:rPr>
        <w:t>（图3：支出决算结构图）（饼状图）</w:t>
      </w:r>
    </w:p>
    <w:p>
      <w:pPr>
        <w:spacing w:line="600" w:lineRule="exact"/>
        <w:ind w:firstLine="640"/>
        <w:rPr>
          <w:rFonts w:hint="eastAsia" w:ascii="仿宋" w:hAnsi="仿宋" w:eastAsia="仿宋"/>
          <w:color w:val="FF0000"/>
          <w:sz w:val="32"/>
          <w:szCs w:val="32"/>
        </w:rPr>
      </w:pPr>
      <w:r>
        <w:rPr>
          <w:rFonts w:hint="eastAsia" w:ascii="仿宋" w:hAnsi="仿宋" w:eastAsia="仿宋" w:cs="仿宋"/>
          <w:bCs/>
          <w:sz w:val="32"/>
          <w:szCs w:val="32"/>
        </w:rPr>
        <w:drawing>
          <wp:anchor distT="0" distB="0" distL="114300" distR="114300" simplePos="0" relativeHeight="251660288" behindDoc="0" locked="0" layoutInCell="1" allowOverlap="1">
            <wp:simplePos x="0" y="0"/>
            <wp:positionH relativeFrom="column">
              <wp:posOffset>480695</wp:posOffset>
            </wp:positionH>
            <wp:positionV relativeFrom="paragraph">
              <wp:posOffset>180340</wp:posOffset>
            </wp:positionV>
            <wp:extent cx="4288790" cy="2421255"/>
            <wp:effectExtent l="0" t="0" r="0" b="0"/>
            <wp:wrapSquare wrapText="bothSides"/>
            <wp:docPr id="5" name="对象 4"/>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anchor>
        </w:drawing>
      </w:r>
    </w:p>
    <w:p>
      <w:pPr>
        <w:spacing w:line="600" w:lineRule="exact"/>
        <w:ind w:firstLine="640"/>
        <w:rPr>
          <w:rFonts w:ascii="仿宋" w:hAnsi="仿宋" w:eastAsia="仿宋"/>
          <w:color w:val="000000"/>
          <w:sz w:val="32"/>
          <w:szCs w:val="32"/>
        </w:rPr>
      </w:pPr>
    </w:p>
    <w:p>
      <w:pPr>
        <w:spacing w:line="600" w:lineRule="exact"/>
        <w:ind w:firstLine="640"/>
        <w:rPr>
          <w:rFonts w:ascii="仿宋" w:hAnsi="仿宋" w:eastAsia="仿宋"/>
          <w:color w:val="000000"/>
          <w:sz w:val="32"/>
          <w:szCs w:val="32"/>
        </w:rPr>
      </w:pPr>
      <w:bookmarkStart w:id="26" w:name="_Toc15396606"/>
      <w:bookmarkStart w:id="27" w:name="_Toc15377208"/>
      <w:r>
        <w:rPr>
          <w:rFonts w:hint="eastAsia" w:ascii="仿宋" w:hAnsi="仿宋" w:eastAsia="仿宋"/>
          <w:color w:val="000000"/>
          <w:sz w:val="32"/>
          <w:szCs w:val="32"/>
        </w:rPr>
        <w:t>四、财政拨款收入支出决算总体情况说明</w:t>
      </w:r>
      <w:bookmarkEnd w:id="26"/>
      <w:bookmarkEnd w:id="27"/>
    </w:p>
    <w:p>
      <w:pPr>
        <w:spacing w:line="600" w:lineRule="exact"/>
        <w:ind w:firstLine="640"/>
        <w:rPr>
          <w:rFonts w:ascii="仿宋" w:hAnsi="仿宋" w:eastAsia="仿宋"/>
          <w:color w:val="FF0000"/>
          <w:sz w:val="32"/>
          <w:szCs w:val="32"/>
        </w:rPr>
      </w:pPr>
      <w:r>
        <w:rPr>
          <w:rFonts w:ascii="仿宋" w:hAnsi="仿宋" w:eastAsia="仿宋"/>
          <w:color w:val="000000"/>
          <w:sz w:val="32"/>
          <w:szCs w:val="32"/>
        </w:rPr>
        <w:t>201</w:t>
      </w:r>
      <w:r>
        <w:rPr>
          <w:rFonts w:hint="eastAsia" w:ascii="仿宋" w:hAnsi="仿宋" w:eastAsia="仿宋"/>
          <w:color w:val="000000"/>
          <w:sz w:val="32"/>
          <w:szCs w:val="32"/>
        </w:rPr>
        <w:t>9年财政拨款收、支总计43,173.13万元。与</w:t>
      </w:r>
      <w:r>
        <w:rPr>
          <w:rFonts w:ascii="仿宋" w:hAnsi="仿宋" w:eastAsia="仿宋"/>
          <w:color w:val="000000"/>
          <w:sz w:val="32"/>
          <w:szCs w:val="32"/>
        </w:rPr>
        <w:t>201</w:t>
      </w:r>
      <w:r>
        <w:rPr>
          <w:rFonts w:hint="eastAsia" w:ascii="仿宋" w:hAnsi="仿宋" w:eastAsia="仿宋"/>
          <w:color w:val="000000"/>
          <w:sz w:val="32"/>
          <w:szCs w:val="32"/>
        </w:rPr>
        <w:t>8年相比，财政拨款收、支总计各增加935.61万元，增长2.2</w:t>
      </w:r>
      <w:r>
        <w:rPr>
          <w:rFonts w:ascii="仿宋" w:hAnsi="仿宋" w:eastAsia="仿宋"/>
          <w:color w:val="000000"/>
          <w:sz w:val="32"/>
          <w:szCs w:val="32"/>
        </w:rPr>
        <w:t>%</w:t>
      </w:r>
      <w:r>
        <w:rPr>
          <w:rFonts w:hint="eastAsia" w:ascii="仿宋" w:hAnsi="仿宋" w:eastAsia="仿宋"/>
          <w:color w:val="000000"/>
          <w:sz w:val="32"/>
          <w:szCs w:val="32"/>
        </w:rPr>
        <w:t>。主要变动原因是</w:t>
      </w:r>
      <w:r>
        <w:rPr>
          <w:rFonts w:hint="eastAsia" w:ascii="仿宋_GB2312" w:hAnsi="仿宋_GB2312" w:eastAsia="仿宋_GB2312" w:cs="仿宋_GB2312"/>
          <w:color w:val="000000"/>
          <w:sz w:val="32"/>
          <w:szCs w:val="32"/>
        </w:rPr>
        <w:t>主要变动原因是省级专项资金下达金额和数量增加</w:t>
      </w:r>
    </w:p>
    <w:p>
      <w:pPr>
        <w:spacing w:line="600" w:lineRule="exact"/>
        <w:rPr>
          <w:rFonts w:ascii="仿宋" w:hAnsi="仿宋" w:eastAsia="仿宋"/>
          <w:color w:val="000000"/>
          <w:sz w:val="32"/>
          <w:szCs w:val="32"/>
        </w:rPr>
      </w:pPr>
    </w:p>
    <w:p>
      <w:pPr>
        <w:spacing w:line="600" w:lineRule="exact"/>
        <w:rPr>
          <w:rFonts w:ascii="仿宋" w:hAnsi="仿宋" w:eastAsia="仿宋"/>
          <w:b/>
          <w:bCs/>
          <w:color w:val="auto"/>
          <w:sz w:val="32"/>
          <w:szCs w:val="32"/>
        </w:rPr>
      </w:pPr>
      <w:r>
        <w:rPr>
          <w:rFonts w:hint="eastAsia" w:ascii="仿宋" w:hAnsi="仿宋" w:eastAsia="仿宋"/>
          <w:b/>
          <w:bCs/>
          <w:color w:val="auto"/>
          <w:sz w:val="32"/>
          <w:szCs w:val="32"/>
        </w:rPr>
        <w:t>（图4：财政拨款收、支决算总计变动情况）（柱状图）</w:t>
      </w:r>
    </w:p>
    <w:p>
      <w:pPr>
        <w:spacing w:line="600" w:lineRule="exact"/>
        <w:ind w:firstLine="640"/>
        <w:rPr>
          <w:rFonts w:ascii="仿宋" w:hAnsi="仿宋" w:eastAsia="仿宋"/>
          <w:b/>
          <w:color w:val="00B050"/>
          <w:sz w:val="32"/>
          <w:szCs w:val="32"/>
        </w:rPr>
      </w:pPr>
      <w:r>
        <w:rPr>
          <w:rFonts w:hint="eastAsia" w:ascii="仿宋" w:hAnsi="仿宋" w:eastAsia="仿宋" w:cs="仿宋"/>
          <w:b/>
          <w:color w:val="000000"/>
          <w:sz w:val="32"/>
          <w:szCs w:val="32"/>
        </w:rPr>
        <w:drawing>
          <wp:anchor distT="0" distB="0" distL="114300" distR="114300" simplePos="0" relativeHeight="251662336" behindDoc="1" locked="0" layoutInCell="1" allowOverlap="1">
            <wp:simplePos x="0" y="0"/>
            <wp:positionH relativeFrom="column">
              <wp:posOffset>318770</wp:posOffset>
            </wp:positionH>
            <wp:positionV relativeFrom="paragraph">
              <wp:posOffset>228600</wp:posOffset>
            </wp:positionV>
            <wp:extent cx="4947920" cy="2331720"/>
            <wp:effectExtent l="0" t="0" r="0" b="0"/>
            <wp:wrapTight wrapText="bothSides">
              <wp:wrapPolygon>
                <wp:start x="0" y="0"/>
                <wp:lineTo x="0" y="21529"/>
                <wp:lineTo x="21539" y="21529"/>
                <wp:lineTo x="21539" y="0"/>
                <wp:lineTo x="0" y="0"/>
              </wp:wrapPolygon>
            </wp:wrapTight>
            <wp:docPr id="6" name="对象 5"/>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anchor>
        </w:drawing>
      </w:r>
    </w:p>
    <w:p>
      <w:pPr>
        <w:spacing w:line="600" w:lineRule="exact"/>
        <w:ind w:firstLine="640"/>
        <w:rPr>
          <w:rFonts w:hint="eastAsia" w:ascii="仿宋" w:hAnsi="仿宋" w:eastAsia="仿宋"/>
          <w:b/>
          <w:color w:val="00B050"/>
          <w:sz w:val="32"/>
          <w:szCs w:val="32"/>
        </w:rPr>
      </w:pPr>
    </w:p>
    <w:p>
      <w:pPr>
        <w:spacing w:line="600" w:lineRule="exact"/>
        <w:ind w:firstLine="640" w:firstLineChars="200"/>
        <w:outlineLvl w:val="1"/>
        <w:rPr>
          <w:rStyle w:val="25"/>
          <w:rFonts w:ascii="黑体" w:hAnsi="黑体" w:eastAsia="黑体"/>
          <w:b w:val="0"/>
        </w:rPr>
      </w:pPr>
      <w:bookmarkStart w:id="28" w:name="_Toc15396607"/>
      <w:bookmarkStart w:id="29" w:name="_Toc15377209"/>
      <w:r>
        <w:rPr>
          <w:rFonts w:hint="eastAsia" w:ascii="黑体" w:hAnsi="黑体" w:eastAsia="黑体"/>
          <w:color w:val="000000"/>
          <w:sz w:val="32"/>
          <w:szCs w:val="32"/>
        </w:rPr>
        <w:t>五、</w:t>
      </w:r>
      <w:r>
        <w:rPr>
          <w:rFonts w:hint="eastAsia" w:ascii="黑体" w:hAnsi="黑体" w:eastAsia="黑体"/>
          <w:b/>
          <w:color w:val="000000"/>
          <w:sz w:val="32"/>
          <w:szCs w:val="32"/>
        </w:rPr>
        <w:t>一</w:t>
      </w:r>
      <w:r>
        <w:rPr>
          <w:rStyle w:val="25"/>
          <w:rFonts w:hint="eastAsia" w:ascii="黑体" w:hAnsi="黑体" w:eastAsia="黑体"/>
          <w:b w:val="0"/>
        </w:rPr>
        <w:t>般公共预算财政拨款支出决算情况说明</w:t>
      </w:r>
      <w:bookmarkEnd w:id="28"/>
      <w:bookmarkEnd w:id="29"/>
    </w:p>
    <w:p>
      <w:pPr>
        <w:spacing w:line="600" w:lineRule="exact"/>
        <w:ind w:firstLine="643" w:firstLineChars="200"/>
        <w:outlineLvl w:val="2"/>
        <w:rPr>
          <w:rFonts w:ascii="仿宋" w:hAnsi="仿宋" w:eastAsia="仿宋"/>
          <w:b/>
          <w:color w:val="000000"/>
          <w:sz w:val="32"/>
          <w:szCs w:val="32"/>
        </w:rPr>
      </w:pPr>
      <w:bookmarkStart w:id="30" w:name="_Toc15377210"/>
      <w:r>
        <w:rPr>
          <w:rFonts w:hint="eastAsia" w:ascii="仿宋" w:hAnsi="仿宋" w:eastAsia="仿宋"/>
          <w:b/>
          <w:color w:val="000000"/>
          <w:sz w:val="32"/>
          <w:szCs w:val="32"/>
        </w:rPr>
        <w:t>（一）一般公共预算财政拨款支出决算总体情况</w:t>
      </w:r>
      <w:bookmarkEnd w:id="30"/>
    </w:p>
    <w:p>
      <w:pPr>
        <w:spacing w:line="600" w:lineRule="exact"/>
        <w:ind w:firstLine="640" w:firstLineChars="200"/>
        <w:rPr>
          <w:rFonts w:ascii="仿宋" w:hAnsi="仿宋" w:eastAsia="仿宋"/>
          <w:color w:val="auto"/>
          <w:sz w:val="32"/>
          <w:szCs w:val="32"/>
        </w:rPr>
      </w:pPr>
      <w:r>
        <w:rPr>
          <w:rFonts w:ascii="仿宋" w:hAnsi="仿宋" w:eastAsia="仿宋"/>
          <w:color w:val="000000"/>
          <w:sz w:val="32"/>
          <w:szCs w:val="32"/>
        </w:rPr>
        <w:t>201</w:t>
      </w:r>
      <w:r>
        <w:rPr>
          <w:rFonts w:hint="eastAsia" w:ascii="仿宋" w:hAnsi="仿宋" w:eastAsia="仿宋"/>
          <w:color w:val="000000"/>
          <w:sz w:val="32"/>
          <w:szCs w:val="32"/>
        </w:rPr>
        <w:t>9年一般公共预算财政拨款支出35,795.71万元，占本年支出合计的82.35</w:t>
      </w:r>
      <w:r>
        <w:rPr>
          <w:rFonts w:ascii="仿宋" w:hAnsi="仿宋" w:eastAsia="仿宋"/>
          <w:color w:val="000000"/>
          <w:sz w:val="32"/>
          <w:szCs w:val="32"/>
        </w:rPr>
        <w:t>%</w:t>
      </w:r>
      <w:r>
        <w:rPr>
          <w:rFonts w:hint="eastAsia" w:ascii="仿宋" w:hAnsi="仿宋" w:eastAsia="仿宋"/>
          <w:color w:val="000000"/>
          <w:sz w:val="32"/>
          <w:szCs w:val="32"/>
        </w:rPr>
        <w:t>。与</w:t>
      </w:r>
      <w:r>
        <w:rPr>
          <w:rFonts w:ascii="仿宋" w:hAnsi="仿宋" w:eastAsia="仿宋"/>
          <w:color w:val="000000"/>
          <w:sz w:val="32"/>
          <w:szCs w:val="32"/>
        </w:rPr>
        <w:t>201</w:t>
      </w:r>
      <w:r>
        <w:rPr>
          <w:rFonts w:hint="eastAsia" w:ascii="仿宋" w:hAnsi="仿宋" w:eastAsia="仿宋"/>
          <w:color w:val="000000"/>
          <w:sz w:val="32"/>
          <w:szCs w:val="32"/>
        </w:rPr>
        <w:t>8年相比，一般公共预算财政拨款增加1139.77万元，增长3.28</w:t>
      </w:r>
      <w:r>
        <w:rPr>
          <w:rFonts w:ascii="仿宋" w:hAnsi="仿宋" w:eastAsia="仿宋"/>
          <w:color w:val="000000"/>
          <w:sz w:val="32"/>
          <w:szCs w:val="32"/>
        </w:rPr>
        <w:t>%</w:t>
      </w:r>
      <w:r>
        <w:rPr>
          <w:rFonts w:hint="eastAsia" w:ascii="仿宋" w:hAnsi="仿宋" w:eastAsia="仿宋"/>
          <w:color w:val="000000"/>
          <w:sz w:val="32"/>
          <w:szCs w:val="32"/>
        </w:rPr>
        <w:t>。</w:t>
      </w:r>
      <w:r>
        <w:rPr>
          <w:rFonts w:hint="eastAsia" w:ascii="仿宋_GB2312" w:hAnsi="仿宋_GB2312" w:eastAsia="仿宋_GB2312" w:cs="仿宋_GB2312"/>
          <w:color w:val="000000"/>
          <w:sz w:val="32"/>
          <w:szCs w:val="32"/>
        </w:rPr>
        <w:t>主要变动原因是20</w:t>
      </w:r>
      <w:r>
        <w:rPr>
          <w:rFonts w:hint="eastAsia" w:ascii="仿宋_GB2312" w:hAnsi="仿宋_GB2312" w:eastAsia="仿宋_GB2312" w:cs="仿宋_GB2312"/>
          <w:color w:val="000000"/>
          <w:sz w:val="32"/>
          <w:szCs w:val="32"/>
          <w:lang w:val="en-US" w:eastAsia="zh-CN"/>
        </w:rPr>
        <w:t>19</w:t>
      </w:r>
      <w:r>
        <w:rPr>
          <w:rFonts w:hint="eastAsia" w:ascii="仿宋_GB2312" w:hAnsi="仿宋_GB2312" w:eastAsia="仿宋_GB2312" w:cs="仿宋_GB2312"/>
          <w:color w:val="auto"/>
          <w:sz w:val="32"/>
          <w:szCs w:val="32"/>
        </w:rPr>
        <w:t>年</w:t>
      </w:r>
      <w:r>
        <w:rPr>
          <w:rFonts w:hint="eastAsia" w:ascii="仿宋_GB2312" w:hAnsi="仿宋_GB2312" w:eastAsia="仿宋_GB2312" w:cs="仿宋_GB2312"/>
          <w:color w:val="auto"/>
          <w:sz w:val="32"/>
          <w:szCs w:val="32"/>
          <w:lang w:eastAsia="zh-CN"/>
        </w:rPr>
        <w:t>举办了遂宁首届国际马拉松比赛</w:t>
      </w:r>
      <w:r>
        <w:rPr>
          <w:rFonts w:hint="eastAsia" w:ascii="仿宋_GB2312" w:hAnsi="仿宋_GB2312" w:eastAsia="仿宋_GB2312" w:cs="仿宋_GB2312"/>
          <w:color w:val="auto"/>
          <w:sz w:val="32"/>
          <w:szCs w:val="32"/>
        </w:rPr>
        <w:t>，奖金和参赛专项经费增加。</w:t>
      </w:r>
    </w:p>
    <w:p>
      <w:pPr>
        <w:spacing w:line="600" w:lineRule="exact"/>
        <w:ind w:firstLine="643" w:firstLineChars="200"/>
        <w:rPr>
          <w:rFonts w:hint="eastAsia" w:ascii="仿宋" w:hAnsi="仿宋" w:eastAsia="仿宋"/>
          <w:b/>
          <w:bCs/>
          <w:color w:val="auto"/>
          <w:sz w:val="32"/>
          <w:szCs w:val="32"/>
        </w:rPr>
      </w:pPr>
      <w:r>
        <w:rPr>
          <w:rFonts w:hint="eastAsia" w:ascii="仿宋" w:hAnsi="仿宋" w:eastAsia="仿宋" w:cs="仿宋"/>
          <w:b/>
          <w:bCs/>
          <w:color w:val="auto"/>
          <w:sz w:val="32"/>
          <w:szCs w:val="32"/>
        </w:rPr>
        <w:drawing>
          <wp:anchor distT="0" distB="0" distL="114300" distR="114300" simplePos="0" relativeHeight="251663360" behindDoc="1" locked="0" layoutInCell="1" allowOverlap="1">
            <wp:simplePos x="0" y="0"/>
            <wp:positionH relativeFrom="column">
              <wp:posOffset>257175</wp:posOffset>
            </wp:positionH>
            <wp:positionV relativeFrom="paragraph">
              <wp:posOffset>861695</wp:posOffset>
            </wp:positionV>
            <wp:extent cx="4754880" cy="2266950"/>
            <wp:effectExtent l="0" t="0" r="0" b="0"/>
            <wp:wrapTight wrapText="bothSides">
              <wp:wrapPolygon>
                <wp:start x="0" y="0"/>
                <wp:lineTo x="0" y="21418"/>
                <wp:lineTo x="21548" y="21418"/>
                <wp:lineTo x="21548" y="0"/>
                <wp:lineTo x="0" y="0"/>
              </wp:wrapPolygon>
            </wp:wrapTight>
            <wp:docPr id="7" name="对象 6"/>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anchor>
        </w:drawing>
      </w:r>
      <w:r>
        <w:rPr>
          <w:rFonts w:hint="eastAsia" w:ascii="仿宋" w:hAnsi="仿宋" w:eastAsia="仿宋"/>
          <w:b/>
          <w:bCs/>
          <w:color w:val="auto"/>
          <w:sz w:val="32"/>
          <w:szCs w:val="32"/>
        </w:rPr>
        <w:t>（图5：一般公共预算财政拨款支出决算变动情况）（柱状图）</w:t>
      </w:r>
    </w:p>
    <w:p>
      <w:pPr>
        <w:spacing w:line="600" w:lineRule="exact"/>
        <w:ind w:firstLine="643" w:firstLineChars="200"/>
        <w:outlineLvl w:val="2"/>
        <w:rPr>
          <w:rFonts w:ascii="仿宋" w:hAnsi="仿宋" w:eastAsia="仿宋"/>
          <w:b/>
          <w:color w:val="000000"/>
          <w:sz w:val="32"/>
          <w:szCs w:val="32"/>
        </w:rPr>
      </w:pPr>
      <w:bookmarkStart w:id="31" w:name="_Toc15377211"/>
      <w:r>
        <w:rPr>
          <w:rFonts w:hint="eastAsia" w:ascii="仿宋" w:hAnsi="仿宋" w:eastAsia="仿宋"/>
          <w:b/>
          <w:color w:val="000000"/>
          <w:sz w:val="32"/>
          <w:szCs w:val="32"/>
        </w:rPr>
        <w:t>（二）一般公共预算财政拨款支出决算结构情况</w:t>
      </w:r>
      <w:bookmarkEnd w:id="31"/>
    </w:p>
    <w:p>
      <w:pPr>
        <w:spacing w:line="600" w:lineRule="exact"/>
        <w:ind w:firstLine="640"/>
        <w:rPr>
          <w:rFonts w:ascii="仿宋" w:hAnsi="仿宋" w:eastAsia="仿宋"/>
          <w:b/>
          <w:color w:val="000000" w:themeColor="text1"/>
          <w:sz w:val="32"/>
          <w:szCs w:val="32"/>
          <w14:textFill>
            <w14:solidFill>
              <w14:schemeClr w14:val="tx1"/>
            </w14:solidFill>
          </w14:textFill>
        </w:rPr>
      </w:pPr>
      <w:r>
        <w:rPr>
          <w:rFonts w:ascii="仿宋" w:hAnsi="仿宋" w:eastAsia="仿宋"/>
          <w:color w:val="000000"/>
          <w:sz w:val="32"/>
          <w:szCs w:val="32"/>
        </w:rPr>
        <w:t>201</w:t>
      </w:r>
      <w:r>
        <w:rPr>
          <w:rFonts w:hint="eastAsia" w:ascii="仿宋" w:hAnsi="仿宋" w:eastAsia="仿宋"/>
          <w:color w:val="000000"/>
          <w:sz w:val="32"/>
          <w:szCs w:val="32"/>
        </w:rPr>
        <w:t>9年一般公共预算财</w:t>
      </w:r>
      <w:r>
        <w:rPr>
          <w:rFonts w:hint="eastAsia" w:ascii="仿宋" w:hAnsi="仿宋" w:eastAsia="仿宋"/>
          <w:color w:val="000000" w:themeColor="text1"/>
          <w:sz w:val="32"/>
          <w:szCs w:val="32"/>
          <w14:textFill>
            <w14:solidFill>
              <w14:schemeClr w14:val="tx1"/>
            </w14:solidFill>
          </w14:textFill>
        </w:rPr>
        <w:t>政拨款支出</w:t>
      </w:r>
      <w:r>
        <w:rPr>
          <w:rFonts w:hint="eastAsia" w:ascii="仿宋" w:hAnsi="仿宋" w:eastAsia="仿宋"/>
          <w:color w:val="000000"/>
          <w:sz w:val="32"/>
          <w:szCs w:val="32"/>
        </w:rPr>
        <w:t>35,795.71</w:t>
      </w:r>
      <w:r>
        <w:rPr>
          <w:rFonts w:hint="eastAsia" w:ascii="仿宋" w:hAnsi="仿宋" w:eastAsia="仿宋"/>
          <w:color w:val="000000" w:themeColor="text1"/>
          <w:sz w:val="32"/>
          <w:szCs w:val="32"/>
          <w14:textFill>
            <w14:solidFill>
              <w14:schemeClr w14:val="tx1"/>
            </w14:solidFill>
          </w14:textFill>
        </w:rPr>
        <w:t>万元，主要用于以下方面</w:t>
      </w:r>
      <w:r>
        <w:rPr>
          <w:rFonts w:ascii="仿宋" w:hAnsi="仿宋" w:eastAsia="仿宋"/>
          <w:color w:val="000000" w:themeColor="text1"/>
          <w:sz w:val="32"/>
          <w:szCs w:val="32"/>
          <w14:textFill>
            <w14:solidFill>
              <w14:schemeClr w14:val="tx1"/>
            </w14:solidFill>
          </w14:textFill>
        </w:rPr>
        <w:t>:</w:t>
      </w:r>
      <w:r>
        <w:rPr>
          <w:rFonts w:hint="eastAsia" w:ascii="仿宋" w:hAnsi="仿宋" w:eastAsia="仿宋"/>
          <w:b/>
          <w:color w:val="000000" w:themeColor="text1"/>
          <w:sz w:val="32"/>
          <w:szCs w:val="32"/>
          <w14:textFill>
            <w14:solidFill>
              <w14:schemeClr w14:val="tx1"/>
            </w14:solidFill>
          </w14:textFill>
        </w:rPr>
        <w:t>一般公共服务（类）</w:t>
      </w:r>
      <w:r>
        <w:rPr>
          <w:rFonts w:hint="eastAsia" w:ascii="仿宋" w:hAnsi="仿宋" w:eastAsia="仿宋"/>
          <w:color w:val="000000" w:themeColor="text1"/>
          <w:sz w:val="32"/>
          <w:szCs w:val="32"/>
          <w14:textFill>
            <w14:solidFill>
              <w14:schemeClr w14:val="tx1"/>
            </w14:solidFill>
          </w14:textFill>
        </w:rPr>
        <w:t>支出10万元，占0.03</w:t>
      </w:r>
      <w:r>
        <w:rPr>
          <w:rFonts w:ascii="仿宋" w:hAnsi="仿宋" w:eastAsia="仿宋"/>
          <w:color w:val="000000" w:themeColor="text1"/>
          <w:sz w:val="32"/>
          <w:szCs w:val="32"/>
          <w14:textFill>
            <w14:solidFill>
              <w14:schemeClr w14:val="tx1"/>
            </w14:solidFill>
          </w14:textFill>
        </w:rPr>
        <w:t>%</w:t>
      </w:r>
      <w:r>
        <w:rPr>
          <w:rFonts w:hint="eastAsia" w:ascii="仿宋" w:hAnsi="仿宋" w:eastAsia="仿宋"/>
          <w:color w:val="000000" w:themeColor="text1"/>
          <w:sz w:val="32"/>
          <w:szCs w:val="32"/>
          <w14:textFill>
            <w14:solidFill>
              <w14:schemeClr w14:val="tx1"/>
            </w14:solidFill>
          </w14:textFill>
        </w:rPr>
        <w:t>；</w:t>
      </w:r>
      <w:r>
        <w:rPr>
          <w:rFonts w:hint="eastAsia" w:ascii="仿宋" w:hAnsi="仿宋" w:eastAsia="仿宋"/>
          <w:b/>
          <w:color w:val="000000" w:themeColor="text1"/>
          <w:sz w:val="32"/>
          <w:szCs w:val="32"/>
          <w14:textFill>
            <w14:solidFill>
              <w14:schemeClr w14:val="tx1"/>
            </w14:solidFill>
          </w14:textFill>
        </w:rPr>
        <w:t>教育支出（类）</w:t>
      </w:r>
      <w:r>
        <w:rPr>
          <w:rFonts w:hint="eastAsia" w:ascii="仿宋" w:hAnsi="仿宋" w:eastAsia="仿宋"/>
          <w:color w:val="000000" w:themeColor="text1"/>
          <w:sz w:val="32"/>
          <w:szCs w:val="32"/>
          <w14:textFill>
            <w14:solidFill>
              <w14:schemeClr w14:val="tx1"/>
            </w14:solidFill>
          </w14:textFill>
        </w:rPr>
        <w:t>28，816.73万元，占80.61</w:t>
      </w:r>
      <w:r>
        <w:rPr>
          <w:rFonts w:ascii="仿宋" w:hAnsi="仿宋" w:eastAsia="仿宋"/>
          <w:color w:val="000000" w:themeColor="text1"/>
          <w:sz w:val="32"/>
          <w:szCs w:val="32"/>
          <w14:textFill>
            <w14:solidFill>
              <w14:schemeClr w14:val="tx1"/>
            </w14:solidFill>
          </w14:textFill>
        </w:rPr>
        <w:t>%</w:t>
      </w:r>
      <w:r>
        <w:rPr>
          <w:rFonts w:hint="eastAsia" w:ascii="仿宋" w:hAnsi="仿宋" w:eastAsia="仿宋"/>
          <w:color w:val="000000" w:themeColor="text1"/>
          <w:sz w:val="32"/>
          <w:szCs w:val="32"/>
          <w14:textFill>
            <w14:solidFill>
              <w14:schemeClr w14:val="tx1"/>
            </w14:solidFill>
          </w14:textFill>
        </w:rPr>
        <w:t>；</w:t>
      </w:r>
      <w:r>
        <w:rPr>
          <w:rFonts w:hint="eastAsia" w:ascii="仿宋" w:hAnsi="仿宋" w:eastAsia="仿宋"/>
          <w:b/>
          <w:color w:val="000000" w:themeColor="text1"/>
          <w:sz w:val="32"/>
          <w:szCs w:val="32"/>
          <w14:textFill>
            <w14:solidFill>
              <w14:schemeClr w14:val="tx1"/>
            </w14:solidFill>
          </w14:textFill>
        </w:rPr>
        <w:t>科学技术（类）</w:t>
      </w:r>
      <w:r>
        <w:rPr>
          <w:rFonts w:hint="eastAsia" w:ascii="仿宋" w:hAnsi="仿宋" w:eastAsia="仿宋"/>
          <w:color w:val="000000" w:themeColor="text1"/>
          <w:sz w:val="32"/>
          <w:szCs w:val="32"/>
          <w14:textFill>
            <w14:solidFill>
              <w14:schemeClr w14:val="tx1"/>
            </w14:solidFill>
          </w14:textFill>
        </w:rPr>
        <w:t>支出0万元，占0</w:t>
      </w:r>
      <w:r>
        <w:rPr>
          <w:rFonts w:ascii="仿宋" w:hAnsi="仿宋" w:eastAsia="仿宋"/>
          <w:color w:val="000000" w:themeColor="text1"/>
          <w:sz w:val="32"/>
          <w:szCs w:val="32"/>
          <w14:textFill>
            <w14:solidFill>
              <w14:schemeClr w14:val="tx1"/>
            </w14:solidFill>
          </w14:textFill>
        </w:rPr>
        <w:t>%</w:t>
      </w:r>
      <w:r>
        <w:rPr>
          <w:rFonts w:hint="eastAsia" w:ascii="仿宋" w:hAnsi="仿宋" w:eastAsia="仿宋"/>
          <w:color w:val="000000" w:themeColor="text1"/>
          <w:sz w:val="32"/>
          <w:szCs w:val="32"/>
          <w14:textFill>
            <w14:solidFill>
              <w14:schemeClr w14:val="tx1"/>
            </w14:solidFill>
          </w14:textFill>
        </w:rPr>
        <w:t>；</w:t>
      </w:r>
      <w:r>
        <w:rPr>
          <w:rFonts w:hint="eastAsia" w:ascii="仿宋" w:hAnsi="仿宋" w:eastAsia="仿宋"/>
          <w:b/>
          <w:bCs/>
          <w:color w:val="000000" w:themeColor="text1"/>
          <w:sz w:val="32"/>
          <w:szCs w:val="32"/>
          <w14:textFill>
            <w14:solidFill>
              <w14:schemeClr w14:val="tx1"/>
            </w14:solidFill>
          </w14:textFill>
        </w:rPr>
        <w:t>文化旅游体育与传媒（类）支出2059.45万元，占5.8</w:t>
      </w:r>
      <w:r>
        <w:rPr>
          <w:rFonts w:ascii="仿宋" w:hAnsi="仿宋" w:eastAsia="仿宋"/>
          <w:b/>
          <w:bCs/>
          <w:color w:val="000000" w:themeColor="text1"/>
          <w:sz w:val="32"/>
          <w:szCs w:val="32"/>
          <w14:textFill>
            <w14:solidFill>
              <w14:schemeClr w14:val="tx1"/>
            </w14:solidFill>
          </w14:textFill>
        </w:rPr>
        <w:t>%</w:t>
      </w:r>
      <w:r>
        <w:rPr>
          <w:rFonts w:hint="eastAsia" w:ascii="仿宋" w:hAnsi="仿宋" w:eastAsia="仿宋"/>
          <w:color w:val="000000" w:themeColor="text1"/>
          <w:sz w:val="32"/>
          <w:szCs w:val="32"/>
          <w14:textFill>
            <w14:solidFill>
              <w14:schemeClr w14:val="tx1"/>
            </w14:solidFill>
          </w14:textFill>
        </w:rPr>
        <w:t>；</w:t>
      </w:r>
      <w:r>
        <w:rPr>
          <w:rFonts w:hint="eastAsia" w:ascii="仿宋" w:hAnsi="仿宋" w:eastAsia="仿宋"/>
          <w:b/>
          <w:color w:val="000000" w:themeColor="text1"/>
          <w:sz w:val="32"/>
          <w:szCs w:val="32"/>
          <w14:textFill>
            <w14:solidFill>
              <w14:schemeClr w14:val="tx1"/>
            </w14:solidFill>
          </w14:textFill>
        </w:rPr>
        <w:t>社会保障和就业（类）</w:t>
      </w:r>
      <w:r>
        <w:rPr>
          <w:rFonts w:hint="eastAsia" w:ascii="仿宋" w:hAnsi="仿宋" w:eastAsia="仿宋"/>
          <w:color w:val="000000" w:themeColor="text1"/>
          <w:sz w:val="32"/>
          <w:szCs w:val="32"/>
          <w14:textFill>
            <w14:solidFill>
              <w14:schemeClr w14:val="tx1"/>
            </w14:solidFill>
          </w14:textFill>
        </w:rPr>
        <w:t>支出1693.13万元，占4.74</w:t>
      </w:r>
      <w:r>
        <w:rPr>
          <w:rFonts w:ascii="仿宋" w:hAnsi="仿宋" w:eastAsia="仿宋"/>
          <w:color w:val="000000" w:themeColor="text1"/>
          <w:sz w:val="32"/>
          <w:szCs w:val="32"/>
          <w14:textFill>
            <w14:solidFill>
              <w14:schemeClr w14:val="tx1"/>
            </w14:solidFill>
          </w14:textFill>
        </w:rPr>
        <w:t>%</w:t>
      </w:r>
      <w:r>
        <w:rPr>
          <w:rFonts w:hint="eastAsia" w:ascii="仿宋" w:hAnsi="仿宋" w:eastAsia="仿宋"/>
          <w:color w:val="000000" w:themeColor="text1"/>
          <w:sz w:val="32"/>
          <w:szCs w:val="32"/>
          <w14:textFill>
            <w14:solidFill>
              <w14:schemeClr w14:val="tx1"/>
            </w14:solidFill>
          </w14:textFill>
        </w:rPr>
        <w:t>；</w:t>
      </w:r>
      <w:r>
        <w:rPr>
          <w:rFonts w:hint="eastAsia" w:ascii="仿宋" w:hAnsi="仿宋" w:eastAsia="仿宋"/>
          <w:b/>
          <w:bCs/>
          <w:color w:val="000000" w:themeColor="text1"/>
          <w:sz w:val="32"/>
          <w:szCs w:val="32"/>
          <w14:textFill>
            <w14:solidFill>
              <w14:schemeClr w14:val="tx1"/>
            </w14:solidFill>
          </w14:textFill>
        </w:rPr>
        <w:t>卫生健康支出</w:t>
      </w:r>
      <w:r>
        <w:rPr>
          <w:rFonts w:hint="eastAsia" w:ascii="仿宋" w:hAnsi="仿宋" w:eastAsia="仿宋"/>
          <w:color w:val="000000" w:themeColor="text1"/>
          <w:sz w:val="32"/>
          <w:szCs w:val="32"/>
          <w14:textFill>
            <w14:solidFill>
              <w14:schemeClr w14:val="tx1"/>
            </w14:solidFill>
          </w14:textFill>
        </w:rPr>
        <w:t>1140.83万元，占3.2</w:t>
      </w:r>
      <w:r>
        <w:rPr>
          <w:rFonts w:ascii="仿宋" w:hAnsi="仿宋" w:eastAsia="仿宋"/>
          <w:color w:val="000000" w:themeColor="text1"/>
          <w:sz w:val="32"/>
          <w:szCs w:val="32"/>
          <w14:textFill>
            <w14:solidFill>
              <w14:schemeClr w14:val="tx1"/>
            </w14:solidFill>
          </w14:textFill>
        </w:rPr>
        <w:t>%</w:t>
      </w:r>
      <w:r>
        <w:rPr>
          <w:rFonts w:hint="eastAsia" w:ascii="仿宋" w:hAnsi="仿宋" w:eastAsia="仿宋"/>
          <w:color w:val="000000" w:themeColor="text1"/>
          <w:sz w:val="32"/>
          <w:szCs w:val="32"/>
          <w14:textFill>
            <w14:solidFill>
              <w14:schemeClr w14:val="tx1"/>
            </w14:solidFill>
          </w14:textFill>
        </w:rPr>
        <w:t>；住房保障支出2004.79万元，占5.62</w:t>
      </w:r>
      <w:r>
        <w:rPr>
          <w:rFonts w:ascii="仿宋" w:hAnsi="仿宋" w:eastAsia="仿宋"/>
          <w:color w:val="000000" w:themeColor="text1"/>
          <w:sz w:val="32"/>
          <w:szCs w:val="32"/>
          <w14:textFill>
            <w14:solidFill>
              <w14:schemeClr w14:val="tx1"/>
            </w14:solidFill>
          </w14:textFill>
        </w:rPr>
        <w:t>%</w:t>
      </w:r>
      <w:r>
        <w:rPr>
          <w:rFonts w:hint="eastAsia" w:ascii="仿宋" w:hAnsi="仿宋" w:eastAsia="仿宋"/>
          <w:color w:val="000000" w:themeColor="text1"/>
          <w:sz w:val="32"/>
          <w:szCs w:val="32"/>
          <w14:textFill>
            <w14:solidFill>
              <w14:schemeClr w14:val="tx1"/>
            </w14:solidFill>
          </w14:textFill>
        </w:rPr>
        <w:t>；</w:t>
      </w:r>
      <w:r>
        <w:rPr>
          <w:rFonts w:ascii="仿宋" w:hAnsi="仿宋" w:eastAsia="仿宋"/>
          <w:color w:val="000000" w:themeColor="text1"/>
          <w:sz w:val="32"/>
          <w:szCs w:val="32"/>
          <w14:textFill>
            <w14:solidFill>
              <w14:schemeClr w14:val="tx1"/>
            </w14:solidFill>
          </w14:textFill>
        </w:rPr>
        <w:t>…</w:t>
      </w:r>
      <w:r>
        <w:rPr>
          <w:rFonts w:hint="eastAsia" w:ascii="仿宋" w:hAnsi="仿宋" w:eastAsia="仿宋"/>
          <w:color w:val="000000" w:themeColor="text1"/>
          <w:sz w:val="32"/>
          <w:szCs w:val="32"/>
          <w14:textFill>
            <w14:solidFill>
              <w14:schemeClr w14:val="tx1"/>
            </w14:solidFill>
          </w14:textFill>
        </w:rPr>
        <w:t>。</w:t>
      </w:r>
      <w:r>
        <w:rPr>
          <w:rFonts w:hint="eastAsia" w:ascii="仿宋" w:hAnsi="仿宋" w:eastAsia="仿宋"/>
          <w:b/>
          <w:color w:val="000000" w:themeColor="text1"/>
          <w:sz w:val="32"/>
          <w:szCs w:val="32"/>
          <w14:textFill>
            <w14:solidFill>
              <w14:schemeClr w14:val="tx1"/>
            </w14:solidFill>
          </w14:textFill>
        </w:rPr>
        <w:t>（罗列全部功能分类科目，至类级。）</w:t>
      </w:r>
    </w:p>
    <w:p>
      <w:pPr>
        <w:spacing w:line="600" w:lineRule="exact"/>
        <w:ind w:firstLine="640"/>
        <w:rPr>
          <w:rFonts w:ascii="仿宋" w:hAnsi="仿宋" w:eastAsia="仿宋"/>
          <w:color w:val="000000" w:themeColor="text1"/>
          <w:sz w:val="32"/>
          <w:szCs w:val="32"/>
          <w14:textFill>
            <w14:solidFill>
              <w14:schemeClr w14:val="tx1"/>
            </w14:solidFill>
          </w14:textFill>
        </w:rPr>
      </w:pPr>
    </w:p>
    <w:p>
      <w:pPr>
        <w:spacing w:line="600" w:lineRule="exact"/>
        <w:ind w:firstLine="643" w:firstLineChars="200"/>
        <w:rPr>
          <w:rFonts w:ascii="仿宋" w:hAnsi="仿宋" w:eastAsia="仿宋"/>
          <w:b/>
          <w:bCs/>
          <w:color w:val="auto"/>
          <w:sz w:val="32"/>
          <w:szCs w:val="32"/>
        </w:rPr>
      </w:pPr>
      <w:r>
        <w:rPr>
          <w:rFonts w:hint="eastAsia" w:ascii="仿宋" w:hAnsi="仿宋" w:eastAsia="仿宋"/>
          <w:b/>
          <w:bCs/>
          <w:color w:val="auto"/>
          <w:sz w:val="32"/>
          <w:szCs w:val="32"/>
        </w:rPr>
        <w:t>（图6：一般公共预算财政拨款支出决算结构）（饼状图）</w:t>
      </w:r>
    </w:p>
    <w:p>
      <w:pPr>
        <w:spacing w:line="600" w:lineRule="exact"/>
        <w:ind w:firstLine="640" w:firstLineChars="200"/>
        <w:rPr>
          <w:rFonts w:ascii="仿宋" w:hAnsi="仿宋" w:eastAsia="仿宋"/>
          <w:color w:val="000000"/>
          <w:sz w:val="32"/>
          <w:szCs w:val="32"/>
        </w:rPr>
      </w:pPr>
      <w:r>
        <w:rPr>
          <w:rFonts w:hint="eastAsia" w:ascii="仿宋" w:hAnsi="仿宋" w:eastAsia="仿宋" w:cs="仿宋"/>
          <w:bCs/>
          <w:color w:val="000000"/>
          <w:sz w:val="32"/>
          <w:szCs w:val="32"/>
        </w:rPr>
        <w:drawing>
          <wp:anchor distT="0" distB="0" distL="114300" distR="114300" simplePos="0" relativeHeight="251664384" behindDoc="1" locked="0" layoutInCell="1" allowOverlap="1">
            <wp:simplePos x="0" y="0"/>
            <wp:positionH relativeFrom="column">
              <wp:posOffset>0</wp:posOffset>
            </wp:positionH>
            <wp:positionV relativeFrom="paragraph">
              <wp:posOffset>128270</wp:posOffset>
            </wp:positionV>
            <wp:extent cx="5276850" cy="2886075"/>
            <wp:effectExtent l="0" t="0" r="0" b="0"/>
            <wp:wrapTight wrapText="bothSides">
              <wp:wrapPolygon>
                <wp:start x="0" y="0"/>
                <wp:lineTo x="0" y="21529"/>
                <wp:lineTo x="21522" y="21529"/>
                <wp:lineTo x="21522" y="0"/>
                <wp:lineTo x="0" y="0"/>
              </wp:wrapPolygon>
            </wp:wrapTight>
            <wp:docPr id="8" name="对象 7"/>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anchor>
        </w:drawing>
      </w:r>
    </w:p>
    <w:p>
      <w:pPr>
        <w:spacing w:line="600" w:lineRule="exact"/>
        <w:ind w:firstLine="643" w:firstLineChars="200"/>
        <w:rPr>
          <w:rStyle w:val="14"/>
          <w:rFonts w:ascii="仿宋" w:hAnsi="仿宋" w:eastAsia="仿宋" w:cs="Times New Roman"/>
          <w:bCs/>
          <w:color w:val="000000"/>
          <w:sz w:val="32"/>
          <w:szCs w:val="32"/>
        </w:rPr>
      </w:pPr>
      <w:bookmarkStart w:id="32" w:name="_Toc15377212"/>
      <w:bookmarkStart w:id="33" w:name="_Toc15377217"/>
      <w:r>
        <w:rPr>
          <w:rStyle w:val="14"/>
          <w:rFonts w:hint="eastAsia" w:ascii="仿宋" w:hAnsi="仿宋" w:eastAsia="仿宋" w:cs="Times New Roman"/>
          <w:bCs/>
          <w:color w:val="000000"/>
          <w:sz w:val="32"/>
          <w:szCs w:val="32"/>
        </w:rPr>
        <w:t>（三）一般公共预算财政拨款支出决算具体情况</w:t>
      </w:r>
      <w:bookmarkEnd w:id="32"/>
    </w:p>
    <w:p>
      <w:pPr>
        <w:spacing w:line="600" w:lineRule="exact"/>
        <w:ind w:firstLine="643" w:firstLineChars="200"/>
        <w:rPr>
          <w:rStyle w:val="14"/>
          <w:rFonts w:ascii="仿宋" w:hAnsi="仿宋" w:eastAsia="仿宋" w:cs="Times New Roman"/>
          <w:bCs/>
          <w:color w:val="000000"/>
          <w:sz w:val="32"/>
          <w:szCs w:val="32"/>
        </w:rPr>
      </w:pPr>
      <w:bookmarkStart w:id="34" w:name="_Toc15377213"/>
      <w:bookmarkStart w:id="35" w:name="_Toc15377444"/>
      <w:bookmarkStart w:id="36" w:name="_Toc15378460"/>
      <w:r>
        <w:rPr>
          <w:rStyle w:val="14"/>
          <w:rFonts w:hint="eastAsia" w:ascii="仿宋" w:hAnsi="仿宋" w:eastAsia="仿宋" w:cs="Times New Roman"/>
          <w:bCs/>
          <w:color w:val="000000"/>
          <w:sz w:val="32"/>
          <w:szCs w:val="32"/>
        </w:rPr>
        <w:t>2019年</w:t>
      </w:r>
      <w:r>
        <w:rPr>
          <w:rStyle w:val="14"/>
          <w:rFonts w:hint="eastAsia" w:ascii="仿宋" w:hAnsi="仿宋" w:eastAsia="仿宋" w:cs="Times New Roman"/>
          <w:bCs/>
          <w:color w:val="000000"/>
          <w:sz w:val="32"/>
          <w:szCs w:val="32"/>
          <w:lang w:eastAsia="zh-CN"/>
        </w:rPr>
        <w:t>一</w:t>
      </w:r>
      <w:r>
        <w:rPr>
          <w:rStyle w:val="14"/>
          <w:rFonts w:hint="eastAsia" w:ascii="仿宋" w:hAnsi="仿宋" w:eastAsia="仿宋" w:cs="Times New Roman"/>
          <w:bCs/>
          <w:color w:val="000000"/>
          <w:sz w:val="32"/>
          <w:szCs w:val="32"/>
        </w:rPr>
        <w:t>般公共预算支出决算数为</w:t>
      </w:r>
      <w:r>
        <w:rPr>
          <w:rStyle w:val="14"/>
          <w:rFonts w:hint="eastAsia" w:ascii="仿宋" w:hAnsi="仿宋" w:eastAsia="仿宋" w:cs="Times New Roman"/>
          <w:bCs/>
          <w:color w:val="000000"/>
          <w:sz w:val="32"/>
          <w:szCs w:val="32"/>
          <w:lang w:val="en-US" w:eastAsia="zh-CN"/>
        </w:rPr>
        <w:t>35,795.71</w:t>
      </w:r>
      <w:r>
        <w:rPr>
          <w:rStyle w:val="14"/>
          <w:rFonts w:hint="eastAsia" w:ascii="仿宋" w:hAnsi="仿宋" w:eastAsia="仿宋" w:cs="Times New Roman"/>
          <w:bCs/>
          <w:color w:val="000000"/>
          <w:sz w:val="32"/>
          <w:szCs w:val="32"/>
        </w:rPr>
        <w:t>，完成预算</w:t>
      </w:r>
      <w:r>
        <w:rPr>
          <w:rStyle w:val="14"/>
          <w:rFonts w:hint="eastAsia" w:ascii="仿宋" w:hAnsi="仿宋" w:eastAsia="仿宋" w:cs="Times New Roman"/>
          <w:bCs/>
          <w:color w:val="000000"/>
          <w:sz w:val="32"/>
          <w:szCs w:val="32"/>
          <w:lang w:val="en-US" w:eastAsia="zh-CN"/>
        </w:rPr>
        <w:t>100</w:t>
      </w:r>
      <w:r>
        <w:rPr>
          <w:rStyle w:val="14"/>
          <w:rFonts w:ascii="仿宋" w:hAnsi="仿宋" w:eastAsia="仿宋" w:cs="Times New Roman"/>
          <w:bCs/>
          <w:color w:val="000000"/>
          <w:sz w:val="32"/>
          <w:szCs w:val="32"/>
        </w:rPr>
        <w:t>%</w:t>
      </w:r>
      <w:r>
        <w:rPr>
          <w:rStyle w:val="14"/>
          <w:rFonts w:hint="eastAsia" w:ascii="仿宋" w:hAnsi="仿宋" w:eastAsia="仿宋" w:cs="Times New Roman"/>
          <w:bCs/>
          <w:color w:val="000000"/>
          <w:sz w:val="32"/>
          <w:szCs w:val="32"/>
        </w:rPr>
        <w:t>。其中：</w:t>
      </w:r>
      <w:bookmarkEnd w:id="34"/>
      <w:bookmarkEnd w:id="35"/>
      <w:bookmarkEnd w:id="36"/>
    </w:p>
    <w:p>
      <w:pPr>
        <w:numPr>
          <w:ilvl w:val="0"/>
          <w:numId w:val="2"/>
        </w:numPr>
        <w:spacing w:line="600" w:lineRule="exact"/>
        <w:ind w:firstLine="643" w:firstLineChars="200"/>
        <w:rPr>
          <w:rStyle w:val="14"/>
          <w:rFonts w:ascii="仿宋" w:hAnsi="仿宋" w:eastAsia="仿宋" w:cs="Times New Roman"/>
          <w:b w:val="0"/>
          <w:bCs w:val="0"/>
          <w:color w:val="000000"/>
          <w:sz w:val="32"/>
          <w:szCs w:val="32"/>
        </w:rPr>
      </w:pPr>
      <w:r>
        <w:rPr>
          <w:rStyle w:val="14"/>
          <w:rFonts w:hint="eastAsia" w:ascii="仿宋" w:hAnsi="仿宋" w:eastAsia="仿宋" w:cs="Times New Roman"/>
          <w:bCs/>
          <w:color w:val="000000"/>
          <w:sz w:val="32"/>
          <w:szCs w:val="32"/>
        </w:rPr>
        <w:t>一般公共服务（类）</w:t>
      </w:r>
      <w:r>
        <w:rPr>
          <w:rStyle w:val="14"/>
          <w:rFonts w:hint="eastAsia" w:ascii="仿宋" w:hAnsi="仿宋" w:eastAsia="仿宋" w:cs="Times New Roman"/>
          <w:bCs/>
          <w:color w:val="000000"/>
          <w:sz w:val="32"/>
          <w:szCs w:val="32"/>
          <w:lang w:eastAsia="zh-CN"/>
        </w:rPr>
        <w:t>商贸事务</w:t>
      </w:r>
      <w:r>
        <w:rPr>
          <w:rStyle w:val="14"/>
          <w:rFonts w:hint="eastAsia" w:ascii="仿宋" w:hAnsi="仿宋" w:eastAsia="仿宋" w:cs="Times New Roman"/>
          <w:bCs/>
          <w:color w:val="000000"/>
          <w:sz w:val="32"/>
          <w:szCs w:val="32"/>
        </w:rPr>
        <w:t>（款）</w:t>
      </w:r>
      <w:r>
        <w:rPr>
          <w:rStyle w:val="14"/>
          <w:rFonts w:hint="eastAsia" w:ascii="仿宋" w:hAnsi="仿宋" w:eastAsia="仿宋" w:cs="Times New Roman"/>
          <w:bCs/>
          <w:color w:val="000000"/>
          <w:sz w:val="32"/>
          <w:szCs w:val="32"/>
          <w:lang w:eastAsia="zh-CN"/>
        </w:rPr>
        <w:t>招商引资</w:t>
      </w:r>
      <w:r>
        <w:rPr>
          <w:rStyle w:val="14"/>
          <w:rFonts w:hint="eastAsia" w:ascii="仿宋" w:hAnsi="仿宋" w:eastAsia="仿宋" w:cs="Times New Roman"/>
          <w:bCs/>
          <w:color w:val="000000"/>
          <w:sz w:val="32"/>
          <w:szCs w:val="32"/>
        </w:rPr>
        <w:t>（项）</w:t>
      </w:r>
      <w:r>
        <w:rPr>
          <w:rStyle w:val="14"/>
          <w:rFonts w:ascii="仿宋" w:hAnsi="仿宋" w:eastAsia="仿宋" w:cs="Times New Roman"/>
          <w:bCs/>
          <w:color w:val="000000"/>
          <w:sz w:val="32"/>
          <w:szCs w:val="32"/>
        </w:rPr>
        <w:t>:</w:t>
      </w:r>
      <w:r>
        <w:rPr>
          <w:rStyle w:val="14"/>
          <w:rFonts w:hint="eastAsia" w:ascii="仿宋" w:hAnsi="仿宋" w:eastAsia="仿宋" w:cs="Times New Roman"/>
          <w:b w:val="0"/>
          <w:bCs w:val="0"/>
          <w:color w:val="000000"/>
          <w:sz w:val="32"/>
          <w:szCs w:val="32"/>
        </w:rPr>
        <w:t>支出决算为</w:t>
      </w:r>
      <w:r>
        <w:rPr>
          <w:rStyle w:val="14"/>
          <w:rFonts w:hint="eastAsia" w:ascii="仿宋" w:hAnsi="仿宋" w:eastAsia="仿宋" w:cs="Times New Roman"/>
          <w:b w:val="0"/>
          <w:bCs w:val="0"/>
          <w:color w:val="000000"/>
          <w:sz w:val="32"/>
          <w:szCs w:val="32"/>
          <w:lang w:val="en-US" w:eastAsia="zh-CN"/>
        </w:rPr>
        <w:t>10</w:t>
      </w:r>
      <w:r>
        <w:rPr>
          <w:rStyle w:val="14"/>
          <w:rFonts w:hint="eastAsia" w:ascii="仿宋" w:hAnsi="仿宋" w:eastAsia="仿宋" w:cs="Times New Roman"/>
          <w:b w:val="0"/>
          <w:bCs w:val="0"/>
          <w:color w:val="000000"/>
          <w:sz w:val="32"/>
          <w:szCs w:val="32"/>
        </w:rPr>
        <w:t>万元，完成预算</w:t>
      </w:r>
      <w:r>
        <w:rPr>
          <w:rStyle w:val="14"/>
          <w:rFonts w:hint="eastAsia" w:ascii="仿宋" w:hAnsi="仿宋" w:eastAsia="仿宋" w:cs="Times New Roman"/>
          <w:b w:val="0"/>
          <w:bCs w:val="0"/>
          <w:color w:val="000000"/>
          <w:sz w:val="32"/>
          <w:szCs w:val="32"/>
          <w:lang w:val="en-US" w:eastAsia="zh-CN"/>
        </w:rPr>
        <w:t>100</w:t>
      </w:r>
      <w:r>
        <w:rPr>
          <w:rStyle w:val="14"/>
          <w:rFonts w:ascii="仿宋" w:hAnsi="仿宋" w:eastAsia="仿宋" w:cs="Times New Roman"/>
          <w:b w:val="0"/>
          <w:bCs w:val="0"/>
          <w:color w:val="000000"/>
          <w:sz w:val="32"/>
          <w:szCs w:val="32"/>
        </w:rPr>
        <w:t>%</w:t>
      </w:r>
      <w:r>
        <w:rPr>
          <w:rStyle w:val="14"/>
          <w:rFonts w:hint="eastAsia" w:ascii="仿宋" w:hAnsi="仿宋" w:eastAsia="仿宋" w:cs="Times New Roman"/>
          <w:b w:val="0"/>
          <w:bCs w:val="0"/>
          <w:color w:val="000000"/>
          <w:sz w:val="32"/>
          <w:szCs w:val="32"/>
          <w:lang w:eastAsia="zh-CN"/>
        </w:rPr>
        <w:t>。</w:t>
      </w:r>
    </w:p>
    <w:p>
      <w:pPr>
        <w:numPr>
          <w:ilvl w:val="0"/>
          <w:numId w:val="0"/>
        </w:numPr>
        <w:spacing w:line="600" w:lineRule="exact"/>
        <w:ind w:firstLine="643" w:firstLineChars="200"/>
        <w:rPr>
          <w:rStyle w:val="14"/>
          <w:rFonts w:ascii="仿宋" w:hAnsi="仿宋" w:eastAsia="仿宋" w:cs="Times New Roman"/>
          <w:bCs/>
          <w:color w:val="000000"/>
          <w:sz w:val="32"/>
          <w:szCs w:val="32"/>
        </w:rPr>
      </w:pPr>
      <w:r>
        <w:rPr>
          <w:rStyle w:val="14"/>
          <w:rFonts w:ascii="仿宋" w:hAnsi="仿宋" w:eastAsia="仿宋" w:cs="Times New Roman"/>
          <w:bCs/>
          <w:color w:val="000000"/>
          <w:sz w:val="32"/>
          <w:szCs w:val="32"/>
        </w:rPr>
        <w:t>2.</w:t>
      </w:r>
      <w:r>
        <w:rPr>
          <w:rStyle w:val="14"/>
          <w:rFonts w:hint="eastAsia" w:ascii="仿宋" w:hAnsi="仿宋" w:eastAsia="仿宋" w:cs="Times New Roman"/>
          <w:bCs/>
          <w:color w:val="000000"/>
          <w:sz w:val="32"/>
          <w:szCs w:val="32"/>
        </w:rPr>
        <w:t>教育支出</w:t>
      </w:r>
    </w:p>
    <w:p>
      <w:pPr>
        <w:spacing w:line="600" w:lineRule="exact"/>
        <w:ind w:firstLine="643" w:firstLineChars="200"/>
        <w:rPr>
          <w:rStyle w:val="14"/>
          <w:rFonts w:ascii="仿宋" w:hAnsi="仿宋" w:eastAsia="仿宋" w:cs="Times New Roman"/>
          <w:bCs/>
          <w:color w:val="000000"/>
          <w:sz w:val="32"/>
          <w:szCs w:val="32"/>
        </w:rPr>
      </w:pPr>
      <w:r>
        <w:rPr>
          <w:rStyle w:val="14"/>
          <w:rFonts w:hint="eastAsia" w:ascii="仿宋" w:hAnsi="仿宋" w:eastAsia="仿宋" w:cs="Times New Roman"/>
          <w:bCs/>
          <w:color w:val="000000"/>
          <w:sz w:val="32"/>
          <w:szCs w:val="32"/>
        </w:rPr>
        <w:t>（1）教育（类）教育管理事务（款）行政运行（项）:</w:t>
      </w:r>
      <w:r>
        <w:rPr>
          <w:rStyle w:val="14"/>
          <w:rFonts w:hint="eastAsia" w:ascii="仿宋" w:hAnsi="仿宋" w:eastAsia="仿宋" w:cs="Times New Roman"/>
          <w:b w:val="0"/>
          <w:bCs w:val="0"/>
          <w:color w:val="000000"/>
          <w:sz w:val="32"/>
          <w:szCs w:val="32"/>
          <w:lang w:eastAsia="zh-CN"/>
        </w:rPr>
        <w:t>支出</w:t>
      </w:r>
      <w:r>
        <w:rPr>
          <w:rStyle w:val="14"/>
          <w:rFonts w:hint="eastAsia" w:ascii="仿宋" w:hAnsi="仿宋" w:eastAsia="仿宋" w:cs="Times New Roman"/>
          <w:b w:val="0"/>
          <w:bCs w:val="0"/>
          <w:color w:val="000000"/>
          <w:sz w:val="32"/>
          <w:szCs w:val="32"/>
        </w:rPr>
        <w:t>决算为</w:t>
      </w:r>
      <w:r>
        <w:rPr>
          <w:rStyle w:val="14"/>
          <w:rFonts w:hint="eastAsia" w:ascii="仿宋" w:hAnsi="仿宋" w:eastAsia="仿宋" w:cs="Times New Roman"/>
          <w:b w:val="0"/>
          <w:bCs w:val="0"/>
          <w:color w:val="000000"/>
          <w:sz w:val="32"/>
          <w:szCs w:val="32"/>
          <w:lang w:val="en-US" w:eastAsia="zh-CN"/>
        </w:rPr>
        <w:t>527</w:t>
      </w:r>
      <w:r>
        <w:rPr>
          <w:rStyle w:val="14"/>
          <w:rFonts w:hint="eastAsia" w:ascii="仿宋" w:hAnsi="仿宋" w:eastAsia="仿宋" w:cs="Times New Roman"/>
          <w:b w:val="0"/>
          <w:bCs w:val="0"/>
          <w:color w:val="000000"/>
          <w:sz w:val="32"/>
          <w:szCs w:val="32"/>
        </w:rPr>
        <w:t>万元，完成预算100%。</w:t>
      </w:r>
    </w:p>
    <w:p>
      <w:pPr>
        <w:spacing w:line="600" w:lineRule="exact"/>
        <w:ind w:firstLine="643" w:firstLineChars="200"/>
        <w:rPr>
          <w:rStyle w:val="14"/>
          <w:rFonts w:hint="eastAsia" w:ascii="仿宋" w:hAnsi="仿宋" w:eastAsia="仿宋" w:cs="Times New Roman"/>
          <w:b w:val="0"/>
          <w:bCs w:val="0"/>
          <w:color w:val="000000"/>
          <w:sz w:val="32"/>
          <w:szCs w:val="32"/>
        </w:rPr>
      </w:pPr>
      <w:r>
        <w:rPr>
          <w:rStyle w:val="14"/>
          <w:rFonts w:hint="eastAsia" w:ascii="仿宋" w:hAnsi="仿宋" w:eastAsia="仿宋" w:cs="Times New Roman"/>
          <w:bCs/>
          <w:color w:val="000000"/>
          <w:sz w:val="32"/>
          <w:szCs w:val="32"/>
        </w:rPr>
        <w:t>（2）教育（类）教育管理事务（款）一般行政管理事务（项）:</w:t>
      </w:r>
      <w:r>
        <w:rPr>
          <w:rStyle w:val="14"/>
          <w:rFonts w:hint="eastAsia" w:ascii="仿宋" w:hAnsi="仿宋" w:eastAsia="仿宋" w:cs="Times New Roman"/>
          <w:b w:val="0"/>
          <w:bCs w:val="0"/>
          <w:color w:val="000000"/>
          <w:sz w:val="32"/>
          <w:szCs w:val="32"/>
          <w:lang w:eastAsia="zh-CN"/>
        </w:rPr>
        <w:t>支出</w:t>
      </w:r>
      <w:r>
        <w:rPr>
          <w:rStyle w:val="14"/>
          <w:rFonts w:hint="eastAsia" w:ascii="仿宋" w:hAnsi="仿宋" w:eastAsia="仿宋" w:cs="Times New Roman"/>
          <w:b w:val="0"/>
          <w:bCs w:val="0"/>
          <w:color w:val="000000"/>
          <w:sz w:val="32"/>
          <w:szCs w:val="32"/>
        </w:rPr>
        <w:t>决算为</w:t>
      </w:r>
      <w:r>
        <w:rPr>
          <w:rStyle w:val="14"/>
          <w:rFonts w:hint="eastAsia" w:ascii="仿宋" w:hAnsi="仿宋" w:eastAsia="仿宋" w:cs="Times New Roman"/>
          <w:b w:val="0"/>
          <w:bCs w:val="0"/>
          <w:color w:val="000000"/>
          <w:sz w:val="32"/>
          <w:szCs w:val="32"/>
          <w:lang w:val="en-US" w:eastAsia="zh-CN"/>
        </w:rPr>
        <w:t>667.02</w:t>
      </w:r>
      <w:r>
        <w:rPr>
          <w:rStyle w:val="14"/>
          <w:rFonts w:hint="eastAsia" w:ascii="仿宋" w:hAnsi="仿宋" w:eastAsia="仿宋" w:cs="Times New Roman"/>
          <w:b w:val="0"/>
          <w:bCs w:val="0"/>
          <w:color w:val="000000"/>
          <w:sz w:val="32"/>
          <w:szCs w:val="32"/>
        </w:rPr>
        <w:t>万元，完成预算</w:t>
      </w:r>
      <w:r>
        <w:rPr>
          <w:rStyle w:val="14"/>
          <w:rFonts w:hint="eastAsia" w:ascii="仿宋" w:hAnsi="仿宋" w:eastAsia="仿宋" w:cs="Times New Roman"/>
          <w:b w:val="0"/>
          <w:bCs w:val="0"/>
          <w:color w:val="000000"/>
          <w:sz w:val="32"/>
          <w:szCs w:val="32"/>
          <w:lang w:val="en-US" w:eastAsia="zh-CN"/>
        </w:rPr>
        <w:t>100</w:t>
      </w:r>
      <w:r>
        <w:rPr>
          <w:rStyle w:val="14"/>
          <w:rFonts w:hint="eastAsia" w:ascii="仿宋" w:hAnsi="仿宋" w:eastAsia="仿宋" w:cs="Times New Roman"/>
          <w:b w:val="0"/>
          <w:bCs w:val="0"/>
          <w:color w:val="000000"/>
          <w:sz w:val="32"/>
          <w:szCs w:val="32"/>
        </w:rPr>
        <w:t>%。</w:t>
      </w:r>
    </w:p>
    <w:p>
      <w:pPr>
        <w:spacing w:line="600" w:lineRule="exact"/>
        <w:ind w:firstLine="643" w:firstLineChars="200"/>
        <w:rPr>
          <w:rStyle w:val="14"/>
          <w:rFonts w:hint="eastAsia" w:ascii="仿宋" w:hAnsi="仿宋" w:eastAsia="仿宋" w:cs="Times New Roman"/>
          <w:bCs/>
          <w:color w:val="000000"/>
          <w:sz w:val="32"/>
          <w:szCs w:val="32"/>
        </w:rPr>
      </w:pPr>
      <w:r>
        <w:rPr>
          <w:rStyle w:val="14"/>
          <w:rFonts w:hint="eastAsia" w:ascii="仿宋" w:hAnsi="仿宋" w:eastAsia="仿宋" w:cs="Times New Roman"/>
          <w:bCs/>
          <w:color w:val="000000"/>
          <w:sz w:val="32"/>
          <w:szCs w:val="32"/>
        </w:rPr>
        <w:t>（3）教育（类）教育管理事务（款）其他教育管理事务（项）:</w:t>
      </w:r>
      <w:r>
        <w:rPr>
          <w:rStyle w:val="14"/>
          <w:rFonts w:hint="eastAsia" w:ascii="仿宋" w:hAnsi="仿宋" w:eastAsia="仿宋" w:cs="Times New Roman"/>
          <w:b w:val="0"/>
          <w:bCs w:val="0"/>
          <w:color w:val="000000"/>
          <w:sz w:val="32"/>
          <w:szCs w:val="32"/>
          <w:lang w:eastAsia="zh-CN"/>
        </w:rPr>
        <w:t>支出</w:t>
      </w:r>
      <w:r>
        <w:rPr>
          <w:rStyle w:val="14"/>
          <w:rFonts w:hint="eastAsia" w:ascii="仿宋" w:hAnsi="仿宋" w:eastAsia="仿宋" w:cs="Times New Roman"/>
          <w:b w:val="0"/>
          <w:bCs w:val="0"/>
          <w:color w:val="000000"/>
          <w:sz w:val="32"/>
          <w:szCs w:val="32"/>
        </w:rPr>
        <w:t>决算为</w:t>
      </w:r>
      <w:r>
        <w:rPr>
          <w:rStyle w:val="14"/>
          <w:rFonts w:hint="eastAsia" w:ascii="仿宋" w:hAnsi="仿宋" w:eastAsia="仿宋" w:cs="Times New Roman"/>
          <w:b w:val="0"/>
          <w:bCs w:val="0"/>
          <w:color w:val="000000"/>
          <w:sz w:val="32"/>
          <w:szCs w:val="32"/>
          <w:lang w:val="en-US" w:eastAsia="zh-CN"/>
        </w:rPr>
        <w:t>485.27</w:t>
      </w:r>
      <w:r>
        <w:rPr>
          <w:rStyle w:val="14"/>
          <w:rFonts w:hint="eastAsia" w:ascii="仿宋" w:hAnsi="仿宋" w:eastAsia="仿宋" w:cs="Times New Roman"/>
          <w:b w:val="0"/>
          <w:bCs w:val="0"/>
          <w:color w:val="000000"/>
          <w:sz w:val="32"/>
          <w:szCs w:val="32"/>
        </w:rPr>
        <w:t>万元，完成预算100%。</w:t>
      </w:r>
    </w:p>
    <w:p>
      <w:pPr>
        <w:spacing w:line="600" w:lineRule="exact"/>
        <w:ind w:firstLine="643" w:firstLineChars="200"/>
        <w:rPr>
          <w:rStyle w:val="14"/>
          <w:rFonts w:hint="eastAsia" w:ascii="仿宋" w:hAnsi="仿宋" w:eastAsia="仿宋" w:cs="Times New Roman"/>
          <w:b w:val="0"/>
          <w:bCs w:val="0"/>
          <w:color w:val="000000"/>
          <w:sz w:val="32"/>
          <w:szCs w:val="32"/>
        </w:rPr>
      </w:pPr>
      <w:r>
        <w:rPr>
          <w:rStyle w:val="14"/>
          <w:rFonts w:hint="eastAsia" w:ascii="仿宋" w:hAnsi="仿宋" w:eastAsia="仿宋" w:cs="Times New Roman"/>
          <w:bCs/>
          <w:color w:val="000000"/>
          <w:sz w:val="32"/>
          <w:szCs w:val="32"/>
        </w:rPr>
        <w:t>（4）教育（类）普通教育（款）初中教育（项）:</w:t>
      </w:r>
      <w:r>
        <w:rPr>
          <w:rStyle w:val="14"/>
          <w:rFonts w:hint="eastAsia" w:ascii="仿宋" w:hAnsi="仿宋" w:eastAsia="仿宋" w:cs="Times New Roman"/>
          <w:b w:val="0"/>
          <w:bCs w:val="0"/>
          <w:color w:val="000000"/>
          <w:sz w:val="32"/>
          <w:szCs w:val="32"/>
          <w:lang w:eastAsia="zh-CN"/>
        </w:rPr>
        <w:t>支出</w:t>
      </w:r>
      <w:r>
        <w:rPr>
          <w:rStyle w:val="14"/>
          <w:rFonts w:hint="eastAsia" w:ascii="仿宋" w:hAnsi="仿宋" w:eastAsia="仿宋" w:cs="Times New Roman"/>
          <w:b w:val="0"/>
          <w:bCs w:val="0"/>
          <w:color w:val="000000"/>
          <w:sz w:val="32"/>
          <w:szCs w:val="32"/>
        </w:rPr>
        <w:t>决算数</w:t>
      </w:r>
      <w:r>
        <w:rPr>
          <w:rStyle w:val="14"/>
          <w:rFonts w:hint="eastAsia" w:ascii="仿宋" w:hAnsi="仿宋" w:eastAsia="仿宋" w:cs="Times New Roman"/>
          <w:b w:val="0"/>
          <w:bCs w:val="0"/>
          <w:color w:val="000000"/>
          <w:sz w:val="32"/>
          <w:szCs w:val="32"/>
          <w:lang w:val="en-US" w:eastAsia="zh-CN"/>
        </w:rPr>
        <w:t>1970.13</w:t>
      </w:r>
      <w:r>
        <w:rPr>
          <w:rStyle w:val="14"/>
          <w:rFonts w:hint="eastAsia" w:ascii="仿宋" w:hAnsi="仿宋" w:eastAsia="仿宋" w:cs="Times New Roman"/>
          <w:b w:val="0"/>
          <w:bCs w:val="0"/>
          <w:color w:val="000000"/>
          <w:sz w:val="32"/>
          <w:szCs w:val="32"/>
        </w:rPr>
        <w:t>万元，完成预算100%。</w:t>
      </w:r>
    </w:p>
    <w:p>
      <w:pPr>
        <w:spacing w:line="600" w:lineRule="exact"/>
        <w:ind w:firstLine="643" w:firstLineChars="200"/>
        <w:rPr>
          <w:rStyle w:val="14"/>
          <w:rFonts w:hint="eastAsia" w:ascii="仿宋" w:hAnsi="仿宋" w:eastAsia="仿宋" w:cs="Times New Roman"/>
          <w:b w:val="0"/>
          <w:bCs w:val="0"/>
          <w:color w:val="000000"/>
          <w:sz w:val="32"/>
          <w:szCs w:val="32"/>
        </w:rPr>
      </w:pPr>
      <w:r>
        <w:rPr>
          <w:rStyle w:val="14"/>
          <w:rFonts w:hint="eastAsia" w:ascii="仿宋" w:hAnsi="仿宋" w:eastAsia="仿宋" w:cs="Times New Roman"/>
          <w:bCs/>
          <w:color w:val="000000"/>
          <w:sz w:val="32"/>
          <w:szCs w:val="32"/>
        </w:rPr>
        <w:t>（5）教育（类）普通教育（款）高中教育（项）:</w:t>
      </w:r>
      <w:r>
        <w:rPr>
          <w:rStyle w:val="14"/>
          <w:rFonts w:hint="eastAsia" w:ascii="仿宋" w:hAnsi="仿宋" w:eastAsia="仿宋" w:cs="Times New Roman"/>
          <w:b w:val="0"/>
          <w:bCs w:val="0"/>
          <w:color w:val="000000"/>
          <w:sz w:val="32"/>
          <w:szCs w:val="32"/>
          <w:lang w:eastAsia="zh-CN"/>
        </w:rPr>
        <w:t>支出</w:t>
      </w:r>
      <w:r>
        <w:rPr>
          <w:rStyle w:val="14"/>
          <w:rFonts w:hint="eastAsia" w:ascii="仿宋" w:hAnsi="仿宋" w:eastAsia="仿宋" w:cs="Times New Roman"/>
          <w:b w:val="0"/>
          <w:bCs w:val="0"/>
          <w:color w:val="000000"/>
          <w:sz w:val="32"/>
          <w:szCs w:val="32"/>
        </w:rPr>
        <w:t>决算为</w:t>
      </w:r>
      <w:r>
        <w:rPr>
          <w:rStyle w:val="14"/>
          <w:rFonts w:hint="eastAsia" w:ascii="仿宋" w:hAnsi="仿宋" w:eastAsia="仿宋" w:cs="Times New Roman"/>
          <w:b w:val="0"/>
          <w:bCs w:val="0"/>
          <w:color w:val="000000"/>
          <w:sz w:val="32"/>
          <w:szCs w:val="32"/>
          <w:lang w:val="en-US" w:eastAsia="zh-CN"/>
        </w:rPr>
        <w:t>17040.23</w:t>
      </w:r>
      <w:r>
        <w:rPr>
          <w:rStyle w:val="14"/>
          <w:rFonts w:hint="eastAsia" w:ascii="仿宋" w:hAnsi="仿宋" w:eastAsia="仿宋" w:cs="Times New Roman"/>
          <w:b w:val="0"/>
          <w:bCs w:val="0"/>
          <w:color w:val="000000"/>
          <w:sz w:val="32"/>
          <w:szCs w:val="32"/>
        </w:rPr>
        <w:t>万元，完成预算100%。</w:t>
      </w:r>
    </w:p>
    <w:p>
      <w:pPr>
        <w:spacing w:line="600" w:lineRule="exact"/>
        <w:ind w:firstLine="643" w:firstLineChars="200"/>
        <w:rPr>
          <w:rStyle w:val="14"/>
          <w:rFonts w:hint="eastAsia" w:ascii="仿宋" w:hAnsi="仿宋" w:eastAsia="仿宋" w:cs="Times New Roman"/>
          <w:b w:val="0"/>
          <w:bCs w:val="0"/>
          <w:color w:val="000000"/>
          <w:sz w:val="32"/>
          <w:szCs w:val="32"/>
          <w:lang w:val="en-US" w:eastAsia="zh-CN"/>
        </w:rPr>
      </w:pPr>
      <w:r>
        <w:rPr>
          <w:rStyle w:val="14"/>
          <w:rFonts w:hint="eastAsia" w:ascii="仿宋" w:hAnsi="仿宋" w:eastAsia="仿宋" w:cs="Times New Roman"/>
          <w:bCs/>
          <w:color w:val="000000"/>
          <w:sz w:val="32"/>
          <w:szCs w:val="32"/>
        </w:rPr>
        <w:t>（6）教育（类）普通教育（款）其他普通教育支出（项）:</w:t>
      </w:r>
      <w:r>
        <w:rPr>
          <w:rStyle w:val="14"/>
          <w:rFonts w:hint="eastAsia" w:ascii="仿宋" w:hAnsi="仿宋" w:eastAsia="仿宋" w:cs="Times New Roman"/>
          <w:b w:val="0"/>
          <w:bCs w:val="0"/>
          <w:color w:val="000000"/>
          <w:sz w:val="32"/>
          <w:szCs w:val="32"/>
          <w:lang w:eastAsia="zh-CN"/>
        </w:rPr>
        <w:t>支出</w:t>
      </w:r>
      <w:r>
        <w:rPr>
          <w:rStyle w:val="14"/>
          <w:rFonts w:hint="eastAsia" w:ascii="仿宋" w:hAnsi="仿宋" w:eastAsia="仿宋" w:cs="Times New Roman"/>
          <w:b w:val="0"/>
          <w:bCs w:val="0"/>
          <w:color w:val="000000"/>
          <w:sz w:val="32"/>
          <w:szCs w:val="32"/>
        </w:rPr>
        <w:t>决算为</w:t>
      </w:r>
      <w:r>
        <w:rPr>
          <w:rStyle w:val="14"/>
          <w:rFonts w:hint="eastAsia" w:ascii="仿宋" w:hAnsi="仿宋" w:eastAsia="仿宋" w:cs="Times New Roman"/>
          <w:b w:val="0"/>
          <w:bCs w:val="0"/>
          <w:color w:val="000000"/>
          <w:sz w:val="32"/>
          <w:szCs w:val="32"/>
          <w:lang w:val="en-US" w:eastAsia="zh-CN"/>
        </w:rPr>
        <w:t>1041.93</w:t>
      </w:r>
      <w:r>
        <w:rPr>
          <w:rStyle w:val="14"/>
          <w:rFonts w:hint="eastAsia" w:ascii="仿宋" w:hAnsi="仿宋" w:eastAsia="仿宋" w:cs="Times New Roman"/>
          <w:b w:val="0"/>
          <w:bCs w:val="0"/>
          <w:color w:val="000000"/>
          <w:sz w:val="32"/>
          <w:szCs w:val="32"/>
        </w:rPr>
        <w:t>万元，完成预算</w:t>
      </w:r>
      <w:r>
        <w:rPr>
          <w:rStyle w:val="14"/>
          <w:rFonts w:hint="eastAsia" w:ascii="仿宋" w:hAnsi="仿宋" w:eastAsia="仿宋" w:cs="Times New Roman"/>
          <w:b w:val="0"/>
          <w:bCs w:val="0"/>
          <w:color w:val="000000"/>
          <w:sz w:val="32"/>
          <w:szCs w:val="32"/>
          <w:lang w:val="en-US" w:eastAsia="zh-CN"/>
        </w:rPr>
        <w:t>100</w:t>
      </w:r>
      <w:r>
        <w:rPr>
          <w:rStyle w:val="14"/>
          <w:rFonts w:hint="eastAsia" w:ascii="仿宋" w:hAnsi="仿宋" w:eastAsia="仿宋" w:cs="Times New Roman"/>
          <w:b w:val="0"/>
          <w:bCs w:val="0"/>
          <w:color w:val="000000"/>
          <w:sz w:val="32"/>
          <w:szCs w:val="32"/>
        </w:rPr>
        <w:t>%</w:t>
      </w:r>
      <w:r>
        <w:rPr>
          <w:rStyle w:val="14"/>
          <w:rFonts w:hint="eastAsia" w:ascii="仿宋" w:hAnsi="仿宋" w:eastAsia="仿宋" w:cs="Times New Roman"/>
          <w:b w:val="0"/>
          <w:bCs w:val="0"/>
          <w:color w:val="000000"/>
          <w:sz w:val="32"/>
          <w:szCs w:val="32"/>
          <w:lang w:val="en-US" w:eastAsia="zh-CN"/>
        </w:rPr>
        <w:t>.</w:t>
      </w:r>
    </w:p>
    <w:p>
      <w:pPr>
        <w:spacing w:line="600" w:lineRule="exact"/>
        <w:ind w:firstLine="643" w:firstLineChars="200"/>
        <w:rPr>
          <w:rStyle w:val="14"/>
          <w:rFonts w:hint="eastAsia" w:ascii="仿宋" w:hAnsi="仿宋" w:eastAsia="仿宋" w:cs="Times New Roman"/>
          <w:b w:val="0"/>
          <w:bCs w:val="0"/>
          <w:color w:val="000000"/>
          <w:sz w:val="32"/>
          <w:szCs w:val="32"/>
        </w:rPr>
      </w:pPr>
      <w:r>
        <w:rPr>
          <w:rStyle w:val="14"/>
          <w:rFonts w:hint="eastAsia" w:ascii="仿宋" w:hAnsi="仿宋" w:eastAsia="仿宋" w:cs="Times New Roman"/>
          <w:bCs/>
          <w:color w:val="000000"/>
          <w:sz w:val="32"/>
          <w:szCs w:val="32"/>
        </w:rPr>
        <w:t>（7</w:t>
      </w:r>
      <w:r>
        <w:rPr>
          <w:rStyle w:val="14"/>
          <w:rFonts w:hint="eastAsia" w:ascii="仿宋" w:hAnsi="仿宋" w:eastAsia="仿宋" w:cs="Times New Roman"/>
          <w:bCs/>
          <w:color w:val="000000"/>
          <w:sz w:val="32"/>
          <w:szCs w:val="32"/>
          <w:lang w:eastAsia="zh-CN"/>
        </w:rPr>
        <w:t>）</w:t>
      </w:r>
      <w:r>
        <w:rPr>
          <w:rStyle w:val="14"/>
          <w:rFonts w:hint="eastAsia" w:ascii="仿宋" w:hAnsi="仿宋" w:eastAsia="仿宋" w:cs="Times New Roman"/>
          <w:bCs/>
          <w:color w:val="000000"/>
          <w:sz w:val="32"/>
          <w:szCs w:val="32"/>
        </w:rPr>
        <w:t>教育（类）职业教育（款）中专教育（项）:</w:t>
      </w:r>
      <w:r>
        <w:rPr>
          <w:rStyle w:val="14"/>
          <w:rFonts w:hint="eastAsia" w:ascii="仿宋" w:hAnsi="仿宋" w:eastAsia="仿宋" w:cs="Times New Roman"/>
          <w:b w:val="0"/>
          <w:bCs w:val="0"/>
          <w:color w:val="000000"/>
          <w:sz w:val="32"/>
          <w:szCs w:val="32"/>
          <w:lang w:eastAsia="zh-CN"/>
        </w:rPr>
        <w:t>支出</w:t>
      </w:r>
      <w:r>
        <w:rPr>
          <w:rStyle w:val="14"/>
          <w:rFonts w:hint="eastAsia" w:ascii="仿宋" w:hAnsi="仿宋" w:eastAsia="仿宋" w:cs="Times New Roman"/>
          <w:b w:val="0"/>
          <w:bCs w:val="0"/>
          <w:color w:val="000000"/>
          <w:sz w:val="32"/>
          <w:szCs w:val="32"/>
        </w:rPr>
        <w:t>决算数</w:t>
      </w:r>
      <w:r>
        <w:rPr>
          <w:rStyle w:val="14"/>
          <w:rFonts w:hint="eastAsia" w:ascii="仿宋" w:hAnsi="仿宋" w:eastAsia="仿宋" w:cs="Times New Roman"/>
          <w:b w:val="0"/>
          <w:bCs w:val="0"/>
          <w:color w:val="000000"/>
          <w:sz w:val="32"/>
          <w:szCs w:val="32"/>
          <w:lang w:val="en-US" w:eastAsia="zh-CN"/>
        </w:rPr>
        <w:t>4489.61</w:t>
      </w:r>
      <w:r>
        <w:rPr>
          <w:rStyle w:val="14"/>
          <w:rFonts w:hint="eastAsia" w:ascii="仿宋" w:hAnsi="仿宋" w:eastAsia="仿宋" w:cs="Times New Roman"/>
          <w:b w:val="0"/>
          <w:bCs w:val="0"/>
          <w:color w:val="000000"/>
          <w:sz w:val="32"/>
          <w:szCs w:val="32"/>
        </w:rPr>
        <w:t>万元，完成预算100%。</w:t>
      </w:r>
    </w:p>
    <w:p>
      <w:pPr>
        <w:spacing w:line="600" w:lineRule="exact"/>
        <w:ind w:firstLine="643" w:firstLineChars="200"/>
        <w:rPr>
          <w:rStyle w:val="14"/>
          <w:rFonts w:hint="eastAsia" w:ascii="仿宋" w:hAnsi="仿宋" w:eastAsia="仿宋" w:cs="Times New Roman"/>
          <w:bCs/>
          <w:color w:val="000000"/>
          <w:sz w:val="32"/>
          <w:szCs w:val="32"/>
        </w:rPr>
      </w:pPr>
      <w:r>
        <w:rPr>
          <w:rStyle w:val="14"/>
          <w:rFonts w:hint="eastAsia" w:ascii="仿宋" w:hAnsi="仿宋" w:eastAsia="仿宋" w:cs="Times New Roman"/>
          <w:bCs/>
          <w:color w:val="000000"/>
          <w:sz w:val="32"/>
          <w:szCs w:val="32"/>
        </w:rPr>
        <w:t>（</w:t>
      </w:r>
      <w:r>
        <w:rPr>
          <w:rStyle w:val="14"/>
          <w:rFonts w:hint="eastAsia" w:ascii="仿宋" w:hAnsi="仿宋" w:eastAsia="仿宋" w:cs="Times New Roman"/>
          <w:bCs/>
          <w:color w:val="000000"/>
          <w:sz w:val="32"/>
          <w:szCs w:val="32"/>
          <w:lang w:val="en-US" w:eastAsia="zh-CN"/>
        </w:rPr>
        <w:t>8</w:t>
      </w:r>
      <w:r>
        <w:rPr>
          <w:rStyle w:val="14"/>
          <w:rFonts w:hint="eastAsia" w:ascii="仿宋" w:hAnsi="仿宋" w:eastAsia="仿宋" w:cs="Times New Roman"/>
          <w:bCs/>
          <w:color w:val="000000"/>
          <w:sz w:val="32"/>
          <w:szCs w:val="32"/>
          <w:lang w:eastAsia="zh-CN"/>
        </w:rPr>
        <w:t>）</w:t>
      </w:r>
      <w:r>
        <w:rPr>
          <w:rStyle w:val="14"/>
          <w:rFonts w:hint="eastAsia" w:ascii="仿宋" w:hAnsi="仿宋" w:eastAsia="仿宋" w:cs="Times New Roman"/>
          <w:bCs/>
          <w:color w:val="000000"/>
          <w:sz w:val="32"/>
          <w:szCs w:val="32"/>
        </w:rPr>
        <w:t>教育（类）职业教育（款）</w:t>
      </w:r>
      <w:r>
        <w:rPr>
          <w:rStyle w:val="14"/>
          <w:rFonts w:hint="eastAsia" w:ascii="仿宋" w:hAnsi="仿宋" w:eastAsia="仿宋" w:cs="Times New Roman"/>
          <w:bCs/>
          <w:color w:val="000000"/>
          <w:sz w:val="32"/>
          <w:szCs w:val="32"/>
          <w:lang w:eastAsia="zh-CN"/>
        </w:rPr>
        <w:t>职业高中教育</w:t>
      </w:r>
      <w:r>
        <w:rPr>
          <w:rStyle w:val="14"/>
          <w:rFonts w:hint="eastAsia" w:ascii="仿宋" w:hAnsi="仿宋" w:eastAsia="仿宋" w:cs="Times New Roman"/>
          <w:bCs/>
          <w:color w:val="000000"/>
          <w:sz w:val="32"/>
          <w:szCs w:val="32"/>
        </w:rPr>
        <w:t>（项）:</w:t>
      </w:r>
      <w:r>
        <w:rPr>
          <w:rStyle w:val="14"/>
          <w:rFonts w:hint="eastAsia" w:ascii="仿宋" w:hAnsi="仿宋" w:eastAsia="仿宋" w:cs="Times New Roman"/>
          <w:b w:val="0"/>
          <w:bCs w:val="0"/>
          <w:color w:val="000000"/>
          <w:sz w:val="32"/>
          <w:szCs w:val="32"/>
          <w:lang w:eastAsia="zh-CN"/>
        </w:rPr>
        <w:t>支出</w:t>
      </w:r>
      <w:r>
        <w:rPr>
          <w:rStyle w:val="14"/>
          <w:rFonts w:hint="eastAsia" w:ascii="仿宋" w:hAnsi="仿宋" w:eastAsia="仿宋" w:cs="Times New Roman"/>
          <w:b w:val="0"/>
          <w:bCs w:val="0"/>
          <w:color w:val="000000"/>
          <w:sz w:val="32"/>
          <w:szCs w:val="32"/>
        </w:rPr>
        <w:t>决算为</w:t>
      </w:r>
      <w:r>
        <w:rPr>
          <w:rStyle w:val="14"/>
          <w:rFonts w:hint="eastAsia" w:ascii="仿宋" w:hAnsi="仿宋" w:eastAsia="仿宋" w:cs="Times New Roman"/>
          <w:b w:val="0"/>
          <w:bCs w:val="0"/>
          <w:color w:val="000000"/>
          <w:sz w:val="32"/>
          <w:szCs w:val="32"/>
          <w:lang w:val="en-US" w:eastAsia="zh-CN"/>
        </w:rPr>
        <w:t>3.15</w:t>
      </w:r>
      <w:r>
        <w:rPr>
          <w:rStyle w:val="14"/>
          <w:rFonts w:hint="eastAsia" w:ascii="仿宋" w:hAnsi="仿宋" w:eastAsia="仿宋" w:cs="Times New Roman"/>
          <w:b w:val="0"/>
          <w:bCs w:val="0"/>
          <w:color w:val="000000"/>
          <w:sz w:val="32"/>
          <w:szCs w:val="32"/>
        </w:rPr>
        <w:t>万元，完成预算100%。</w:t>
      </w:r>
    </w:p>
    <w:p>
      <w:pPr>
        <w:spacing w:line="600" w:lineRule="exact"/>
        <w:ind w:firstLine="643" w:firstLineChars="200"/>
        <w:rPr>
          <w:rStyle w:val="14"/>
          <w:rFonts w:hint="eastAsia" w:ascii="仿宋" w:hAnsi="仿宋" w:eastAsia="仿宋" w:cs="Times New Roman"/>
          <w:bCs/>
          <w:color w:val="000000"/>
          <w:sz w:val="32"/>
          <w:szCs w:val="32"/>
        </w:rPr>
      </w:pPr>
      <w:r>
        <w:rPr>
          <w:rStyle w:val="14"/>
          <w:rFonts w:hint="eastAsia" w:ascii="仿宋" w:hAnsi="仿宋" w:eastAsia="仿宋" w:cs="Times New Roman"/>
          <w:bCs/>
          <w:color w:val="000000"/>
          <w:sz w:val="32"/>
          <w:szCs w:val="32"/>
        </w:rPr>
        <w:t>（</w:t>
      </w:r>
      <w:r>
        <w:rPr>
          <w:rStyle w:val="14"/>
          <w:rFonts w:hint="eastAsia" w:ascii="仿宋" w:hAnsi="仿宋" w:eastAsia="仿宋" w:cs="Times New Roman"/>
          <w:bCs/>
          <w:color w:val="000000"/>
          <w:sz w:val="32"/>
          <w:szCs w:val="32"/>
          <w:lang w:val="en-US" w:eastAsia="zh-CN"/>
        </w:rPr>
        <w:t>9</w:t>
      </w:r>
      <w:r>
        <w:rPr>
          <w:rStyle w:val="14"/>
          <w:rFonts w:hint="eastAsia" w:ascii="仿宋" w:hAnsi="仿宋" w:eastAsia="仿宋" w:cs="Times New Roman"/>
          <w:bCs/>
          <w:color w:val="000000"/>
          <w:sz w:val="32"/>
          <w:szCs w:val="32"/>
        </w:rPr>
        <w:t>）教育（类）职业教育（款）其他职业教育支出（项）:</w:t>
      </w:r>
      <w:r>
        <w:rPr>
          <w:rStyle w:val="14"/>
          <w:rFonts w:hint="eastAsia" w:ascii="仿宋" w:hAnsi="仿宋" w:eastAsia="仿宋" w:cs="Times New Roman"/>
          <w:b w:val="0"/>
          <w:bCs w:val="0"/>
          <w:color w:val="000000"/>
          <w:sz w:val="32"/>
          <w:szCs w:val="32"/>
          <w:lang w:eastAsia="zh-CN"/>
        </w:rPr>
        <w:t>支出</w:t>
      </w:r>
      <w:r>
        <w:rPr>
          <w:rStyle w:val="14"/>
          <w:rFonts w:hint="eastAsia" w:ascii="仿宋" w:hAnsi="仿宋" w:eastAsia="仿宋" w:cs="Times New Roman"/>
          <w:b w:val="0"/>
          <w:bCs w:val="0"/>
          <w:color w:val="000000"/>
          <w:sz w:val="32"/>
          <w:szCs w:val="32"/>
        </w:rPr>
        <w:t>决算为0</w:t>
      </w:r>
      <w:r>
        <w:rPr>
          <w:rStyle w:val="14"/>
          <w:rFonts w:hint="eastAsia" w:ascii="仿宋" w:hAnsi="仿宋" w:eastAsia="仿宋" w:cs="Times New Roman"/>
          <w:b w:val="0"/>
          <w:bCs w:val="0"/>
          <w:color w:val="000000"/>
          <w:sz w:val="32"/>
          <w:szCs w:val="32"/>
          <w:lang w:val="en-US" w:eastAsia="zh-CN"/>
        </w:rPr>
        <w:t>.94</w:t>
      </w:r>
      <w:r>
        <w:rPr>
          <w:rStyle w:val="14"/>
          <w:rFonts w:hint="eastAsia" w:ascii="仿宋" w:hAnsi="仿宋" w:eastAsia="仿宋" w:cs="Times New Roman"/>
          <w:b w:val="0"/>
          <w:bCs w:val="0"/>
          <w:color w:val="000000"/>
          <w:sz w:val="32"/>
          <w:szCs w:val="32"/>
        </w:rPr>
        <w:t>万元，完成预算100%。</w:t>
      </w:r>
    </w:p>
    <w:p>
      <w:pPr>
        <w:spacing w:line="600" w:lineRule="exact"/>
        <w:ind w:firstLine="643" w:firstLineChars="200"/>
        <w:rPr>
          <w:rStyle w:val="14"/>
          <w:rFonts w:hint="eastAsia" w:ascii="仿宋" w:hAnsi="仿宋" w:eastAsia="仿宋" w:cs="Times New Roman"/>
          <w:b w:val="0"/>
          <w:bCs w:val="0"/>
          <w:color w:val="000000"/>
          <w:sz w:val="32"/>
          <w:szCs w:val="32"/>
          <w:lang w:eastAsia="zh-CN"/>
        </w:rPr>
      </w:pPr>
      <w:r>
        <w:rPr>
          <w:rStyle w:val="14"/>
          <w:rFonts w:hint="eastAsia" w:ascii="仿宋" w:hAnsi="仿宋" w:eastAsia="仿宋" w:cs="Times New Roman"/>
          <w:bCs/>
          <w:color w:val="000000"/>
          <w:sz w:val="32"/>
          <w:szCs w:val="32"/>
        </w:rPr>
        <w:t>（</w:t>
      </w:r>
      <w:r>
        <w:rPr>
          <w:rStyle w:val="14"/>
          <w:rFonts w:hint="eastAsia" w:ascii="仿宋" w:hAnsi="仿宋" w:eastAsia="仿宋" w:cs="Times New Roman"/>
          <w:bCs/>
          <w:color w:val="000000"/>
          <w:sz w:val="32"/>
          <w:szCs w:val="32"/>
          <w:lang w:val="en-US" w:eastAsia="zh-CN"/>
        </w:rPr>
        <w:t>10</w:t>
      </w:r>
      <w:r>
        <w:rPr>
          <w:rStyle w:val="14"/>
          <w:rFonts w:hint="eastAsia" w:ascii="仿宋" w:hAnsi="仿宋" w:eastAsia="仿宋" w:cs="Times New Roman"/>
          <w:bCs/>
          <w:color w:val="000000"/>
          <w:sz w:val="32"/>
          <w:szCs w:val="32"/>
        </w:rPr>
        <w:t>）教育（类）成人教育（款）成人广播电视教育（项）:</w:t>
      </w:r>
      <w:r>
        <w:rPr>
          <w:rStyle w:val="14"/>
          <w:rFonts w:hint="eastAsia" w:ascii="仿宋" w:hAnsi="仿宋" w:eastAsia="仿宋" w:cs="Times New Roman"/>
          <w:b w:val="0"/>
          <w:bCs w:val="0"/>
          <w:color w:val="000000"/>
          <w:sz w:val="32"/>
          <w:szCs w:val="32"/>
        </w:rPr>
        <w:t>决算为25</w:t>
      </w:r>
      <w:r>
        <w:rPr>
          <w:rStyle w:val="14"/>
          <w:rFonts w:hint="eastAsia" w:ascii="仿宋" w:hAnsi="仿宋" w:eastAsia="仿宋" w:cs="Times New Roman"/>
          <w:b w:val="0"/>
          <w:bCs w:val="0"/>
          <w:color w:val="000000"/>
          <w:sz w:val="32"/>
          <w:szCs w:val="32"/>
          <w:lang w:val="en-US" w:eastAsia="zh-CN"/>
        </w:rPr>
        <w:t>6</w:t>
      </w:r>
      <w:r>
        <w:rPr>
          <w:rStyle w:val="14"/>
          <w:rFonts w:hint="eastAsia" w:ascii="仿宋" w:hAnsi="仿宋" w:eastAsia="仿宋" w:cs="Times New Roman"/>
          <w:b w:val="0"/>
          <w:bCs w:val="0"/>
          <w:color w:val="000000"/>
          <w:sz w:val="32"/>
          <w:szCs w:val="32"/>
        </w:rPr>
        <w:t>.</w:t>
      </w:r>
      <w:r>
        <w:rPr>
          <w:rStyle w:val="14"/>
          <w:rFonts w:hint="eastAsia" w:ascii="仿宋" w:hAnsi="仿宋" w:eastAsia="仿宋" w:cs="Times New Roman"/>
          <w:b w:val="0"/>
          <w:bCs w:val="0"/>
          <w:color w:val="000000"/>
          <w:sz w:val="32"/>
          <w:szCs w:val="32"/>
          <w:lang w:val="en-US" w:eastAsia="zh-CN"/>
        </w:rPr>
        <w:t>1</w:t>
      </w:r>
      <w:r>
        <w:rPr>
          <w:rStyle w:val="14"/>
          <w:rFonts w:hint="eastAsia" w:ascii="仿宋" w:hAnsi="仿宋" w:eastAsia="仿宋" w:cs="Times New Roman"/>
          <w:b w:val="0"/>
          <w:bCs w:val="0"/>
          <w:color w:val="000000"/>
          <w:sz w:val="32"/>
          <w:szCs w:val="32"/>
        </w:rPr>
        <w:t>万元，完成预算100%</w:t>
      </w:r>
      <w:r>
        <w:rPr>
          <w:rStyle w:val="14"/>
          <w:rFonts w:hint="eastAsia" w:ascii="仿宋" w:hAnsi="仿宋" w:eastAsia="仿宋" w:cs="Times New Roman"/>
          <w:b w:val="0"/>
          <w:bCs w:val="0"/>
          <w:color w:val="000000"/>
          <w:sz w:val="32"/>
          <w:szCs w:val="32"/>
          <w:lang w:eastAsia="zh-CN"/>
        </w:rPr>
        <w:t>。</w:t>
      </w:r>
    </w:p>
    <w:p>
      <w:pPr>
        <w:spacing w:line="600" w:lineRule="exact"/>
        <w:ind w:firstLine="643" w:firstLineChars="200"/>
        <w:rPr>
          <w:rStyle w:val="14"/>
          <w:rFonts w:hint="eastAsia" w:ascii="仿宋" w:hAnsi="仿宋" w:eastAsia="仿宋" w:cs="Times New Roman"/>
          <w:bCs/>
          <w:color w:val="000000"/>
          <w:sz w:val="32"/>
          <w:szCs w:val="32"/>
        </w:rPr>
      </w:pPr>
      <w:r>
        <w:rPr>
          <w:rStyle w:val="14"/>
          <w:rFonts w:hint="eastAsia" w:ascii="仿宋" w:hAnsi="仿宋" w:eastAsia="仿宋" w:cs="Times New Roman"/>
          <w:bCs/>
          <w:color w:val="000000"/>
          <w:sz w:val="32"/>
          <w:szCs w:val="32"/>
        </w:rPr>
        <w:t>（</w:t>
      </w:r>
      <w:r>
        <w:rPr>
          <w:rStyle w:val="14"/>
          <w:rFonts w:hint="eastAsia" w:ascii="仿宋" w:hAnsi="仿宋" w:eastAsia="仿宋" w:cs="Times New Roman"/>
          <w:bCs/>
          <w:color w:val="000000"/>
          <w:sz w:val="32"/>
          <w:szCs w:val="32"/>
          <w:lang w:val="en-US" w:eastAsia="zh-CN"/>
        </w:rPr>
        <w:t>11</w:t>
      </w:r>
      <w:r>
        <w:rPr>
          <w:rStyle w:val="14"/>
          <w:rFonts w:hint="eastAsia" w:ascii="仿宋" w:hAnsi="仿宋" w:eastAsia="仿宋" w:cs="Times New Roman"/>
          <w:bCs/>
          <w:color w:val="000000"/>
          <w:sz w:val="32"/>
          <w:szCs w:val="32"/>
          <w:lang w:eastAsia="zh-CN"/>
        </w:rPr>
        <w:t>）</w:t>
      </w:r>
      <w:r>
        <w:rPr>
          <w:rStyle w:val="14"/>
          <w:rFonts w:hint="eastAsia" w:ascii="仿宋" w:hAnsi="仿宋" w:eastAsia="仿宋" w:cs="Times New Roman"/>
          <w:bCs/>
          <w:color w:val="000000"/>
          <w:sz w:val="32"/>
          <w:szCs w:val="32"/>
        </w:rPr>
        <w:t>教育（类）</w:t>
      </w:r>
      <w:r>
        <w:rPr>
          <w:rStyle w:val="14"/>
          <w:rFonts w:hint="eastAsia" w:ascii="仿宋" w:hAnsi="仿宋" w:eastAsia="仿宋" w:cs="Times New Roman"/>
          <w:bCs/>
          <w:color w:val="000000"/>
          <w:sz w:val="32"/>
          <w:szCs w:val="32"/>
          <w:lang w:eastAsia="zh-CN"/>
        </w:rPr>
        <w:t>进修及培训</w:t>
      </w:r>
      <w:r>
        <w:rPr>
          <w:rStyle w:val="14"/>
          <w:rFonts w:hint="eastAsia" w:ascii="仿宋" w:hAnsi="仿宋" w:eastAsia="仿宋" w:cs="Times New Roman"/>
          <w:bCs/>
          <w:color w:val="000000"/>
          <w:sz w:val="32"/>
          <w:szCs w:val="32"/>
        </w:rPr>
        <w:t>（款）</w:t>
      </w:r>
      <w:r>
        <w:rPr>
          <w:rStyle w:val="14"/>
          <w:rFonts w:hint="eastAsia" w:ascii="仿宋" w:hAnsi="仿宋" w:eastAsia="仿宋" w:cs="Times New Roman"/>
          <w:bCs/>
          <w:color w:val="000000"/>
          <w:sz w:val="32"/>
          <w:szCs w:val="32"/>
          <w:lang w:eastAsia="zh-CN"/>
        </w:rPr>
        <w:t>教师进修</w:t>
      </w:r>
      <w:r>
        <w:rPr>
          <w:rStyle w:val="14"/>
          <w:rFonts w:hint="eastAsia" w:ascii="仿宋" w:hAnsi="仿宋" w:eastAsia="仿宋" w:cs="Times New Roman"/>
          <w:bCs/>
          <w:color w:val="000000"/>
          <w:sz w:val="32"/>
          <w:szCs w:val="32"/>
        </w:rPr>
        <w:t>（项）:</w:t>
      </w:r>
      <w:r>
        <w:rPr>
          <w:rStyle w:val="14"/>
          <w:rFonts w:hint="eastAsia" w:ascii="仿宋" w:hAnsi="仿宋" w:eastAsia="仿宋" w:cs="Times New Roman"/>
          <w:b w:val="0"/>
          <w:bCs w:val="0"/>
          <w:color w:val="000000"/>
          <w:sz w:val="32"/>
          <w:szCs w:val="32"/>
          <w:lang w:eastAsia="zh-CN"/>
        </w:rPr>
        <w:t>支出</w:t>
      </w:r>
      <w:r>
        <w:rPr>
          <w:rStyle w:val="14"/>
          <w:rFonts w:hint="eastAsia" w:ascii="仿宋" w:hAnsi="仿宋" w:eastAsia="仿宋" w:cs="Times New Roman"/>
          <w:b w:val="0"/>
          <w:bCs w:val="0"/>
          <w:color w:val="000000"/>
          <w:sz w:val="32"/>
          <w:szCs w:val="32"/>
        </w:rPr>
        <w:t>决算为</w:t>
      </w:r>
      <w:r>
        <w:rPr>
          <w:rStyle w:val="14"/>
          <w:rFonts w:hint="eastAsia" w:ascii="仿宋" w:hAnsi="仿宋" w:eastAsia="仿宋" w:cs="Times New Roman"/>
          <w:b w:val="0"/>
          <w:bCs w:val="0"/>
          <w:color w:val="000000"/>
          <w:sz w:val="32"/>
          <w:szCs w:val="32"/>
          <w:lang w:val="en-US" w:eastAsia="zh-CN"/>
        </w:rPr>
        <w:t>0.66</w:t>
      </w:r>
      <w:r>
        <w:rPr>
          <w:rStyle w:val="14"/>
          <w:rFonts w:hint="eastAsia" w:ascii="仿宋" w:hAnsi="仿宋" w:eastAsia="仿宋" w:cs="Times New Roman"/>
          <w:b w:val="0"/>
          <w:bCs w:val="0"/>
          <w:color w:val="000000"/>
          <w:sz w:val="32"/>
          <w:szCs w:val="32"/>
        </w:rPr>
        <w:t>万元，完成预算100%。</w:t>
      </w:r>
    </w:p>
    <w:p>
      <w:pPr>
        <w:spacing w:line="600" w:lineRule="exact"/>
        <w:ind w:firstLine="643" w:firstLineChars="200"/>
        <w:rPr>
          <w:rStyle w:val="14"/>
          <w:rFonts w:ascii="仿宋" w:hAnsi="仿宋" w:eastAsia="仿宋" w:cs="Times New Roman"/>
          <w:b w:val="0"/>
          <w:bCs w:val="0"/>
          <w:color w:val="000000"/>
          <w:sz w:val="32"/>
          <w:szCs w:val="32"/>
        </w:rPr>
      </w:pPr>
      <w:r>
        <w:rPr>
          <w:rStyle w:val="14"/>
          <w:rFonts w:hint="eastAsia" w:ascii="仿宋" w:hAnsi="仿宋" w:eastAsia="仿宋" w:cs="Times New Roman"/>
          <w:bCs/>
          <w:color w:val="000000"/>
          <w:sz w:val="32"/>
          <w:szCs w:val="32"/>
        </w:rPr>
        <w:t>（1</w:t>
      </w:r>
      <w:r>
        <w:rPr>
          <w:rStyle w:val="14"/>
          <w:rFonts w:hint="eastAsia" w:ascii="仿宋" w:hAnsi="仿宋" w:eastAsia="仿宋" w:cs="Times New Roman"/>
          <w:bCs/>
          <w:color w:val="000000"/>
          <w:sz w:val="32"/>
          <w:szCs w:val="32"/>
          <w:lang w:val="en-US" w:eastAsia="zh-CN"/>
        </w:rPr>
        <w:t>2</w:t>
      </w:r>
      <w:r>
        <w:rPr>
          <w:rStyle w:val="14"/>
          <w:rFonts w:hint="eastAsia" w:ascii="仿宋" w:hAnsi="仿宋" w:eastAsia="仿宋" w:cs="Times New Roman"/>
          <w:bCs/>
          <w:color w:val="000000"/>
          <w:sz w:val="32"/>
          <w:szCs w:val="32"/>
        </w:rPr>
        <w:t>）教育（类）教育费附加安排的支出（款）城市中小学校舍建设（项）:</w:t>
      </w:r>
      <w:r>
        <w:rPr>
          <w:rStyle w:val="14"/>
          <w:rFonts w:hint="eastAsia" w:ascii="仿宋" w:hAnsi="仿宋" w:eastAsia="仿宋" w:cs="Times New Roman"/>
          <w:b w:val="0"/>
          <w:bCs w:val="0"/>
          <w:color w:val="000000"/>
          <w:sz w:val="32"/>
          <w:szCs w:val="32"/>
          <w:lang w:eastAsia="zh-CN"/>
        </w:rPr>
        <w:t>支出</w:t>
      </w:r>
      <w:r>
        <w:rPr>
          <w:rStyle w:val="14"/>
          <w:rFonts w:hint="eastAsia" w:ascii="仿宋" w:hAnsi="仿宋" w:eastAsia="仿宋" w:cs="Times New Roman"/>
          <w:b w:val="0"/>
          <w:bCs w:val="0"/>
          <w:color w:val="000000"/>
          <w:sz w:val="32"/>
          <w:szCs w:val="32"/>
        </w:rPr>
        <w:t>决算为</w:t>
      </w:r>
      <w:r>
        <w:rPr>
          <w:rStyle w:val="14"/>
          <w:rFonts w:hint="eastAsia" w:ascii="仿宋" w:hAnsi="仿宋" w:eastAsia="仿宋" w:cs="Times New Roman"/>
          <w:b w:val="0"/>
          <w:bCs w:val="0"/>
          <w:color w:val="000000"/>
          <w:sz w:val="32"/>
          <w:szCs w:val="32"/>
          <w:lang w:val="en-US" w:eastAsia="zh-CN"/>
        </w:rPr>
        <w:t>980.1</w:t>
      </w:r>
      <w:r>
        <w:rPr>
          <w:rStyle w:val="14"/>
          <w:rFonts w:hint="eastAsia" w:ascii="仿宋" w:hAnsi="仿宋" w:eastAsia="仿宋" w:cs="Times New Roman"/>
          <w:b w:val="0"/>
          <w:bCs w:val="0"/>
          <w:color w:val="000000"/>
          <w:sz w:val="32"/>
          <w:szCs w:val="32"/>
        </w:rPr>
        <w:t>万元，完成预算</w:t>
      </w:r>
      <w:r>
        <w:rPr>
          <w:rStyle w:val="14"/>
          <w:rFonts w:hint="eastAsia" w:ascii="仿宋" w:hAnsi="仿宋" w:eastAsia="仿宋" w:cs="Times New Roman"/>
          <w:b w:val="0"/>
          <w:bCs w:val="0"/>
          <w:color w:val="000000"/>
          <w:sz w:val="32"/>
          <w:szCs w:val="32"/>
          <w:lang w:val="en-US" w:eastAsia="zh-CN"/>
        </w:rPr>
        <w:t>100</w:t>
      </w:r>
      <w:r>
        <w:rPr>
          <w:rStyle w:val="14"/>
          <w:rFonts w:hint="eastAsia" w:ascii="仿宋" w:hAnsi="仿宋" w:eastAsia="仿宋" w:cs="Times New Roman"/>
          <w:b w:val="0"/>
          <w:bCs w:val="0"/>
          <w:color w:val="000000"/>
          <w:sz w:val="32"/>
          <w:szCs w:val="32"/>
        </w:rPr>
        <w:t>%</w:t>
      </w:r>
      <w:r>
        <w:rPr>
          <w:rStyle w:val="14"/>
          <w:rFonts w:hint="eastAsia" w:ascii="仿宋" w:hAnsi="仿宋" w:eastAsia="仿宋" w:cs="Times New Roman"/>
          <w:b w:val="0"/>
          <w:bCs w:val="0"/>
          <w:color w:val="000000"/>
          <w:sz w:val="32"/>
          <w:szCs w:val="32"/>
          <w:lang w:eastAsia="zh-CN"/>
        </w:rPr>
        <w:t>。</w:t>
      </w:r>
    </w:p>
    <w:p>
      <w:pPr>
        <w:spacing w:line="600" w:lineRule="exact"/>
        <w:ind w:firstLine="643" w:firstLineChars="200"/>
        <w:rPr>
          <w:rStyle w:val="14"/>
          <w:rFonts w:ascii="仿宋" w:hAnsi="仿宋" w:eastAsia="仿宋" w:cs="Times New Roman"/>
          <w:b w:val="0"/>
          <w:bCs w:val="0"/>
          <w:color w:val="000000"/>
          <w:sz w:val="32"/>
          <w:szCs w:val="32"/>
        </w:rPr>
      </w:pPr>
      <w:r>
        <w:rPr>
          <w:rStyle w:val="14"/>
          <w:rFonts w:hint="eastAsia" w:ascii="仿宋" w:hAnsi="仿宋" w:eastAsia="仿宋" w:cs="Times New Roman"/>
          <w:bCs/>
          <w:color w:val="000000"/>
          <w:sz w:val="32"/>
          <w:szCs w:val="32"/>
        </w:rPr>
        <w:t>（1</w:t>
      </w:r>
      <w:r>
        <w:rPr>
          <w:rStyle w:val="14"/>
          <w:rFonts w:hint="eastAsia" w:ascii="仿宋" w:hAnsi="仿宋" w:eastAsia="仿宋" w:cs="Times New Roman"/>
          <w:bCs/>
          <w:color w:val="000000"/>
          <w:sz w:val="32"/>
          <w:szCs w:val="32"/>
          <w:lang w:val="en-US" w:eastAsia="zh-CN"/>
        </w:rPr>
        <w:t>3</w:t>
      </w:r>
      <w:r>
        <w:rPr>
          <w:rStyle w:val="14"/>
          <w:rFonts w:hint="eastAsia" w:ascii="仿宋" w:hAnsi="仿宋" w:eastAsia="仿宋" w:cs="Times New Roman"/>
          <w:bCs/>
          <w:color w:val="000000"/>
          <w:sz w:val="32"/>
          <w:szCs w:val="32"/>
        </w:rPr>
        <w:t>）教育（类）教育费附加安排的支出（款）城市中小学教学设施（项）:</w:t>
      </w:r>
      <w:r>
        <w:rPr>
          <w:rStyle w:val="14"/>
          <w:rFonts w:hint="eastAsia" w:ascii="仿宋" w:hAnsi="仿宋" w:eastAsia="仿宋" w:cs="Times New Roman"/>
          <w:b w:val="0"/>
          <w:bCs w:val="0"/>
          <w:color w:val="000000"/>
          <w:sz w:val="32"/>
          <w:szCs w:val="32"/>
          <w:lang w:eastAsia="zh-CN"/>
        </w:rPr>
        <w:t>支出</w:t>
      </w:r>
      <w:r>
        <w:rPr>
          <w:rStyle w:val="14"/>
          <w:rFonts w:hint="eastAsia" w:ascii="仿宋" w:hAnsi="仿宋" w:eastAsia="仿宋" w:cs="Times New Roman"/>
          <w:b w:val="0"/>
          <w:bCs w:val="0"/>
          <w:color w:val="000000"/>
          <w:sz w:val="32"/>
          <w:szCs w:val="32"/>
        </w:rPr>
        <w:t>决算为</w:t>
      </w:r>
      <w:r>
        <w:rPr>
          <w:rStyle w:val="14"/>
          <w:rFonts w:hint="eastAsia" w:ascii="仿宋" w:hAnsi="仿宋" w:eastAsia="仿宋" w:cs="Times New Roman"/>
          <w:b w:val="0"/>
          <w:bCs w:val="0"/>
          <w:color w:val="000000"/>
          <w:sz w:val="32"/>
          <w:szCs w:val="32"/>
          <w:lang w:val="en-US" w:eastAsia="zh-CN"/>
        </w:rPr>
        <w:t>286.1</w:t>
      </w:r>
      <w:r>
        <w:rPr>
          <w:rStyle w:val="14"/>
          <w:rFonts w:hint="eastAsia" w:ascii="仿宋" w:hAnsi="仿宋" w:eastAsia="仿宋" w:cs="Times New Roman"/>
          <w:b w:val="0"/>
          <w:bCs w:val="0"/>
          <w:color w:val="000000"/>
          <w:sz w:val="32"/>
          <w:szCs w:val="32"/>
        </w:rPr>
        <w:t>万元，完成预算100%。</w:t>
      </w:r>
    </w:p>
    <w:p>
      <w:pPr>
        <w:spacing w:line="600" w:lineRule="exact"/>
        <w:ind w:firstLine="643" w:firstLineChars="200"/>
        <w:rPr>
          <w:rStyle w:val="14"/>
          <w:rFonts w:hint="eastAsia" w:ascii="仿宋" w:hAnsi="仿宋" w:eastAsia="仿宋" w:cs="Times New Roman"/>
          <w:b w:val="0"/>
          <w:bCs w:val="0"/>
          <w:color w:val="000000"/>
          <w:sz w:val="32"/>
          <w:szCs w:val="32"/>
        </w:rPr>
      </w:pPr>
      <w:r>
        <w:rPr>
          <w:rStyle w:val="14"/>
          <w:rFonts w:hint="eastAsia" w:ascii="仿宋" w:hAnsi="仿宋" w:eastAsia="仿宋" w:cs="Times New Roman"/>
          <w:bCs/>
          <w:color w:val="000000"/>
          <w:sz w:val="32"/>
          <w:szCs w:val="32"/>
        </w:rPr>
        <w:t>（1</w:t>
      </w:r>
      <w:r>
        <w:rPr>
          <w:rStyle w:val="14"/>
          <w:rFonts w:hint="eastAsia" w:ascii="仿宋" w:hAnsi="仿宋" w:eastAsia="仿宋" w:cs="Times New Roman"/>
          <w:bCs/>
          <w:color w:val="000000"/>
          <w:sz w:val="32"/>
          <w:szCs w:val="32"/>
          <w:lang w:val="en-US" w:eastAsia="zh-CN"/>
        </w:rPr>
        <w:t>4</w:t>
      </w:r>
      <w:r>
        <w:rPr>
          <w:rStyle w:val="14"/>
          <w:rFonts w:hint="eastAsia" w:ascii="仿宋" w:hAnsi="仿宋" w:eastAsia="仿宋" w:cs="Times New Roman"/>
          <w:bCs/>
          <w:color w:val="000000"/>
          <w:sz w:val="32"/>
          <w:szCs w:val="32"/>
        </w:rPr>
        <w:t>）教育（类）教育费附加安排的支出（款）中等职业学校教学设施（项）:</w:t>
      </w:r>
      <w:r>
        <w:rPr>
          <w:rStyle w:val="14"/>
          <w:rFonts w:hint="eastAsia" w:ascii="仿宋" w:hAnsi="仿宋" w:eastAsia="仿宋" w:cs="Times New Roman"/>
          <w:b w:val="0"/>
          <w:bCs w:val="0"/>
          <w:color w:val="000000"/>
          <w:sz w:val="32"/>
          <w:szCs w:val="32"/>
          <w:lang w:eastAsia="zh-CN"/>
        </w:rPr>
        <w:t>支出</w:t>
      </w:r>
      <w:r>
        <w:rPr>
          <w:rStyle w:val="14"/>
          <w:rFonts w:hint="eastAsia" w:ascii="仿宋" w:hAnsi="仿宋" w:eastAsia="仿宋" w:cs="Times New Roman"/>
          <w:b w:val="0"/>
          <w:bCs w:val="0"/>
          <w:color w:val="000000"/>
          <w:sz w:val="32"/>
          <w:szCs w:val="32"/>
        </w:rPr>
        <w:t>决算为</w:t>
      </w:r>
      <w:r>
        <w:rPr>
          <w:rStyle w:val="14"/>
          <w:rFonts w:hint="eastAsia" w:ascii="仿宋" w:hAnsi="仿宋" w:eastAsia="仿宋" w:cs="Times New Roman"/>
          <w:b w:val="0"/>
          <w:bCs w:val="0"/>
          <w:color w:val="000000"/>
          <w:sz w:val="32"/>
          <w:szCs w:val="32"/>
          <w:lang w:val="en-US" w:eastAsia="zh-CN"/>
        </w:rPr>
        <w:t>503.51</w:t>
      </w:r>
      <w:r>
        <w:rPr>
          <w:rStyle w:val="14"/>
          <w:rFonts w:hint="eastAsia" w:ascii="仿宋" w:hAnsi="仿宋" w:eastAsia="仿宋" w:cs="Times New Roman"/>
          <w:b w:val="0"/>
          <w:bCs w:val="0"/>
          <w:color w:val="000000"/>
          <w:sz w:val="32"/>
          <w:szCs w:val="32"/>
        </w:rPr>
        <w:t>万元，完成预算</w:t>
      </w:r>
      <w:r>
        <w:rPr>
          <w:rStyle w:val="14"/>
          <w:rFonts w:hint="eastAsia" w:ascii="仿宋" w:hAnsi="仿宋" w:eastAsia="仿宋" w:cs="Times New Roman"/>
          <w:b w:val="0"/>
          <w:bCs w:val="0"/>
          <w:color w:val="000000"/>
          <w:sz w:val="32"/>
          <w:szCs w:val="32"/>
          <w:lang w:val="en-US" w:eastAsia="zh-CN"/>
        </w:rPr>
        <w:t>100</w:t>
      </w:r>
      <w:r>
        <w:rPr>
          <w:rStyle w:val="14"/>
          <w:rFonts w:hint="eastAsia" w:ascii="仿宋" w:hAnsi="仿宋" w:eastAsia="仿宋" w:cs="Times New Roman"/>
          <w:b w:val="0"/>
          <w:bCs w:val="0"/>
          <w:color w:val="000000"/>
          <w:sz w:val="32"/>
          <w:szCs w:val="32"/>
        </w:rPr>
        <w:t>%。</w:t>
      </w:r>
    </w:p>
    <w:p>
      <w:pPr>
        <w:spacing w:line="600" w:lineRule="exact"/>
        <w:ind w:firstLine="643" w:firstLineChars="200"/>
        <w:rPr>
          <w:rStyle w:val="14"/>
          <w:rFonts w:ascii="仿宋" w:hAnsi="仿宋" w:eastAsia="仿宋" w:cs="Times New Roman"/>
          <w:b w:val="0"/>
          <w:bCs w:val="0"/>
          <w:color w:val="000000"/>
          <w:sz w:val="32"/>
          <w:szCs w:val="32"/>
        </w:rPr>
      </w:pPr>
      <w:r>
        <w:rPr>
          <w:rStyle w:val="14"/>
          <w:rFonts w:hint="eastAsia" w:ascii="仿宋" w:hAnsi="仿宋" w:eastAsia="仿宋" w:cs="Times New Roman"/>
          <w:bCs/>
          <w:color w:val="000000"/>
          <w:sz w:val="32"/>
          <w:szCs w:val="32"/>
        </w:rPr>
        <w:t>（1</w:t>
      </w:r>
      <w:r>
        <w:rPr>
          <w:rStyle w:val="14"/>
          <w:rFonts w:hint="eastAsia" w:ascii="仿宋" w:hAnsi="仿宋" w:eastAsia="仿宋" w:cs="Times New Roman"/>
          <w:bCs/>
          <w:color w:val="000000"/>
          <w:sz w:val="32"/>
          <w:szCs w:val="32"/>
          <w:lang w:val="en-US" w:eastAsia="zh-CN"/>
        </w:rPr>
        <w:t>5</w:t>
      </w:r>
      <w:r>
        <w:rPr>
          <w:rStyle w:val="14"/>
          <w:rFonts w:hint="eastAsia" w:ascii="仿宋" w:hAnsi="仿宋" w:eastAsia="仿宋" w:cs="Times New Roman"/>
          <w:bCs/>
          <w:color w:val="000000"/>
          <w:sz w:val="32"/>
          <w:szCs w:val="32"/>
        </w:rPr>
        <w:t>）教育（类）教育费附加安排的支出（款）其他教育费附加安排的支出（项）:</w:t>
      </w:r>
      <w:r>
        <w:rPr>
          <w:rStyle w:val="14"/>
          <w:rFonts w:hint="eastAsia" w:ascii="仿宋" w:hAnsi="仿宋" w:eastAsia="仿宋" w:cs="Times New Roman"/>
          <w:b w:val="0"/>
          <w:bCs w:val="0"/>
          <w:color w:val="000000"/>
          <w:sz w:val="32"/>
          <w:szCs w:val="32"/>
          <w:lang w:eastAsia="zh-CN"/>
        </w:rPr>
        <w:t>支出</w:t>
      </w:r>
      <w:r>
        <w:rPr>
          <w:rStyle w:val="14"/>
          <w:rFonts w:hint="eastAsia" w:ascii="仿宋" w:hAnsi="仿宋" w:eastAsia="仿宋" w:cs="Times New Roman"/>
          <w:b w:val="0"/>
          <w:bCs w:val="0"/>
          <w:color w:val="000000"/>
          <w:sz w:val="32"/>
          <w:szCs w:val="32"/>
        </w:rPr>
        <w:t>决算为</w:t>
      </w:r>
      <w:r>
        <w:rPr>
          <w:rStyle w:val="14"/>
          <w:rFonts w:hint="eastAsia" w:ascii="仿宋" w:hAnsi="仿宋" w:eastAsia="仿宋" w:cs="Times New Roman"/>
          <w:b w:val="0"/>
          <w:bCs w:val="0"/>
          <w:color w:val="000000"/>
          <w:sz w:val="32"/>
          <w:szCs w:val="32"/>
          <w:lang w:val="en-US" w:eastAsia="zh-CN"/>
        </w:rPr>
        <w:t>173.7</w:t>
      </w:r>
      <w:r>
        <w:rPr>
          <w:rStyle w:val="14"/>
          <w:rFonts w:hint="eastAsia" w:ascii="仿宋" w:hAnsi="仿宋" w:eastAsia="仿宋" w:cs="Times New Roman"/>
          <w:b w:val="0"/>
          <w:bCs w:val="0"/>
          <w:color w:val="000000"/>
          <w:sz w:val="32"/>
          <w:szCs w:val="32"/>
        </w:rPr>
        <w:t>万元，完成预算100%。</w:t>
      </w:r>
    </w:p>
    <w:p>
      <w:pPr>
        <w:spacing w:line="600" w:lineRule="exact"/>
        <w:ind w:firstLine="643" w:firstLineChars="200"/>
        <w:rPr>
          <w:rStyle w:val="14"/>
          <w:rFonts w:ascii="仿宋" w:hAnsi="仿宋" w:eastAsia="仿宋" w:cs="Times New Roman"/>
          <w:b w:val="0"/>
          <w:bCs w:val="0"/>
          <w:color w:val="000000"/>
          <w:sz w:val="32"/>
          <w:szCs w:val="32"/>
        </w:rPr>
      </w:pPr>
      <w:r>
        <w:rPr>
          <w:rStyle w:val="14"/>
          <w:rFonts w:hint="eastAsia" w:ascii="仿宋" w:hAnsi="仿宋" w:eastAsia="仿宋" w:cs="Times New Roman"/>
          <w:bCs/>
          <w:color w:val="000000"/>
          <w:sz w:val="32"/>
          <w:szCs w:val="32"/>
        </w:rPr>
        <w:t>（1</w:t>
      </w:r>
      <w:r>
        <w:rPr>
          <w:rStyle w:val="14"/>
          <w:rFonts w:hint="eastAsia" w:ascii="仿宋" w:hAnsi="仿宋" w:eastAsia="仿宋" w:cs="Times New Roman"/>
          <w:bCs/>
          <w:color w:val="000000"/>
          <w:sz w:val="32"/>
          <w:szCs w:val="32"/>
          <w:lang w:val="en-US" w:eastAsia="zh-CN"/>
        </w:rPr>
        <w:t>6</w:t>
      </w:r>
      <w:r>
        <w:rPr>
          <w:rStyle w:val="14"/>
          <w:rFonts w:hint="eastAsia" w:ascii="仿宋" w:hAnsi="仿宋" w:eastAsia="仿宋" w:cs="Times New Roman"/>
          <w:bCs/>
          <w:color w:val="000000"/>
          <w:sz w:val="32"/>
          <w:szCs w:val="32"/>
        </w:rPr>
        <w:t>）教育（类）其他教育支出（款）其他教育支出（项）:</w:t>
      </w:r>
      <w:r>
        <w:rPr>
          <w:rStyle w:val="14"/>
          <w:rFonts w:hint="eastAsia" w:ascii="仿宋" w:hAnsi="仿宋" w:eastAsia="仿宋" w:cs="Times New Roman"/>
          <w:b w:val="0"/>
          <w:bCs w:val="0"/>
          <w:color w:val="000000"/>
          <w:sz w:val="32"/>
          <w:szCs w:val="32"/>
          <w:lang w:eastAsia="zh-CN"/>
        </w:rPr>
        <w:t>支出</w:t>
      </w:r>
      <w:r>
        <w:rPr>
          <w:rStyle w:val="14"/>
          <w:rFonts w:hint="eastAsia" w:ascii="仿宋" w:hAnsi="仿宋" w:eastAsia="仿宋" w:cs="Times New Roman"/>
          <w:b w:val="0"/>
          <w:bCs w:val="0"/>
          <w:color w:val="000000"/>
          <w:sz w:val="32"/>
          <w:szCs w:val="32"/>
        </w:rPr>
        <w:t>决算为</w:t>
      </w:r>
      <w:r>
        <w:rPr>
          <w:rStyle w:val="14"/>
          <w:rFonts w:hint="eastAsia" w:ascii="仿宋" w:hAnsi="仿宋" w:eastAsia="仿宋" w:cs="Times New Roman"/>
          <w:b w:val="0"/>
          <w:bCs w:val="0"/>
          <w:color w:val="000000"/>
          <w:sz w:val="32"/>
          <w:szCs w:val="32"/>
          <w:lang w:val="en-US" w:eastAsia="zh-CN"/>
        </w:rPr>
        <w:t>391.23</w:t>
      </w:r>
      <w:r>
        <w:rPr>
          <w:rStyle w:val="14"/>
          <w:rFonts w:hint="eastAsia" w:ascii="仿宋" w:hAnsi="仿宋" w:eastAsia="仿宋" w:cs="Times New Roman"/>
          <w:b w:val="0"/>
          <w:bCs w:val="0"/>
          <w:color w:val="000000"/>
          <w:sz w:val="32"/>
          <w:szCs w:val="32"/>
        </w:rPr>
        <w:t>万元，完成预算</w:t>
      </w:r>
      <w:r>
        <w:rPr>
          <w:rStyle w:val="14"/>
          <w:rFonts w:hint="eastAsia" w:ascii="仿宋" w:hAnsi="仿宋" w:eastAsia="仿宋" w:cs="Times New Roman"/>
          <w:b w:val="0"/>
          <w:bCs w:val="0"/>
          <w:color w:val="000000"/>
          <w:sz w:val="32"/>
          <w:szCs w:val="32"/>
          <w:lang w:val="en-US" w:eastAsia="zh-CN"/>
        </w:rPr>
        <w:t>100</w:t>
      </w:r>
      <w:r>
        <w:rPr>
          <w:rStyle w:val="14"/>
          <w:rFonts w:hint="eastAsia" w:ascii="仿宋" w:hAnsi="仿宋" w:eastAsia="仿宋" w:cs="Times New Roman"/>
          <w:b w:val="0"/>
          <w:bCs w:val="0"/>
          <w:color w:val="000000"/>
          <w:sz w:val="32"/>
          <w:szCs w:val="32"/>
        </w:rPr>
        <w:t>%</w:t>
      </w:r>
      <w:r>
        <w:rPr>
          <w:rStyle w:val="14"/>
          <w:rFonts w:hint="eastAsia" w:ascii="仿宋" w:hAnsi="仿宋" w:eastAsia="仿宋" w:cs="Times New Roman"/>
          <w:b w:val="0"/>
          <w:bCs w:val="0"/>
          <w:color w:val="000000"/>
          <w:sz w:val="32"/>
          <w:szCs w:val="32"/>
          <w:lang w:eastAsia="zh-CN"/>
        </w:rPr>
        <w:t>。</w:t>
      </w:r>
    </w:p>
    <w:p>
      <w:pPr>
        <w:spacing w:line="600" w:lineRule="exact"/>
        <w:ind w:firstLine="643" w:firstLineChars="200"/>
        <w:rPr>
          <w:rStyle w:val="14"/>
          <w:rFonts w:hint="eastAsia" w:ascii="仿宋" w:hAnsi="仿宋" w:eastAsia="仿宋" w:cs="Times New Roman"/>
          <w:bCs/>
          <w:color w:val="000000"/>
          <w:sz w:val="32"/>
          <w:szCs w:val="32"/>
          <w:lang w:eastAsia="zh-CN"/>
        </w:rPr>
      </w:pPr>
      <w:r>
        <w:rPr>
          <w:rStyle w:val="14"/>
          <w:rFonts w:hint="eastAsia" w:ascii="仿宋" w:hAnsi="仿宋" w:eastAsia="仿宋" w:cs="Times New Roman"/>
          <w:bCs/>
          <w:color w:val="000000"/>
          <w:sz w:val="32"/>
          <w:szCs w:val="32"/>
          <w:lang w:val="en-US" w:eastAsia="zh-CN"/>
        </w:rPr>
        <w:t>3</w:t>
      </w:r>
      <w:r>
        <w:rPr>
          <w:rStyle w:val="14"/>
          <w:rFonts w:hint="eastAsia" w:ascii="仿宋" w:hAnsi="仿宋" w:eastAsia="仿宋" w:cs="Times New Roman"/>
          <w:bCs/>
          <w:color w:val="000000"/>
          <w:sz w:val="32"/>
          <w:szCs w:val="32"/>
        </w:rPr>
        <w:t>.</w:t>
      </w:r>
      <w:r>
        <w:rPr>
          <w:rStyle w:val="14"/>
          <w:rFonts w:hint="eastAsia" w:ascii="仿宋" w:hAnsi="仿宋" w:eastAsia="仿宋" w:cs="Times New Roman"/>
          <w:bCs/>
          <w:color w:val="000000"/>
          <w:sz w:val="32"/>
          <w:szCs w:val="32"/>
          <w:lang w:eastAsia="zh-CN"/>
        </w:rPr>
        <w:t>文化旅游体育与传媒支出</w:t>
      </w:r>
    </w:p>
    <w:p>
      <w:pPr>
        <w:spacing w:line="600" w:lineRule="exact"/>
        <w:ind w:firstLine="643" w:firstLineChars="200"/>
        <w:rPr>
          <w:rStyle w:val="14"/>
          <w:rFonts w:hint="eastAsia" w:ascii="仿宋" w:hAnsi="仿宋" w:eastAsia="仿宋" w:cs="Times New Roman"/>
          <w:b w:val="0"/>
          <w:bCs w:val="0"/>
          <w:color w:val="000000"/>
          <w:sz w:val="32"/>
          <w:szCs w:val="32"/>
          <w:lang w:eastAsia="zh-CN"/>
        </w:rPr>
      </w:pPr>
      <w:r>
        <w:rPr>
          <w:rStyle w:val="14"/>
          <w:rFonts w:hint="eastAsia" w:ascii="仿宋" w:hAnsi="仿宋" w:eastAsia="仿宋" w:cs="Times New Roman"/>
          <w:bCs/>
          <w:color w:val="000000"/>
          <w:sz w:val="32"/>
          <w:szCs w:val="32"/>
          <w:lang w:eastAsia="zh-CN"/>
        </w:rPr>
        <w:t>（</w:t>
      </w:r>
      <w:r>
        <w:rPr>
          <w:rStyle w:val="14"/>
          <w:rFonts w:hint="eastAsia" w:ascii="仿宋" w:hAnsi="仿宋" w:eastAsia="仿宋" w:cs="Times New Roman"/>
          <w:bCs/>
          <w:color w:val="000000"/>
          <w:sz w:val="32"/>
          <w:szCs w:val="32"/>
          <w:lang w:val="en-US" w:eastAsia="zh-CN"/>
        </w:rPr>
        <w:t>1</w:t>
      </w:r>
      <w:r>
        <w:rPr>
          <w:rStyle w:val="14"/>
          <w:rFonts w:hint="eastAsia" w:ascii="仿宋" w:hAnsi="仿宋" w:eastAsia="仿宋" w:cs="Times New Roman"/>
          <w:bCs/>
          <w:color w:val="000000"/>
          <w:sz w:val="32"/>
          <w:szCs w:val="32"/>
          <w:lang w:eastAsia="zh-CN"/>
        </w:rPr>
        <w:t>）</w:t>
      </w:r>
      <w:r>
        <w:rPr>
          <w:rStyle w:val="14"/>
          <w:rFonts w:hint="eastAsia" w:ascii="仿宋" w:hAnsi="仿宋" w:eastAsia="仿宋" w:cs="Times New Roman"/>
          <w:bCs/>
          <w:color w:val="000000"/>
          <w:sz w:val="32"/>
          <w:szCs w:val="32"/>
        </w:rPr>
        <w:t>文化体育与传媒（类）体育（款）行政运行（项）:</w:t>
      </w:r>
      <w:r>
        <w:rPr>
          <w:rStyle w:val="14"/>
          <w:rFonts w:hint="eastAsia" w:ascii="仿宋" w:hAnsi="仿宋" w:eastAsia="仿宋" w:cs="Times New Roman"/>
          <w:b w:val="0"/>
          <w:bCs w:val="0"/>
          <w:color w:val="000000"/>
          <w:sz w:val="32"/>
          <w:szCs w:val="32"/>
          <w:lang w:eastAsia="zh-CN"/>
        </w:rPr>
        <w:t>支出</w:t>
      </w:r>
      <w:r>
        <w:rPr>
          <w:rStyle w:val="14"/>
          <w:rFonts w:hint="eastAsia" w:ascii="仿宋" w:hAnsi="仿宋" w:eastAsia="仿宋" w:cs="Times New Roman"/>
          <w:b w:val="0"/>
          <w:bCs w:val="0"/>
          <w:color w:val="000000"/>
          <w:sz w:val="32"/>
          <w:szCs w:val="32"/>
        </w:rPr>
        <w:t>决算为</w:t>
      </w:r>
      <w:r>
        <w:rPr>
          <w:rStyle w:val="14"/>
          <w:rFonts w:hint="eastAsia" w:ascii="仿宋" w:hAnsi="仿宋" w:eastAsia="仿宋" w:cs="Times New Roman"/>
          <w:b w:val="0"/>
          <w:bCs w:val="0"/>
          <w:color w:val="000000"/>
          <w:sz w:val="32"/>
          <w:szCs w:val="32"/>
          <w:lang w:val="en-US" w:eastAsia="zh-CN"/>
        </w:rPr>
        <w:t>145.37</w:t>
      </w:r>
      <w:r>
        <w:rPr>
          <w:rStyle w:val="14"/>
          <w:rFonts w:hint="eastAsia" w:ascii="仿宋" w:hAnsi="仿宋" w:eastAsia="仿宋" w:cs="Times New Roman"/>
          <w:b w:val="0"/>
          <w:bCs w:val="0"/>
          <w:color w:val="000000"/>
          <w:sz w:val="32"/>
          <w:szCs w:val="32"/>
        </w:rPr>
        <w:t>万元，完成预算</w:t>
      </w:r>
      <w:r>
        <w:rPr>
          <w:rStyle w:val="14"/>
          <w:rFonts w:hint="eastAsia" w:ascii="仿宋" w:hAnsi="仿宋" w:eastAsia="仿宋" w:cs="Times New Roman"/>
          <w:b w:val="0"/>
          <w:bCs w:val="0"/>
          <w:color w:val="000000"/>
          <w:sz w:val="32"/>
          <w:szCs w:val="32"/>
          <w:lang w:val="en-US" w:eastAsia="zh-CN"/>
        </w:rPr>
        <w:t>100</w:t>
      </w:r>
      <w:r>
        <w:rPr>
          <w:rStyle w:val="14"/>
          <w:rFonts w:hint="eastAsia" w:ascii="仿宋" w:hAnsi="仿宋" w:eastAsia="仿宋" w:cs="Times New Roman"/>
          <w:b w:val="0"/>
          <w:bCs w:val="0"/>
          <w:color w:val="000000"/>
          <w:sz w:val="32"/>
          <w:szCs w:val="32"/>
        </w:rPr>
        <w:t>%</w:t>
      </w:r>
      <w:r>
        <w:rPr>
          <w:rStyle w:val="14"/>
          <w:rFonts w:hint="eastAsia" w:ascii="仿宋" w:hAnsi="仿宋" w:eastAsia="仿宋" w:cs="Times New Roman"/>
          <w:b w:val="0"/>
          <w:bCs w:val="0"/>
          <w:color w:val="000000"/>
          <w:sz w:val="32"/>
          <w:szCs w:val="32"/>
          <w:lang w:eastAsia="zh-CN"/>
        </w:rPr>
        <w:t>。</w:t>
      </w:r>
    </w:p>
    <w:p>
      <w:pPr>
        <w:spacing w:line="600" w:lineRule="exact"/>
        <w:ind w:firstLine="643" w:firstLineChars="200"/>
        <w:rPr>
          <w:rStyle w:val="14"/>
          <w:rFonts w:hint="eastAsia" w:ascii="仿宋" w:hAnsi="仿宋" w:eastAsia="仿宋" w:cs="Times New Roman"/>
          <w:b w:val="0"/>
          <w:bCs w:val="0"/>
          <w:color w:val="000000"/>
          <w:sz w:val="32"/>
          <w:szCs w:val="32"/>
          <w:lang w:eastAsia="zh-CN"/>
        </w:rPr>
      </w:pPr>
      <w:r>
        <w:rPr>
          <w:rStyle w:val="14"/>
          <w:rFonts w:hint="eastAsia" w:ascii="仿宋" w:hAnsi="仿宋" w:eastAsia="仿宋" w:cs="Times New Roman"/>
          <w:bCs/>
          <w:color w:val="000000"/>
          <w:sz w:val="32"/>
          <w:szCs w:val="32"/>
          <w:lang w:eastAsia="zh-CN"/>
        </w:rPr>
        <w:t>（</w:t>
      </w:r>
      <w:r>
        <w:rPr>
          <w:rStyle w:val="14"/>
          <w:rFonts w:hint="eastAsia" w:ascii="仿宋" w:hAnsi="仿宋" w:eastAsia="仿宋" w:cs="Times New Roman"/>
          <w:bCs/>
          <w:color w:val="000000"/>
          <w:sz w:val="32"/>
          <w:szCs w:val="32"/>
          <w:lang w:val="en-US" w:eastAsia="zh-CN"/>
        </w:rPr>
        <w:t>2</w:t>
      </w:r>
      <w:r>
        <w:rPr>
          <w:rStyle w:val="14"/>
          <w:rFonts w:hint="eastAsia" w:ascii="仿宋" w:hAnsi="仿宋" w:eastAsia="仿宋" w:cs="Times New Roman"/>
          <w:bCs/>
          <w:color w:val="000000"/>
          <w:sz w:val="32"/>
          <w:szCs w:val="32"/>
          <w:lang w:eastAsia="zh-CN"/>
        </w:rPr>
        <w:t>）</w:t>
      </w:r>
      <w:r>
        <w:rPr>
          <w:rStyle w:val="14"/>
          <w:rFonts w:hint="eastAsia" w:ascii="仿宋" w:hAnsi="仿宋" w:eastAsia="仿宋" w:cs="Times New Roman"/>
          <w:bCs/>
          <w:color w:val="000000"/>
          <w:sz w:val="32"/>
          <w:szCs w:val="32"/>
        </w:rPr>
        <w:t>文化体育与传媒（类）体育（款）一般行政管理事务（项）:</w:t>
      </w:r>
      <w:r>
        <w:rPr>
          <w:rStyle w:val="14"/>
          <w:rFonts w:hint="eastAsia" w:ascii="仿宋" w:hAnsi="仿宋" w:eastAsia="仿宋" w:cs="Times New Roman"/>
          <w:b w:val="0"/>
          <w:bCs w:val="0"/>
          <w:color w:val="000000"/>
          <w:sz w:val="32"/>
          <w:szCs w:val="32"/>
          <w:lang w:eastAsia="zh-CN"/>
        </w:rPr>
        <w:t>支出</w:t>
      </w:r>
      <w:r>
        <w:rPr>
          <w:rStyle w:val="14"/>
          <w:rFonts w:hint="eastAsia" w:ascii="仿宋" w:hAnsi="仿宋" w:eastAsia="仿宋" w:cs="Times New Roman"/>
          <w:b w:val="0"/>
          <w:bCs w:val="0"/>
          <w:color w:val="000000"/>
          <w:sz w:val="32"/>
          <w:szCs w:val="32"/>
        </w:rPr>
        <w:t>决算为</w:t>
      </w:r>
      <w:r>
        <w:rPr>
          <w:rStyle w:val="14"/>
          <w:rFonts w:hint="eastAsia" w:ascii="仿宋" w:hAnsi="仿宋" w:eastAsia="仿宋" w:cs="Times New Roman"/>
          <w:b w:val="0"/>
          <w:bCs w:val="0"/>
          <w:color w:val="000000"/>
          <w:sz w:val="32"/>
          <w:szCs w:val="32"/>
          <w:lang w:val="en-US" w:eastAsia="zh-CN"/>
        </w:rPr>
        <w:t>43.40</w:t>
      </w:r>
      <w:r>
        <w:rPr>
          <w:rStyle w:val="14"/>
          <w:rFonts w:hint="eastAsia" w:ascii="仿宋" w:hAnsi="仿宋" w:eastAsia="仿宋" w:cs="Times New Roman"/>
          <w:b w:val="0"/>
          <w:bCs w:val="0"/>
          <w:color w:val="000000"/>
          <w:sz w:val="32"/>
          <w:szCs w:val="32"/>
        </w:rPr>
        <w:t>万元，完成预算100%</w:t>
      </w:r>
      <w:r>
        <w:rPr>
          <w:rStyle w:val="14"/>
          <w:rFonts w:hint="eastAsia" w:ascii="仿宋" w:hAnsi="仿宋" w:eastAsia="仿宋" w:cs="Times New Roman"/>
          <w:b w:val="0"/>
          <w:bCs w:val="0"/>
          <w:color w:val="000000"/>
          <w:sz w:val="32"/>
          <w:szCs w:val="32"/>
          <w:lang w:eastAsia="zh-CN"/>
        </w:rPr>
        <w:t>。</w:t>
      </w:r>
    </w:p>
    <w:p>
      <w:pPr>
        <w:spacing w:line="600" w:lineRule="exact"/>
        <w:ind w:firstLine="643" w:firstLineChars="200"/>
        <w:rPr>
          <w:rStyle w:val="14"/>
          <w:rFonts w:hint="eastAsia" w:ascii="仿宋" w:hAnsi="仿宋" w:eastAsia="仿宋" w:cs="Times New Roman"/>
          <w:bCs/>
          <w:color w:val="000000"/>
          <w:sz w:val="32"/>
          <w:szCs w:val="32"/>
          <w:lang w:eastAsia="zh-CN"/>
        </w:rPr>
      </w:pPr>
      <w:r>
        <w:rPr>
          <w:rStyle w:val="14"/>
          <w:rFonts w:hint="eastAsia" w:ascii="仿宋" w:hAnsi="仿宋" w:eastAsia="仿宋" w:cs="Times New Roman"/>
          <w:bCs/>
          <w:color w:val="000000"/>
          <w:sz w:val="32"/>
          <w:szCs w:val="32"/>
          <w:lang w:eastAsia="zh-CN"/>
        </w:rPr>
        <w:t>（</w:t>
      </w:r>
      <w:r>
        <w:rPr>
          <w:rStyle w:val="14"/>
          <w:rFonts w:hint="eastAsia" w:ascii="仿宋" w:hAnsi="仿宋" w:eastAsia="仿宋" w:cs="Times New Roman"/>
          <w:bCs/>
          <w:color w:val="000000"/>
          <w:sz w:val="32"/>
          <w:szCs w:val="32"/>
          <w:lang w:val="en-US" w:eastAsia="zh-CN"/>
        </w:rPr>
        <w:t>3</w:t>
      </w:r>
      <w:r>
        <w:rPr>
          <w:rStyle w:val="14"/>
          <w:rFonts w:hint="eastAsia" w:ascii="仿宋" w:hAnsi="仿宋" w:eastAsia="仿宋" w:cs="Times New Roman"/>
          <w:bCs/>
          <w:color w:val="000000"/>
          <w:sz w:val="32"/>
          <w:szCs w:val="32"/>
          <w:lang w:eastAsia="zh-CN"/>
        </w:rPr>
        <w:t>）</w:t>
      </w:r>
      <w:r>
        <w:rPr>
          <w:rStyle w:val="14"/>
          <w:rFonts w:hint="eastAsia" w:ascii="仿宋" w:hAnsi="仿宋" w:eastAsia="仿宋" w:cs="Times New Roman"/>
          <w:bCs/>
          <w:color w:val="000000"/>
          <w:sz w:val="32"/>
          <w:szCs w:val="32"/>
        </w:rPr>
        <w:t>文化体育与传媒（类）体育（款）体育竞赛（项）:</w:t>
      </w:r>
      <w:r>
        <w:rPr>
          <w:rStyle w:val="14"/>
          <w:rFonts w:hint="eastAsia" w:ascii="仿宋" w:hAnsi="仿宋" w:eastAsia="仿宋" w:cs="Times New Roman"/>
          <w:b w:val="0"/>
          <w:bCs w:val="0"/>
          <w:color w:val="000000"/>
          <w:sz w:val="32"/>
          <w:szCs w:val="32"/>
          <w:lang w:eastAsia="zh-CN"/>
        </w:rPr>
        <w:t>支出</w:t>
      </w:r>
      <w:r>
        <w:rPr>
          <w:rStyle w:val="14"/>
          <w:rFonts w:hint="eastAsia" w:ascii="仿宋" w:hAnsi="仿宋" w:eastAsia="仿宋" w:cs="Times New Roman"/>
          <w:b w:val="0"/>
          <w:bCs w:val="0"/>
          <w:color w:val="000000"/>
          <w:sz w:val="32"/>
          <w:szCs w:val="32"/>
        </w:rPr>
        <w:t>决算为</w:t>
      </w:r>
      <w:r>
        <w:rPr>
          <w:rStyle w:val="14"/>
          <w:rFonts w:hint="eastAsia" w:ascii="仿宋" w:hAnsi="仿宋" w:eastAsia="仿宋" w:cs="Times New Roman"/>
          <w:b w:val="0"/>
          <w:bCs w:val="0"/>
          <w:color w:val="000000"/>
          <w:sz w:val="32"/>
          <w:szCs w:val="32"/>
          <w:lang w:val="en-US" w:eastAsia="zh-CN"/>
        </w:rPr>
        <w:t>839.49</w:t>
      </w:r>
      <w:r>
        <w:rPr>
          <w:rStyle w:val="14"/>
          <w:rFonts w:hint="eastAsia" w:ascii="仿宋" w:hAnsi="仿宋" w:eastAsia="仿宋" w:cs="Times New Roman"/>
          <w:b w:val="0"/>
          <w:bCs w:val="0"/>
          <w:color w:val="000000"/>
          <w:sz w:val="32"/>
          <w:szCs w:val="32"/>
        </w:rPr>
        <w:t>万元，完成预算</w:t>
      </w:r>
      <w:r>
        <w:rPr>
          <w:rStyle w:val="14"/>
          <w:rFonts w:hint="eastAsia" w:ascii="仿宋" w:hAnsi="仿宋" w:eastAsia="仿宋" w:cs="Times New Roman"/>
          <w:b w:val="0"/>
          <w:bCs w:val="0"/>
          <w:color w:val="000000"/>
          <w:sz w:val="32"/>
          <w:szCs w:val="32"/>
          <w:lang w:val="en-US" w:eastAsia="zh-CN"/>
        </w:rPr>
        <w:t>100</w:t>
      </w:r>
      <w:r>
        <w:rPr>
          <w:rStyle w:val="14"/>
          <w:rFonts w:hint="eastAsia" w:ascii="仿宋" w:hAnsi="仿宋" w:eastAsia="仿宋" w:cs="Times New Roman"/>
          <w:b w:val="0"/>
          <w:bCs w:val="0"/>
          <w:color w:val="000000"/>
          <w:sz w:val="32"/>
          <w:szCs w:val="32"/>
        </w:rPr>
        <w:t>%</w:t>
      </w:r>
      <w:r>
        <w:rPr>
          <w:rStyle w:val="14"/>
          <w:rFonts w:hint="eastAsia" w:ascii="仿宋" w:hAnsi="仿宋" w:eastAsia="仿宋" w:cs="Times New Roman"/>
          <w:b w:val="0"/>
          <w:bCs w:val="0"/>
          <w:color w:val="000000"/>
          <w:sz w:val="32"/>
          <w:szCs w:val="32"/>
          <w:lang w:eastAsia="zh-CN"/>
        </w:rPr>
        <w:t>。</w:t>
      </w:r>
    </w:p>
    <w:p>
      <w:pPr>
        <w:spacing w:line="600" w:lineRule="exact"/>
        <w:ind w:firstLine="643" w:firstLineChars="200"/>
        <w:rPr>
          <w:rStyle w:val="14"/>
          <w:rFonts w:hint="eastAsia" w:ascii="仿宋" w:hAnsi="仿宋" w:eastAsia="仿宋" w:cs="Times New Roman"/>
          <w:bCs/>
          <w:color w:val="000000"/>
          <w:sz w:val="32"/>
          <w:szCs w:val="32"/>
          <w:lang w:eastAsia="zh-CN"/>
        </w:rPr>
      </w:pPr>
      <w:r>
        <w:rPr>
          <w:rStyle w:val="14"/>
          <w:rFonts w:hint="eastAsia" w:ascii="仿宋" w:hAnsi="仿宋" w:eastAsia="仿宋" w:cs="Times New Roman"/>
          <w:bCs/>
          <w:color w:val="000000"/>
          <w:sz w:val="32"/>
          <w:szCs w:val="32"/>
          <w:lang w:eastAsia="zh-CN"/>
        </w:rPr>
        <w:t>（</w:t>
      </w:r>
      <w:r>
        <w:rPr>
          <w:rStyle w:val="14"/>
          <w:rFonts w:hint="eastAsia" w:ascii="仿宋" w:hAnsi="仿宋" w:eastAsia="仿宋" w:cs="Times New Roman"/>
          <w:bCs/>
          <w:color w:val="000000"/>
          <w:sz w:val="32"/>
          <w:szCs w:val="32"/>
          <w:lang w:val="en-US" w:eastAsia="zh-CN"/>
        </w:rPr>
        <w:t>4</w:t>
      </w:r>
      <w:r>
        <w:rPr>
          <w:rStyle w:val="14"/>
          <w:rFonts w:hint="eastAsia" w:ascii="仿宋" w:hAnsi="仿宋" w:eastAsia="仿宋" w:cs="Times New Roman"/>
          <w:bCs/>
          <w:color w:val="000000"/>
          <w:sz w:val="32"/>
          <w:szCs w:val="32"/>
          <w:lang w:eastAsia="zh-CN"/>
        </w:rPr>
        <w:t>）</w:t>
      </w:r>
      <w:r>
        <w:rPr>
          <w:rStyle w:val="14"/>
          <w:rFonts w:hint="eastAsia" w:ascii="仿宋" w:hAnsi="仿宋" w:eastAsia="仿宋" w:cs="Times New Roman"/>
          <w:bCs/>
          <w:color w:val="000000"/>
          <w:sz w:val="32"/>
          <w:szCs w:val="32"/>
        </w:rPr>
        <w:t>文化体育与传媒（类）体育（款）体育训练（项）:</w:t>
      </w:r>
      <w:r>
        <w:rPr>
          <w:rStyle w:val="14"/>
          <w:rFonts w:hint="eastAsia" w:ascii="仿宋" w:hAnsi="仿宋" w:eastAsia="仿宋" w:cs="Times New Roman"/>
          <w:b w:val="0"/>
          <w:bCs w:val="0"/>
          <w:color w:val="000000"/>
          <w:sz w:val="32"/>
          <w:szCs w:val="32"/>
          <w:lang w:eastAsia="zh-CN"/>
        </w:rPr>
        <w:t>支出</w:t>
      </w:r>
      <w:r>
        <w:rPr>
          <w:rStyle w:val="14"/>
          <w:rFonts w:hint="eastAsia" w:ascii="仿宋" w:hAnsi="仿宋" w:eastAsia="仿宋" w:cs="Times New Roman"/>
          <w:b w:val="0"/>
          <w:bCs w:val="0"/>
          <w:color w:val="000000"/>
          <w:sz w:val="32"/>
          <w:szCs w:val="32"/>
        </w:rPr>
        <w:t>决算为</w:t>
      </w:r>
      <w:r>
        <w:rPr>
          <w:rStyle w:val="14"/>
          <w:rFonts w:hint="eastAsia" w:ascii="仿宋" w:hAnsi="仿宋" w:eastAsia="仿宋" w:cs="Times New Roman"/>
          <w:b w:val="0"/>
          <w:bCs w:val="0"/>
          <w:color w:val="000000"/>
          <w:sz w:val="32"/>
          <w:szCs w:val="32"/>
          <w:lang w:val="en-US" w:eastAsia="zh-CN"/>
        </w:rPr>
        <w:t>136.8</w:t>
      </w:r>
      <w:r>
        <w:rPr>
          <w:rStyle w:val="14"/>
          <w:rFonts w:hint="eastAsia" w:ascii="仿宋" w:hAnsi="仿宋" w:eastAsia="仿宋" w:cs="Times New Roman"/>
          <w:b w:val="0"/>
          <w:bCs w:val="0"/>
          <w:color w:val="000000"/>
          <w:sz w:val="32"/>
          <w:szCs w:val="32"/>
        </w:rPr>
        <w:t>万元，完成预算100%</w:t>
      </w:r>
      <w:r>
        <w:rPr>
          <w:rStyle w:val="14"/>
          <w:rFonts w:hint="eastAsia" w:ascii="仿宋" w:hAnsi="仿宋" w:eastAsia="仿宋" w:cs="Times New Roman"/>
          <w:b w:val="0"/>
          <w:bCs w:val="0"/>
          <w:color w:val="000000"/>
          <w:sz w:val="32"/>
          <w:szCs w:val="32"/>
          <w:lang w:eastAsia="zh-CN"/>
        </w:rPr>
        <w:t>。</w:t>
      </w:r>
    </w:p>
    <w:p>
      <w:pPr>
        <w:spacing w:line="600" w:lineRule="exact"/>
        <w:ind w:firstLine="643" w:firstLineChars="200"/>
        <w:rPr>
          <w:rStyle w:val="14"/>
          <w:rFonts w:hint="eastAsia" w:ascii="仿宋" w:hAnsi="仿宋" w:eastAsia="仿宋" w:cs="Times New Roman"/>
          <w:bCs/>
          <w:color w:val="000000"/>
          <w:sz w:val="32"/>
          <w:szCs w:val="32"/>
          <w:lang w:eastAsia="zh-CN"/>
        </w:rPr>
      </w:pPr>
      <w:r>
        <w:rPr>
          <w:rStyle w:val="14"/>
          <w:rFonts w:hint="eastAsia" w:ascii="仿宋" w:hAnsi="仿宋" w:eastAsia="仿宋" w:cs="Times New Roman"/>
          <w:bCs/>
          <w:color w:val="000000"/>
          <w:sz w:val="32"/>
          <w:szCs w:val="32"/>
          <w:lang w:eastAsia="zh-CN"/>
        </w:rPr>
        <w:t>（</w:t>
      </w:r>
      <w:r>
        <w:rPr>
          <w:rStyle w:val="14"/>
          <w:rFonts w:hint="eastAsia" w:ascii="仿宋" w:hAnsi="仿宋" w:eastAsia="仿宋" w:cs="Times New Roman"/>
          <w:bCs/>
          <w:color w:val="000000"/>
          <w:sz w:val="32"/>
          <w:szCs w:val="32"/>
          <w:lang w:val="en-US" w:eastAsia="zh-CN"/>
        </w:rPr>
        <w:t>5</w:t>
      </w:r>
      <w:r>
        <w:rPr>
          <w:rStyle w:val="14"/>
          <w:rFonts w:hint="eastAsia" w:ascii="仿宋" w:hAnsi="仿宋" w:eastAsia="仿宋" w:cs="Times New Roman"/>
          <w:bCs/>
          <w:color w:val="000000"/>
          <w:sz w:val="32"/>
          <w:szCs w:val="32"/>
          <w:lang w:eastAsia="zh-CN"/>
        </w:rPr>
        <w:t>）文化体育与传媒（类）体育（款）体育场馆（项）:</w:t>
      </w:r>
      <w:r>
        <w:rPr>
          <w:rStyle w:val="14"/>
          <w:rFonts w:hint="eastAsia" w:ascii="仿宋" w:hAnsi="仿宋" w:eastAsia="仿宋" w:cs="Times New Roman"/>
          <w:b w:val="0"/>
          <w:bCs w:val="0"/>
          <w:color w:val="000000"/>
          <w:sz w:val="32"/>
          <w:szCs w:val="32"/>
          <w:lang w:eastAsia="zh-CN"/>
        </w:rPr>
        <w:t>支出决算为</w:t>
      </w:r>
      <w:r>
        <w:rPr>
          <w:rStyle w:val="14"/>
          <w:rFonts w:hint="eastAsia" w:ascii="仿宋" w:hAnsi="仿宋" w:eastAsia="仿宋" w:cs="Times New Roman"/>
          <w:b w:val="0"/>
          <w:bCs w:val="0"/>
          <w:color w:val="000000"/>
          <w:sz w:val="32"/>
          <w:szCs w:val="32"/>
          <w:lang w:val="en-US" w:eastAsia="zh-CN"/>
        </w:rPr>
        <w:t>343.6</w:t>
      </w:r>
      <w:r>
        <w:rPr>
          <w:rStyle w:val="14"/>
          <w:rFonts w:hint="eastAsia" w:ascii="仿宋" w:hAnsi="仿宋" w:eastAsia="仿宋" w:cs="Times New Roman"/>
          <w:b w:val="0"/>
          <w:bCs w:val="0"/>
          <w:color w:val="000000"/>
          <w:sz w:val="32"/>
          <w:szCs w:val="32"/>
          <w:lang w:eastAsia="zh-CN"/>
        </w:rPr>
        <w:t>万元，完成预算100%。</w:t>
      </w:r>
    </w:p>
    <w:p>
      <w:pPr>
        <w:spacing w:line="600" w:lineRule="exact"/>
        <w:ind w:firstLine="643" w:firstLineChars="200"/>
        <w:rPr>
          <w:rStyle w:val="14"/>
          <w:rFonts w:hint="eastAsia" w:ascii="仿宋" w:hAnsi="仿宋" w:eastAsia="仿宋" w:cs="Times New Roman"/>
          <w:bCs/>
          <w:color w:val="000000"/>
          <w:sz w:val="32"/>
          <w:szCs w:val="32"/>
          <w:lang w:eastAsia="zh-CN"/>
        </w:rPr>
      </w:pPr>
      <w:r>
        <w:rPr>
          <w:rStyle w:val="14"/>
          <w:rFonts w:hint="eastAsia" w:ascii="仿宋" w:hAnsi="仿宋" w:eastAsia="仿宋" w:cs="Times New Roman"/>
          <w:bCs/>
          <w:color w:val="000000"/>
          <w:sz w:val="32"/>
          <w:szCs w:val="32"/>
          <w:lang w:eastAsia="zh-CN"/>
        </w:rPr>
        <w:t>（</w:t>
      </w:r>
      <w:r>
        <w:rPr>
          <w:rStyle w:val="14"/>
          <w:rFonts w:hint="eastAsia" w:ascii="仿宋" w:hAnsi="仿宋" w:eastAsia="仿宋" w:cs="Times New Roman"/>
          <w:bCs/>
          <w:color w:val="000000"/>
          <w:sz w:val="32"/>
          <w:szCs w:val="32"/>
          <w:lang w:val="en-US" w:eastAsia="zh-CN"/>
        </w:rPr>
        <w:t>6</w:t>
      </w:r>
      <w:r>
        <w:rPr>
          <w:rStyle w:val="14"/>
          <w:rFonts w:hint="eastAsia" w:ascii="仿宋" w:hAnsi="仿宋" w:eastAsia="仿宋" w:cs="Times New Roman"/>
          <w:bCs/>
          <w:color w:val="000000"/>
          <w:sz w:val="32"/>
          <w:szCs w:val="32"/>
          <w:lang w:eastAsia="zh-CN"/>
        </w:rPr>
        <w:t>）文化体育与传媒（类）体育（款）群众体育（项）:</w:t>
      </w:r>
      <w:r>
        <w:rPr>
          <w:rStyle w:val="14"/>
          <w:rFonts w:hint="eastAsia" w:ascii="仿宋" w:hAnsi="仿宋" w:eastAsia="仿宋" w:cs="Times New Roman"/>
          <w:b w:val="0"/>
          <w:bCs w:val="0"/>
          <w:color w:val="000000"/>
          <w:sz w:val="32"/>
          <w:szCs w:val="32"/>
          <w:lang w:eastAsia="zh-CN"/>
        </w:rPr>
        <w:t>支出决算为</w:t>
      </w:r>
      <w:r>
        <w:rPr>
          <w:rStyle w:val="14"/>
          <w:rFonts w:hint="eastAsia" w:ascii="仿宋" w:hAnsi="仿宋" w:eastAsia="仿宋" w:cs="Times New Roman"/>
          <w:b w:val="0"/>
          <w:bCs w:val="0"/>
          <w:color w:val="000000"/>
          <w:sz w:val="32"/>
          <w:szCs w:val="32"/>
          <w:lang w:val="en-US" w:eastAsia="zh-CN"/>
        </w:rPr>
        <w:t>130.02</w:t>
      </w:r>
      <w:r>
        <w:rPr>
          <w:rStyle w:val="14"/>
          <w:rFonts w:hint="eastAsia" w:ascii="仿宋" w:hAnsi="仿宋" w:eastAsia="仿宋" w:cs="Times New Roman"/>
          <w:b w:val="0"/>
          <w:bCs w:val="0"/>
          <w:color w:val="000000"/>
          <w:sz w:val="32"/>
          <w:szCs w:val="32"/>
          <w:lang w:eastAsia="zh-CN"/>
        </w:rPr>
        <w:t>万元，完成预算100%。</w:t>
      </w:r>
    </w:p>
    <w:p>
      <w:pPr>
        <w:spacing w:line="600" w:lineRule="exact"/>
        <w:ind w:firstLine="643" w:firstLineChars="200"/>
        <w:rPr>
          <w:rStyle w:val="14"/>
          <w:rFonts w:hint="eastAsia" w:ascii="仿宋" w:hAnsi="仿宋" w:eastAsia="仿宋" w:cs="Times New Roman"/>
          <w:bCs/>
          <w:color w:val="000000"/>
          <w:sz w:val="32"/>
          <w:szCs w:val="32"/>
          <w:lang w:eastAsia="zh-CN"/>
        </w:rPr>
      </w:pPr>
      <w:r>
        <w:rPr>
          <w:rStyle w:val="14"/>
          <w:rFonts w:hint="eastAsia" w:ascii="仿宋" w:hAnsi="仿宋" w:eastAsia="仿宋" w:cs="Times New Roman"/>
          <w:bCs/>
          <w:color w:val="000000"/>
          <w:sz w:val="32"/>
          <w:szCs w:val="32"/>
          <w:lang w:eastAsia="zh-CN"/>
        </w:rPr>
        <w:t>（</w:t>
      </w:r>
      <w:r>
        <w:rPr>
          <w:rStyle w:val="14"/>
          <w:rFonts w:hint="eastAsia" w:ascii="仿宋" w:hAnsi="仿宋" w:eastAsia="仿宋" w:cs="Times New Roman"/>
          <w:bCs/>
          <w:color w:val="000000"/>
          <w:sz w:val="32"/>
          <w:szCs w:val="32"/>
          <w:lang w:val="en-US" w:eastAsia="zh-CN"/>
        </w:rPr>
        <w:t>7</w:t>
      </w:r>
      <w:r>
        <w:rPr>
          <w:rStyle w:val="14"/>
          <w:rFonts w:hint="eastAsia" w:ascii="仿宋" w:hAnsi="仿宋" w:eastAsia="仿宋" w:cs="Times New Roman"/>
          <w:bCs/>
          <w:color w:val="000000"/>
          <w:sz w:val="32"/>
          <w:szCs w:val="32"/>
          <w:lang w:eastAsia="zh-CN"/>
        </w:rPr>
        <w:t>）文化体育与传媒（类）体育（款）体育交流与合作（项）:</w:t>
      </w:r>
      <w:r>
        <w:rPr>
          <w:rStyle w:val="14"/>
          <w:rFonts w:hint="eastAsia" w:ascii="仿宋" w:hAnsi="仿宋" w:eastAsia="仿宋" w:cs="Times New Roman"/>
          <w:b w:val="0"/>
          <w:bCs w:val="0"/>
          <w:color w:val="000000"/>
          <w:sz w:val="32"/>
          <w:szCs w:val="32"/>
          <w:lang w:eastAsia="zh-CN"/>
        </w:rPr>
        <w:t>支出决算为</w:t>
      </w:r>
      <w:r>
        <w:rPr>
          <w:rStyle w:val="14"/>
          <w:rFonts w:hint="eastAsia" w:ascii="仿宋" w:hAnsi="仿宋" w:eastAsia="仿宋" w:cs="Times New Roman"/>
          <w:b w:val="0"/>
          <w:bCs w:val="0"/>
          <w:color w:val="000000"/>
          <w:sz w:val="32"/>
          <w:szCs w:val="32"/>
          <w:lang w:val="en-US" w:eastAsia="zh-CN"/>
        </w:rPr>
        <w:t>79.32</w:t>
      </w:r>
      <w:r>
        <w:rPr>
          <w:rStyle w:val="14"/>
          <w:rFonts w:hint="eastAsia" w:ascii="仿宋" w:hAnsi="仿宋" w:eastAsia="仿宋" w:cs="Times New Roman"/>
          <w:b w:val="0"/>
          <w:bCs w:val="0"/>
          <w:color w:val="000000"/>
          <w:sz w:val="32"/>
          <w:szCs w:val="32"/>
          <w:lang w:eastAsia="zh-CN"/>
        </w:rPr>
        <w:t>万元，完成预算100%。</w:t>
      </w:r>
    </w:p>
    <w:p>
      <w:pPr>
        <w:spacing w:line="600" w:lineRule="exact"/>
        <w:ind w:firstLine="643" w:firstLineChars="200"/>
        <w:rPr>
          <w:rStyle w:val="14"/>
          <w:rFonts w:hint="eastAsia" w:ascii="仿宋" w:hAnsi="仿宋" w:eastAsia="仿宋" w:cs="Times New Roman"/>
          <w:b w:val="0"/>
          <w:bCs w:val="0"/>
          <w:color w:val="000000"/>
          <w:sz w:val="32"/>
          <w:szCs w:val="32"/>
          <w:lang w:eastAsia="zh-CN"/>
        </w:rPr>
      </w:pPr>
      <w:r>
        <w:rPr>
          <w:rStyle w:val="14"/>
          <w:rFonts w:hint="eastAsia" w:ascii="仿宋" w:hAnsi="仿宋" w:eastAsia="仿宋" w:cs="Times New Roman"/>
          <w:bCs/>
          <w:color w:val="000000"/>
          <w:sz w:val="32"/>
          <w:szCs w:val="32"/>
          <w:lang w:eastAsia="zh-CN"/>
        </w:rPr>
        <w:t>（</w:t>
      </w:r>
      <w:r>
        <w:rPr>
          <w:rStyle w:val="14"/>
          <w:rFonts w:hint="eastAsia" w:ascii="仿宋" w:hAnsi="仿宋" w:eastAsia="仿宋" w:cs="Times New Roman"/>
          <w:bCs/>
          <w:color w:val="000000"/>
          <w:sz w:val="32"/>
          <w:szCs w:val="32"/>
          <w:lang w:val="en-US" w:eastAsia="zh-CN"/>
        </w:rPr>
        <w:t>8</w:t>
      </w:r>
      <w:r>
        <w:rPr>
          <w:rStyle w:val="14"/>
          <w:rFonts w:hint="eastAsia" w:ascii="仿宋" w:hAnsi="仿宋" w:eastAsia="仿宋" w:cs="Times New Roman"/>
          <w:bCs/>
          <w:color w:val="000000"/>
          <w:sz w:val="32"/>
          <w:szCs w:val="32"/>
          <w:lang w:eastAsia="zh-CN"/>
        </w:rPr>
        <w:t>）文化体育与传媒（类）体育（款）其他体育支出（项）:</w:t>
      </w:r>
      <w:r>
        <w:rPr>
          <w:rStyle w:val="14"/>
          <w:rFonts w:hint="eastAsia" w:ascii="仿宋" w:hAnsi="仿宋" w:eastAsia="仿宋" w:cs="Times New Roman"/>
          <w:b w:val="0"/>
          <w:bCs w:val="0"/>
          <w:color w:val="000000"/>
          <w:sz w:val="32"/>
          <w:szCs w:val="32"/>
          <w:lang w:eastAsia="zh-CN"/>
        </w:rPr>
        <w:t>支出决算为</w:t>
      </w:r>
      <w:r>
        <w:rPr>
          <w:rStyle w:val="14"/>
          <w:rFonts w:hint="eastAsia" w:ascii="仿宋" w:hAnsi="仿宋" w:eastAsia="仿宋" w:cs="Times New Roman"/>
          <w:b w:val="0"/>
          <w:bCs w:val="0"/>
          <w:color w:val="000000"/>
          <w:sz w:val="32"/>
          <w:szCs w:val="32"/>
          <w:lang w:val="en-US" w:eastAsia="zh-CN"/>
        </w:rPr>
        <w:t>341.43</w:t>
      </w:r>
      <w:r>
        <w:rPr>
          <w:rStyle w:val="14"/>
          <w:rFonts w:hint="eastAsia" w:ascii="仿宋" w:hAnsi="仿宋" w:eastAsia="仿宋" w:cs="Times New Roman"/>
          <w:b w:val="0"/>
          <w:bCs w:val="0"/>
          <w:color w:val="000000"/>
          <w:sz w:val="32"/>
          <w:szCs w:val="32"/>
          <w:lang w:eastAsia="zh-CN"/>
        </w:rPr>
        <w:t>万元，完成预算100%。</w:t>
      </w:r>
    </w:p>
    <w:p>
      <w:pPr>
        <w:spacing w:line="600" w:lineRule="exact"/>
        <w:ind w:firstLine="964" w:firstLineChars="300"/>
        <w:rPr>
          <w:rStyle w:val="14"/>
          <w:rFonts w:hint="eastAsia" w:ascii="仿宋" w:hAnsi="仿宋" w:eastAsia="仿宋" w:cs="Times New Roman"/>
          <w:bCs/>
          <w:color w:val="000000"/>
          <w:sz w:val="32"/>
          <w:szCs w:val="32"/>
          <w:lang w:eastAsia="zh-CN"/>
        </w:rPr>
      </w:pPr>
      <w:r>
        <w:rPr>
          <w:rStyle w:val="14"/>
          <w:rFonts w:hint="eastAsia" w:ascii="仿宋" w:hAnsi="仿宋" w:eastAsia="仿宋" w:cs="Times New Roman"/>
          <w:bCs/>
          <w:color w:val="000000"/>
          <w:sz w:val="32"/>
          <w:szCs w:val="32"/>
          <w:lang w:val="en-US" w:eastAsia="zh-CN"/>
        </w:rPr>
        <w:t>4</w:t>
      </w:r>
      <w:r>
        <w:rPr>
          <w:rStyle w:val="14"/>
          <w:rFonts w:ascii="仿宋" w:hAnsi="仿宋" w:eastAsia="仿宋" w:cs="Times New Roman"/>
          <w:bCs/>
          <w:color w:val="000000"/>
          <w:sz w:val="32"/>
          <w:szCs w:val="32"/>
        </w:rPr>
        <w:t>.</w:t>
      </w:r>
      <w:r>
        <w:rPr>
          <w:rStyle w:val="14"/>
          <w:rFonts w:hint="eastAsia" w:ascii="仿宋" w:hAnsi="仿宋" w:eastAsia="仿宋" w:cs="Times New Roman"/>
          <w:bCs/>
          <w:color w:val="000000"/>
          <w:sz w:val="32"/>
          <w:szCs w:val="32"/>
        </w:rPr>
        <w:t>社会保障和就业</w:t>
      </w:r>
      <w:r>
        <w:rPr>
          <w:rStyle w:val="14"/>
          <w:rFonts w:hint="eastAsia" w:ascii="仿宋" w:hAnsi="仿宋" w:eastAsia="仿宋" w:cs="Times New Roman"/>
          <w:bCs/>
          <w:color w:val="000000"/>
          <w:sz w:val="32"/>
          <w:szCs w:val="32"/>
          <w:lang w:eastAsia="zh-CN"/>
        </w:rPr>
        <w:t>支出</w:t>
      </w:r>
    </w:p>
    <w:p>
      <w:pPr>
        <w:spacing w:line="600" w:lineRule="exact"/>
        <w:ind w:firstLine="643" w:firstLineChars="200"/>
        <w:rPr>
          <w:rStyle w:val="14"/>
          <w:rFonts w:ascii="仿宋" w:hAnsi="仿宋" w:eastAsia="仿宋" w:cs="Times New Roman"/>
          <w:b w:val="0"/>
          <w:bCs w:val="0"/>
          <w:color w:val="000000"/>
          <w:sz w:val="32"/>
          <w:szCs w:val="32"/>
        </w:rPr>
      </w:pPr>
      <w:r>
        <w:rPr>
          <w:rStyle w:val="14"/>
          <w:rFonts w:hint="eastAsia" w:ascii="仿宋" w:hAnsi="仿宋" w:eastAsia="仿宋" w:cs="Times New Roman"/>
          <w:bCs/>
          <w:color w:val="000000"/>
          <w:sz w:val="32"/>
          <w:szCs w:val="32"/>
        </w:rPr>
        <w:t>（1）社会保障和就业（类）行政事业单位离退休（款）未归口管理的行政单位离退休（项）：</w:t>
      </w:r>
      <w:r>
        <w:rPr>
          <w:rStyle w:val="14"/>
          <w:rFonts w:hint="eastAsia" w:ascii="仿宋" w:hAnsi="仿宋" w:eastAsia="仿宋" w:cs="Times New Roman"/>
          <w:b w:val="0"/>
          <w:bCs w:val="0"/>
          <w:color w:val="000000"/>
          <w:sz w:val="32"/>
          <w:szCs w:val="32"/>
          <w:lang w:eastAsia="zh-CN"/>
        </w:rPr>
        <w:t>支出</w:t>
      </w:r>
      <w:r>
        <w:rPr>
          <w:rStyle w:val="14"/>
          <w:rFonts w:hint="eastAsia" w:ascii="仿宋" w:hAnsi="仿宋" w:eastAsia="仿宋" w:cs="Times New Roman"/>
          <w:b w:val="0"/>
          <w:bCs w:val="0"/>
          <w:color w:val="000000"/>
          <w:sz w:val="32"/>
          <w:szCs w:val="32"/>
        </w:rPr>
        <w:t>决算为</w:t>
      </w:r>
      <w:r>
        <w:rPr>
          <w:rStyle w:val="14"/>
          <w:rFonts w:hint="eastAsia" w:ascii="仿宋" w:hAnsi="仿宋" w:eastAsia="仿宋" w:cs="Times New Roman"/>
          <w:b w:val="0"/>
          <w:bCs w:val="0"/>
          <w:color w:val="000000"/>
          <w:sz w:val="32"/>
          <w:szCs w:val="32"/>
          <w:lang w:val="en-US" w:eastAsia="zh-CN"/>
        </w:rPr>
        <w:t>17.66</w:t>
      </w:r>
      <w:r>
        <w:rPr>
          <w:rStyle w:val="14"/>
          <w:rFonts w:hint="eastAsia" w:ascii="仿宋" w:hAnsi="仿宋" w:eastAsia="仿宋" w:cs="Times New Roman"/>
          <w:b w:val="0"/>
          <w:bCs w:val="0"/>
          <w:color w:val="000000"/>
          <w:sz w:val="32"/>
          <w:szCs w:val="32"/>
        </w:rPr>
        <w:t>万元，完成预算100%。</w:t>
      </w:r>
    </w:p>
    <w:p>
      <w:pPr>
        <w:spacing w:line="600" w:lineRule="exact"/>
        <w:ind w:firstLine="643" w:firstLineChars="200"/>
        <w:rPr>
          <w:rStyle w:val="14"/>
          <w:rFonts w:hint="eastAsia" w:ascii="仿宋" w:hAnsi="仿宋" w:eastAsia="仿宋" w:cs="Times New Roman"/>
          <w:b w:val="0"/>
          <w:bCs w:val="0"/>
          <w:color w:val="000000"/>
          <w:sz w:val="32"/>
          <w:szCs w:val="32"/>
        </w:rPr>
      </w:pPr>
      <w:r>
        <w:rPr>
          <w:rStyle w:val="14"/>
          <w:rFonts w:hint="eastAsia" w:ascii="仿宋" w:hAnsi="仿宋" w:eastAsia="仿宋" w:cs="Times New Roman"/>
          <w:bCs/>
          <w:color w:val="000000"/>
          <w:sz w:val="32"/>
          <w:szCs w:val="32"/>
        </w:rPr>
        <w:t>（2）社会保障和就业（类）行政事业单位离退休（款）机关事业单位基本养老保险缴费支出（项）</w:t>
      </w:r>
      <w:r>
        <w:rPr>
          <w:rStyle w:val="14"/>
          <w:rFonts w:hint="eastAsia" w:ascii="仿宋" w:hAnsi="仿宋" w:eastAsia="仿宋" w:cs="Times New Roman"/>
          <w:bCs/>
          <w:color w:val="000000"/>
          <w:sz w:val="32"/>
          <w:szCs w:val="32"/>
          <w:lang w:eastAsia="zh-CN"/>
        </w:rPr>
        <w:t>：</w:t>
      </w:r>
      <w:r>
        <w:rPr>
          <w:rStyle w:val="14"/>
          <w:rFonts w:hint="eastAsia" w:ascii="仿宋" w:hAnsi="仿宋" w:eastAsia="仿宋" w:cs="Times New Roman"/>
          <w:b w:val="0"/>
          <w:bCs w:val="0"/>
          <w:color w:val="000000"/>
          <w:sz w:val="32"/>
          <w:szCs w:val="32"/>
          <w:lang w:eastAsia="zh-CN"/>
        </w:rPr>
        <w:t>支出</w:t>
      </w:r>
      <w:r>
        <w:rPr>
          <w:rStyle w:val="14"/>
          <w:rFonts w:hint="eastAsia" w:ascii="仿宋" w:hAnsi="仿宋" w:eastAsia="仿宋" w:cs="Times New Roman"/>
          <w:b w:val="0"/>
          <w:bCs w:val="0"/>
          <w:color w:val="000000"/>
          <w:sz w:val="32"/>
          <w:szCs w:val="32"/>
        </w:rPr>
        <w:t>决算为</w:t>
      </w:r>
      <w:r>
        <w:rPr>
          <w:rStyle w:val="14"/>
          <w:rFonts w:hint="eastAsia" w:ascii="仿宋" w:hAnsi="仿宋" w:eastAsia="仿宋" w:cs="Times New Roman"/>
          <w:b w:val="0"/>
          <w:bCs w:val="0"/>
          <w:color w:val="000000"/>
          <w:sz w:val="32"/>
          <w:szCs w:val="32"/>
          <w:lang w:val="en-US" w:eastAsia="zh-CN"/>
        </w:rPr>
        <w:t>1469.17</w:t>
      </w:r>
      <w:r>
        <w:rPr>
          <w:rStyle w:val="14"/>
          <w:rFonts w:hint="eastAsia" w:ascii="仿宋" w:hAnsi="仿宋" w:eastAsia="仿宋" w:cs="Times New Roman"/>
          <w:b w:val="0"/>
          <w:bCs w:val="0"/>
          <w:color w:val="000000"/>
          <w:sz w:val="32"/>
          <w:szCs w:val="32"/>
        </w:rPr>
        <w:t>万元，完成预算100%。</w:t>
      </w:r>
    </w:p>
    <w:p>
      <w:pPr>
        <w:spacing w:line="600" w:lineRule="exact"/>
        <w:ind w:firstLine="643" w:firstLineChars="200"/>
        <w:rPr>
          <w:rStyle w:val="14"/>
          <w:rFonts w:hint="eastAsia" w:ascii="仿宋" w:hAnsi="仿宋" w:eastAsia="仿宋" w:cs="Times New Roman"/>
          <w:b w:val="0"/>
          <w:bCs w:val="0"/>
          <w:color w:val="000000"/>
          <w:sz w:val="32"/>
          <w:szCs w:val="32"/>
        </w:rPr>
      </w:pPr>
      <w:r>
        <w:rPr>
          <w:rStyle w:val="14"/>
          <w:rFonts w:hint="eastAsia" w:ascii="仿宋" w:hAnsi="仿宋" w:eastAsia="仿宋" w:cs="Times New Roman"/>
          <w:bCs/>
          <w:color w:val="000000"/>
          <w:sz w:val="32"/>
          <w:szCs w:val="32"/>
        </w:rPr>
        <w:t>（3</w:t>
      </w:r>
      <w:r>
        <w:rPr>
          <w:rStyle w:val="14"/>
          <w:rFonts w:hint="eastAsia" w:ascii="仿宋" w:hAnsi="仿宋" w:eastAsia="仿宋" w:cs="Times New Roman"/>
          <w:bCs/>
          <w:color w:val="000000"/>
          <w:sz w:val="32"/>
          <w:szCs w:val="32"/>
          <w:lang w:eastAsia="zh-CN"/>
        </w:rPr>
        <w:t>）</w:t>
      </w:r>
      <w:r>
        <w:rPr>
          <w:rStyle w:val="14"/>
          <w:rFonts w:hint="eastAsia" w:ascii="仿宋" w:hAnsi="仿宋" w:eastAsia="仿宋" w:cs="Times New Roman"/>
          <w:bCs/>
          <w:color w:val="000000"/>
          <w:sz w:val="32"/>
          <w:szCs w:val="32"/>
        </w:rPr>
        <w:t>社会保障和就业（类）行政事业单位离退休（款）其他行政事业单位离退休支出（项）</w:t>
      </w:r>
      <w:r>
        <w:rPr>
          <w:rStyle w:val="14"/>
          <w:rFonts w:hint="eastAsia" w:ascii="仿宋" w:hAnsi="仿宋" w:eastAsia="仿宋" w:cs="Times New Roman"/>
          <w:bCs/>
          <w:color w:val="000000"/>
          <w:sz w:val="32"/>
          <w:szCs w:val="32"/>
          <w:lang w:eastAsia="zh-CN"/>
        </w:rPr>
        <w:t>：</w:t>
      </w:r>
      <w:r>
        <w:rPr>
          <w:rStyle w:val="14"/>
          <w:rFonts w:hint="eastAsia" w:ascii="仿宋" w:hAnsi="仿宋" w:eastAsia="仿宋" w:cs="Times New Roman"/>
          <w:b w:val="0"/>
          <w:bCs w:val="0"/>
          <w:color w:val="000000"/>
          <w:sz w:val="32"/>
          <w:szCs w:val="32"/>
          <w:lang w:eastAsia="zh-CN"/>
        </w:rPr>
        <w:t>支出</w:t>
      </w:r>
      <w:r>
        <w:rPr>
          <w:rStyle w:val="14"/>
          <w:rFonts w:hint="eastAsia" w:ascii="仿宋" w:hAnsi="仿宋" w:eastAsia="仿宋" w:cs="Times New Roman"/>
          <w:b w:val="0"/>
          <w:bCs w:val="0"/>
          <w:color w:val="000000"/>
          <w:sz w:val="32"/>
          <w:szCs w:val="32"/>
        </w:rPr>
        <w:t>决算为</w:t>
      </w:r>
      <w:r>
        <w:rPr>
          <w:rStyle w:val="14"/>
          <w:rFonts w:hint="eastAsia" w:ascii="仿宋" w:hAnsi="仿宋" w:eastAsia="仿宋" w:cs="Times New Roman"/>
          <w:b w:val="0"/>
          <w:bCs w:val="0"/>
          <w:color w:val="000000"/>
          <w:sz w:val="32"/>
          <w:szCs w:val="32"/>
          <w:lang w:val="en-US" w:eastAsia="zh-CN"/>
        </w:rPr>
        <w:t>128.86</w:t>
      </w:r>
      <w:r>
        <w:rPr>
          <w:rStyle w:val="14"/>
          <w:rFonts w:hint="eastAsia" w:ascii="仿宋" w:hAnsi="仿宋" w:eastAsia="仿宋" w:cs="Times New Roman"/>
          <w:b w:val="0"/>
          <w:bCs w:val="0"/>
          <w:color w:val="000000"/>
          <w:sz w:val="32"/>
          <w:szCs w:val="32"/>
        </w:rPr>
        <w:t>元，完成预算100%。</w:t>
      </w:r>
    </w:p>
    <w:p>
      <w:pPr>
        <w:spacing w:line="600" w:lineRule="exact"/>
        <w:ind w:firstLine="643" w:firstLineChars="200"/>
        <w:rPr>
          <w:rStyle w:val="14"/>
          <w:rFonts w:hint="eastAsia" w:ascii="仿宋" w:hAnsi="仿宋" w:eastAsia="仿宋" w:cs="Times New Roman"/>
          <w:bCs/>
          <w:color w:val="000000"/>
          <w:sz w:val="32"/>
          <w:szCs w:val="32"/>
        </w:rPr>
      </w:pPr>
      <w:r>
        <w:rPr>
          <w:rStyle w:val="14"/>
          <w:rFonts w:hint="eastAsia" w:ascii="仿宋" w:hAnsi="仿宋" w:eastAsia="仿宋" w:cs="Times New Roman"/>
          <w:bCs/>
          <w:color w:val="000000"/>
          <w:sz w:val="32"/>
          <w:szCs w:val="32"/>
        </w:rPr>
        <w:t>（</w:t>
      </w:r>
      <w:r>
        <w:rPr>
          <w:rStyle w:val="14"/>
          <w:rFonts w:hint="eastAsia" w:ascii="仿宋" w:hAnsi="仿宋" w:eastAsia="仿宋" w:cs="Times New Roman"/>
          <w:bCs/>
          <w:color w:val="000000"/>
          <w:sz w:val="32"/>
          <w:szCs w:val="32"/>
          <w:lang w:val="en-US" w:eastAsia="zh-CN"/>
        </w:rPr>
        <w:t>4</w:t>
      </w:r>
      <w:r>
        <w:rPr>
          <w:rStyle w:val="14"/>
          <w:rFonts w:hint="eastAsia" w:ascii="仿宋" w:hAnsi="仿宋" w:eastAsia="仿宋" w:cs="Times New Roman"/>
          <w:bCs/>
          <w:color w:val="000000"/>
          <w:sz w:val="32"/>
          <w:szCs w:val="32"/>
          <w:lang w:eastAsia="zh-CN"/>
        </w:rPr>
        <w:t>）</w:t>
      </w:r>
      <w:r>
        <w:rPr>
          <w:rStyle w:val="14"/>
          <w:rFonts w:hint="eastAsia" w:ascii="仿宋" w:hAnsi="仿宋" w:eastAsia="仿宋" w:cs="Times New Roman"/>
          <w:bCs/>
          <w:color w:val="000000"/>
          <w:sz w:val="32"/>
          <w:szCs w:val="32"/>
        </w:rPr>
        <w:t>社会保障和就业（类）</w:t>
      </w:r>
      <w:r>
        <w:rPr>
          <w:rStyle w:val="14"/>
          <w:rFonts w:hint="eastAsia" w:ascii="仿宋" w:hAnsi="仿宋" w:eastAsia="仿宋" w:cs="Times New Roman"/>
          <w:bCs/>
          <w:color w:val="000000"/>
          <w:sz w:val="32"/>
          <w:szCs w:val="32"/>
          <w:lang w:eastAsia="zh-CN"/>
        </w:rPr>
        <w:t>就业补助</w:t>
      </w:r>
      <w:r>
        <w:rPr>
          <w:rStyle w:val="14"/>
          <w:rFonts w:hint="eastAsia" w:ascii="仿宋" w:hAnsi="仿宋" w:eastAsia="仿宋" w:cs="Times New Roman"/>
          <w:bCs/>
          <w:color w:val="000000"/>
          <w:sz w:val="32"/>
          <w:szCs w:val="32"/>
        </w:rPr>
        <w:t>（款）其他</w:t>
      </w:r>
      <w:r>
        <w:rPr>
          <w:rStyle w:val="14"/>
          <w:rFonts w:hint="eastAsia" w:ascii="仿宋" w:hAnsi="仿宋" w:eastAsia="仿宋" w:cs="Times New Roman"/>
          <w:bCs/>
          <w:color w:val="000000"/>
          <w:sz w:val="32"/>
          <w:szCs w:val="32"/>
          <w:lang w:eastAsia="zh-CN"/>
        </w:rPr>
        <w:t>就业补助</w:t>
      </w:r>
      <w:r>
        <w:rPr>
          <w:rStyle w:val="14"/>
          <w:rFonts w:hint="eastAsia" w:ascii="仿宋" w:hAnsi="仿宋" w:eastAsia="仿宋" w:cs="Times New Roman"/>
          <w:bCs/>
          <w:color w:val="000000"/>
          <w:sz w:val="32"/>
          <w:szCs w:val="32"/>
        </w:rPr>
        <w:t>支出（项）:</w:t>
      </w:r>
      <w:r>
        <w:rPr>
          <w:rStyle w:val="14"/>
          <w:rFonts w:hint="eastAsia" w:ascii="仿宋" w:hAnsi="仿宋" w:eastAsia="仿宋" w:cs="Times New Roman"/>
          <w:b w:val="0"/>
          <w:bCs w:val="0"/>
          <w:color w:val="000000"/>
          <w:sz w:val="32"/>
          <w:szCs w:val="32"/>
          <w:lang w:eastAsia="zh-CN"/>
        </w:rPr>
        <w:t>支出</w:t>
      </w:r>
      <w:r>
        <w:rPr>
          <w:rStyle w:val="14"/>
          <w:rFonts w:hint="eastAsia" w:ascii="仿宋" w:hAnsi="仿宋" w:eastAsia="仿宋" w:cs="Times New Roman"/>
          <w:b w:val="0"/>
          <w:bCs w:val="0"/>
          <w:color w:val="000000"/>
          <w:sz w:val="32"/>
          <w:szCs w:val="32"/>
        </w:rPr>
        <w:t>决算为</w:t>
      </w:r>
      <w:r>
        <w:rPr>
          <w:rStyle w:val="14"/>
          <w:rFonts w:hint="eastAsia" w:ascii="仿宋" w:hAnsi="仿宋" w:eastAsia="仿宋" w:cs="Times New Roman"/>
          <w:b w:val="0"/>
          <w:bCs w:val="0"/>
          <w:color w:val="000000"/>
          <w:sz w:val="32"/>
          <w:szCs w:val="32"/>
          <w:lang w:val="en-US" w:eastAsia="zh-CN"/>
        </w:rPr>
        <w:t>16万</w:t>
      </w:r>
      <w:r>
        <w:rPr>
          <w:rStyle w:val="14"/>
          <w:rFonts w:hint="eastAsia" w:ascii="仿宋" w:hAnsi="仿宋" w:eastAsia="仿宋" w:cs="Times New Roman"/>
          <w:b w:val="0"/>
          <w:bCs w:val="0"/>
          <w:color w:val="000000"/>
          <w:sz w:val="32"/>
          <w:szCs w:val="32"/>
        </w:rPr>
        <w:t>元，完成预算100%。</w:t>
      </w:r>
    </w:p>
    <w:p>
      <w:pPr>
        <w:spacing w:line="600" w:lineRule="exact"/>
        <w:ind w:firstLine="643" w:firstLineChars="200"/>
        <w:rPr>
          <w:rStyle w:val="14"/>
          <w:rFonts w:hint="eastAsia" w:ascii="仿宋" w:hAnsi="仿宋" w:eastAsia="仿宋" w:cs="Times New Roman"/>
          <w:bCs/>
          <w:color w:val="000000"/>
          <w:sz w:val="32"/>
          <w:szCs w:val="32"/>
        </w:rPr>
      </w:pPr>
      <w:r>
        <w:rPr>
          <w:rStyle w:val="14"/>
          <w:rFonts w:hint="eastAsia" w:ascii="仿宋" w:hAnsi="仿宋" w:eastAsia="仿宋" w:cs="Times New Roman"/>
          <w:bCs/>
          <w:color w:val="000000"/>
          <w:sz w:val="32"/>
          <w:szCs w:val="32"/>
        </w:rPr>
        <w:t>（</w:t>
      </w:r>
      <w:r>
        <w:rPr>
          <w:rStyle w:val="14"/>
          <w:rFonts w:hint="eastAsia" w:ascii="仿宋" w:hAnsi="仿宋" w:eastAsia="仿宋" w:cs="Times New Roman"/>
          <w:bCs/>
          <w:color w:val="000000"/>
          <w:sz w:val="32"/>
          <w:szCs w:val="32"/>
          <w:lang w:val="en-US" w:eastAsia="zh-CN"/>
        </w:rPr>
        <w:t>5</w:t>
      </w:r>
      <w:r>
        <w:rPr>
          <w:rStyle w:val="14"/>
          <w:rFonts w:hint="eastAsia" w:ascii="仿宋" w:hAnsi="仿宋" w:eastAsia="仿宋" w:cs="Times New Roman"/>
          <w:bCs/>
          <w:color w:val="000000"/>
          <w:sz w:val="32"/>
          <w:szCs w:val="32"/>
        </w:rPr>
        <w:t>）社会保障和就业（类）抚恤（款）死亡抚恤（项）:</w:t>
      </w:r>
      <w:r>
        <w:rPr>
          <w:rStyle w:val="14"/>
          <w:rFonts w:hint="eastAsia" w:ascii="仿宋" w:hAnsi="仿宋" w:eastAsia="仿宋" w:cs="Times New Roman"/>
          <w:b w:val="0"/>
          <w:bCs w:val="0"/>
          <w:color w:val="000000"/>
          <w:sz w:val="32"/>
          <w:szCs w:val="32"/>
          <w:lang w:eastAsia="zh-CN"/>
        </w:rPr>
        <w:t>支出</w:t>
      </w:r>
      <w:r>
        <w:rPr>
          <w:rStyle w:val="14"/>
          <w:rFonts w:hint="eastAsia" w:ascii="仿宋" w:hAnsi="仿宋" w:eastAsia="仿宋" w:cs="Times New Roman"/>
          <w:b w:val="0"/>
          <w:bCs w:val="0"/>
          <w:color w:val="000000"/>
          <w:sz w:val="32"/>
          <w:szCs w:val="32"/>
        </w:rPr>
        <w:t>决算为</w:t>
      </w:r>
      <w:r>
        <w:rPr>
          <w:rStyle w:val="14"/>
          <w:rFonts w:hint="eastAsia" w:ascii="仿宋" w:hAnsi="仿宋" w:eastAsia="仿宋" w:cs="Times New Roman"/>
          <w:b w:val="0"/>
          <w:bCs w:val="0"/>
          <w:color w:val="000000"/>
          <w:sz w:val="32"/>
          <w:szCs w:val="32"/>
          <w:lang w:val="en-US" w:eastAsia="zh-CN"/>
        </w:rPr>
        <w:t>61.42</w:t>
      </w:r>
      <w:r>
        <w:rPr>
          <w:rStyle w:val="14"/>
          <w:rFonts w:hint="eastAsia" w:ascii="仿宋" w:hAnsi="仿宋" w:eastAsia="仿宋" w:cs="Times New Roman"/>
          <w:b w:val="0"/>
          <w:bCs w:val="0"/>
          <w:color w:val="000000"/>
          <w:sz w:val="32"/>
          <w:szCs w:val="32"/>
        </w:rPr>
        <w:t>元，完成预算</w:t>
      </w:r>
      <w:r>
        <w:rPr>
          <w:rStyle w:val="14"/>
          <w:rFonts w:hint="eastAsia" w:ascii="仿宋" w:hAnsi="仿宋" w:eastAsia="仿宋" w:cs="Times New Roman"/>
          <w:b w:val="0"/>
          <w:bCs w:val="0"/>
          <w:color w:val="000000"/>
          <w:sz w:val="32"/>
          <w:szCs w:val="32"/>
          <w:lang w:val="en-US" w:eastAsia="zh-CN"/>
        </w:rPr>
        <w:t>100</w:t>
      </w:r>
      <w:r>
        <w:rPr>
          <w:rStyle w:val="14"/>
          <w:rFonts w:hint="eastAsia" w:ascii="仿宋" w:hAnsi="仿宋" w:eastAsia="仿宋" w:cs="Times New Roman"/>
          <w:b w:val="0"/>
          <w:bCs w:val="0"/>
          <w:color w:val="000000"/>
          <w:sz w:val="32"/>
          <w:szCs w:val="32"/>
        </w:rPr>
        <w:t>%。</w:t>
      </w:r>
    </w:p>
    <w:p>
      <w:pPr>
        <w:spacing w:line="600" w:lineRule="exact"/>
        <w:ind w:firstLine="643" w:firstLineChars="200"/>
        <w:rPr>
          <w:rStyle w:val="14"/>
          <w:rFonts w:hint="eastAsia" w:ascii="仿宋" w:hAnsi="仿宋" w:eastAsia="仿宋" w:cs="Times New Roman"/>
          <w:bCs/>
          <w:color w:val="000000"/>
          <w:sz w:val="32"/>
          <w:szCs w:val="32"/>
          <w:lang w:eastAsia="zh-CN"/>
        </w:rPr>
      </w:pPr>
      <w:r>
        <w:rPr>
          <w:rStyle w:val="14"/>
          <w:rFonts w:hint="eastAsia" w:ascii="仿宋" w:hAnsi="仿宋" w:eastAsia="仿宋" w:cs="Times New Roman"/>
          <w:bCs/>
          <w:color w:val="000000"/>
          <w:sz w:val="32"/>
          <w:szCs w:val="32"/>
          <w:lang w:val="en-US" w:eastAsia="zh-CN"/>
        </w:rPr>
        <w:t>5</w:t>
      </w:r>
      <w:r>
        <w:rPr>
          <w:rStyle w:val="14"/>
          <w:rFonts w:ascii="仿宋" w:hAnsi="仿宋" w:eastAsia="仿宋" w:cs="Times New Roman"/>
          <w:bCs/>
          <w:color w:val="000000"/>
          <w:sz w:val="32"/>
          <w:szCs w:val="32"/>
        </w:rPr>
        <w:t>.</w:t>
      </w:r>
      <w:r>
        <w:rPr>
          <w:rStyle w:val="14"/>
          <w:rFonts w:hint="eastAsia" w:ascii="仿宋" w:hAnsi="仿宋" w:eastAsia="仿宋" w:cs="Times New Roman"/>
          <w:bCs/>
          <w:color w:val="000000"/>
          <w:sz w:val="32"/>
          <w:szCs w:val="32"/>
        </w:rPr>
        <w:t>卫生健康</w:t>
      </w:r>
      <w:r>
        <w:rPr>
          <w:rStyle w:val="14"/>
          <w:rFonts w:hint="eastAsia" w:ascii="仿宋" w:hAnsi="仿宋" w:eastAsia="仿宋" w:cs="Times New Roman"/>
          <w:bCs/>
          <w:color w:val="000000"/>
          <w:sz w:val="32"/>
          <w:szCs w:val="32"/>
          <w:lang w:eastAsia="zh-CN"/>
        </w:rPr>
        <w:t>支出</w:t>
      </w:r>
    </w:p>
    <w:p>
      <w:pPr>
        <w:spacing w:line="600" w:lineRule="exact"/>
        <w:ind w:firstLine="643" w:firstLineChars="200"/>
        <w:rPr>
          <w:rStyle w:val="14"/>
          <w:rFonts w:hint="eastAsia" w:ascii="仿宋" w:hAnsi="仿宋" w:eastAsia="仿宋" w:cs="Times New Roman"/>
          <w:b w:val="0"/>
          <w:bCs w:val="0"/>
          <w:color w:val="000000"/>
          <w:sz w:val="32"/>
          <w:szCs w:val="32"/>
        </w:rPr>
      </w:pPr>
      <w:r>
        <w:rPr>
          <w:rStyle w:val="14"/>
          <w:rFonts w:hint="eastAsia" w:ascii="仿宋" w:hAnsi="仿宋" w:eastAsia="仿宋" w:cs="Times New Roman"/>
          <w:bCs/>
          <w:color w:val="000000"/>
          <w:sz w:val="32"/>
          <w:szCs w:val="32"/>
          <w:lang w:eastAsia="zh-CN"/>
        </w:rPr>
        <w:t>（</w:t>
      </w:r>
      <w:r>
        <w:rPr>
          <w:rStyle w:val="14"/>
          <w:rFonts w:hint="eastAsia" w:ascii="仿宋" w:hAnsi="仿宋" w:eastAsia="仿宋" w:cs="Times New Roman"/>
          <w:bCs/>
          <w:color w:val="000000"/>
          <w:sz w:val="32"/>
          <w:szCs w:val="32"/>
          <w:lang w:val="en-US" w:eastAsia="zh-CN"/>
        </w:rPr>
        <w:t>1</w:t>
      </w:r>
      <w:r>
        <w:rPr>
          <w:rStyle w:val="14"/>
          <w:rFonts w:hint="eastAsia" w:ascii="仿宋" w:hAnsi="仿宋" w:eastAsia="仿宋" w:cs="Times New Roman"/>
          <w:bCs/>
          <w:color w:val="000000"/>
          <w:sz w:val="32"/>
          <w:szCs w:val="32"/>
          <w:lang w:eastAsia="zh-CN"/>
        </w:rPr>
        <w:t>）</w:t>
      </w:r>
      <w:r>
        <w:rPr>
          <w:rStyle w:val="14"/>
          <w:rFonts w:hint="eastAsia" w:ascii="仿宋" w:hAnsi="仿宋" w:eastAsia="仿宋" w:cs="Times New Roman"/>
          <w:bCs/>
          <w:color w:val="000000"/>
          <w:sz w:val="32"/>
          <w:szCs w:val="32"/>
        </w:rPr>
        <w:t>卫生健康</w:t>
      </w:r>
      <w:r>
        <w:rPr>
          <w:rStyle w:val="14"/>
          <w:rFonts w:hint="eastAsia" w:ascii="仿宋" w:hAnsi="仿宋" w:eastAsia="仿宋" w:cs="Times New Roman"/>
          <w:bCs/>
          <w:color w:val="000000"/>
          <w:sz w:val="32"/>
          <w:szCs w:val="32"/>
          <w:lang w:eastAsia="zh-CN"/>
        </w:rPr>
        <w:t>支出</w:t>
      </w:r>
      <w:r>
        <w:rPr>
          <w:rStyle w:val="14"/>
          <w:rFonts w:hint="eastAsia" w:ascii="仿宋" w:hAnsi="仿宋" w:eastAsia="仿宋" w:cs="Times New Roman"/>
          <w:bCs/>
          <w:color w:val="000000"/>
          <w:sz w:val="32"/>
          <w:szCs w:val="32"/>
        </w:rPr>
        <w:t>（类）行政事业单位医疗（款）行政单位医疗（项）:</w:t>
      </w:r>
      <w:r>
        <w:rPr>
          <w:rStyle w:val="14"/>
          <w:rFonts w:hint="eastAsia" w:ascii="仿宋" w:hAnsi="仿宋" w:eastAsia="仿宋" w:cs="Times New Roman"/>
          <w:b w:val="0"/>
          <w:bCs w:val="0"/>
          <w:color w:val="000000"/>
          <w:sz w:val="32"/>
          <w:szCs w:val="32"/>
          <w:lang w:eastAsia="zh-CN"/>
        </w:rPr>
        <w:t>支出</w:t>
      </w:r>
      <w:r>
        <w:rPr>
          <w:rStyle w:val="14"/>
          <w:rFonts w:hint="eastAsia" w:ascii="仿宋" w:hAnsi="仿宋" w:eastAsia="仿宋" w:cs="Times New Roman"/>
          <w:b w:val="0"/>
          <w:bCs w:val="0"/>
          <w:color w:val="000000"/>
          <w:sz w:val="32"/>
          <w:szCs w:val="32"/>
        </w:rPr>
        <w:t>决算</w:t>
      </w:r>
      <w:r>
        <w:rPr>
          <w:rStyle w:val="14"/>
          <w:rFonts w:hint="eastAsia" w:ascii="仿宋" w:hAnsi="仿宋" w:eastAsia="仿宋" w:cs="Times New Roman"/>
          <w:b w:val="0"/>
          <w:bCs w:val="0"/>
          <w:color w:val="000000"/>
          <w:sz w:val="32"/>
          <w:szCs w:val="32"/>
          <w:lang w:eastAsia="zh-CN"/>
        </w:rPr>
        <w:t>支出</w:t>
      </w:r>
      <w:r>
        <w:rPr>
          <w:rStyle w:val="14"/>
          <w:rFonts w:hint="eastAsia" w:ascii="仿宋" w:hAnsi="仿宋" w:eastAsia="仿宋" w:cs="Times New Roman"/>
          <w:b w:val="0"/>
          <w:bCs w:val="0"/>
          <w:color w:val="000000"/>
          <w:sz w:val="32"/>
          <w:szCs w:val="32"/>
        </w:rPr>
        <w:t>为</w:t>
      </w:r>
      <w:r>
        <w:rPr>
          <w:rStyle w:val="14"/>
          <w:rFonts w:hint="eastAsia" w:ascii="仿宋" w:hAnsi="仿宋" w:eastAsia="仿宋" w:cs="Times New Roman"/>
          <w:b w:val="0"/>
          <w:bCs w:val="0"/>
          <w:color w:val="000000"/>
          <w:sz w:val="32"/>
          <w:szCs w:val="32"/>
          <w:lang w:val="en-US" w:eastAsia="zh-CN"/>
        </w:rPr>
        <w:t>31.79</w:t>
      </w:r>
      <w:r>
        <w:rPr>
          <w:rStyle w:val="14"/>
          <w:rFonts w:hint="eastAsia" w:ascii="仿宋" w:hAnsi="仿宋" w:eastAsia="仿宋" w:cs="Times New Roman"/>
          <w:b w:val="0"/>
          <w:bCs w:val="0"/>
          <w:color w:val="000000"/>
          <w:sz w:val="32"/>
          <w:szCs w:val="32"/>
        </w:rPr>
        <w:t>万元，完成预算100%。</w:t>
      </w:r>
    </w:p>
    <w:p>
      <w:pPr>
        <w:spacing w:line="600" w:lineRule="exact"/>
        <w:ind w:firstLine="643" w:firstLineChars="200"/>
        <w:rPr>
          <w:rStyle w:val="14"/>
          <w:rFonts w:hint="eastAsia" w:ascii="仿宋" w:hAnsi="仿宋" w:eastAsia="仿宋" w:cs="Times New Roman"/>
          <w:bCs/>
          <w:color w:val="000000"/>
          <w:sz w:val="32"/>
          <w:szCs w:val="32"/>
          <w:lang w:val="en-US" w:eastAsia="zh-CN"/>
        </w:rPr>
      </w:pPr>
      <w:r>
        <w:rPr>
          <w:rStyle w:val="14"/>
          <w:rFonts w:hint="eastAsia" w:ascii="仿宋" w:hAnsi="仿宋" w:eastAsia="仿宋" w:cs="Times New Roman"/>
          <w:bCs/>
          <w:color w:val="000000"/>
          <w:sz w:val="32"/>
          <w:szCs w:val="32"/>
        </w:rPr>
        <w:t>（</w:t>
      </w:r>
      <w:r>
        <w:rPr>
          <w:rStyle w:val="14"/>
          <w:rFonts w:hint="eastAsia" w:ascii="仿宋" w:hAnsi="仿宋" w:eastAsia="仿宋" w:cs="Times New Roman"/>
          <w:bCs/>
          <w:color w:val="000000"/>
          <w:sz w:val="32"/>
          <w:szCs w:val="32"/>
          <w:lang w:val="en-US" w:eastAsia="zh-CN"/>
        </w:rPr>
        <w:t>2</w:t>
      </w:r>
      <w:r>
        <w:rPr>
          <w:rStyle w:val="14"/>
          <w:rFonts w:hint="eastAsia" w:ascii="仿宋" w:hAnsi="仿宋" w:eastAsia="仿宋" w:cs="Times New Roman"/>
          <w:bCs/>
          <w:color w:val="000000"/>
          <w:sz w:val="32"/>
          <w:szCs w:val="32"/>
        </w:rPr>
        <w:t>）卫生健康</w:t>
      </w:r>
      <w:r>
        <w:rPr>
          <w:rStyle w:val="14"/>
          <w:rFonts w:hint="eastAsia" w:ascii="仿宋" w:hAnsi="仿宋" w:eastAsia="仿宋" w:cs="Times New Roman"/>
          <w:bCs/>
          <w:color w:val="000000"/>
          <w:sz w:val="32"/>
          <w:szCs w:val="32"/>
          <w:lang w:eastAsia="zh-CN"/>
        </w:rPr>
        <w:t>支出</w:t>
      </w:r>
      <w:r>
        <w:rPr>
          <w:rStyle w:val="14"/>
          <w:rFonts w:hint="eastAsia" w:ascii="仿宋" w:hAnsi="仿宋" w:eastAsia="仿宋" w:cs="Times New Roman"/>
          <w:bCs/>
          <w:color w:val="000000"/>
          <w:sz w:val="32"/>
          <w:szCs w:val="32"/>
        </w:rPr>
        <w:t>（类）行政事业单位医疗（款）事业单位医疗（项）:</w:t>
      </w:r>
      <w:r>
        <w:rPr>
          <w:rStyle w:val="14"/>
          <w:rFonts w:hint="eastAsia" w:ascii="仿宋" w:hAnsi="仿宋" w:eastAsia="仿宋" w:cs="Times New Roman"/>
          <w:b w:val="0"/>
          <w:bCs w:val="0"/>
          <w:color w:val="000000"/>
          <w:sz w:val="32"/>
          <w:szCs w:val="32"/>
          <w:lang w:eastAsia="zh-CN"/>
        </w:rPr>
        <w:t>支出</w:t>
      </w:r>
      <w:r>
        <w:rPr>
          <w:rStyle w:val="14"/>
          <w:rFonts w:hint="eastAsia" w:ascii="仿宋" w:hAnsi="仿宋" w:eastAsia="仿宋" w:cs="Times New Roman"/>
          <w:b w:val="0"/>
          <w:bCs w:val="0"/>
          <w:color w:val="000000"/>
          <w:sz w:val="32"/>
          <w:szCs w:val="32"/>
        </w:rPr>
        <w:t>决算为10</w:t>
      </w:r>
      <w:r>
        <w:rPr>
          <w:rStyle w:val="14"/>
          <w:rFonts w:hint="eastAsia" w:ascii="仿宋" w:hAnsi="仿宋" w:eastAsia="仿宋" w:cs="Times New Roman"/>
          <w:b w:val="0"/>
          <w:bCs w:val="0"/>
          <w:color w:val="000000"/>
          <w:sz w:val="32"/>
          <w:szCs w:val="32"/>
          <w:lang w:val="en-US" w:eastAsia="zh-CN"/>
        </w:rPr>
        <w:t>09</w:t>
      </w:r>
      <w:r>
        <w:rPr>
          <w:rStyle w:val="14"/>
          <w:rFonts w:hint="eastAsia" w:ascii="仿宋" w:hAnsi="仿宋" w:eastAsia="仿宋" w:cs="Times New Roman"/>
          <w:b w:val="0"/>
          <w:bCs w:val="0"/>
          <w:color w:val="000000"/>
          <w:sz w:val="32"/>
          <w:szCs w:val="32"/>
        </w:rPr>
        <w:t>.</w:t>
      </w:r>
      <w:r>
        <w:rPr>
          <w:rStyle w:val="14"/>
          <w:rFonts w:hint="eastAsia" w:ascii="仿宋" w:hAnsi="仿宋" w:eastAsia="仿宋" w:cs="Times New Roman"/>
          <w:b w:val="0"/>
          <w:bCs w:val="0"/>
          <w:color w:val="000000"/>
          <w:sz w:val="32"/>
          <w:szCs w:val="32"/>
          <w:lang w:val="en-US" w:eastAsia="zh-CN"/>
        </w:rPr>
        <w:t>03</w:t>
      </w:r>
      <w:r>
        <w:rPr>
          <w:rStyle w:val="14"/>
          <w:rFonts w:hint="eastAsia" w:ascii="仿宋" w:hAnsi="仿宋" w:eastAsia="仿宋" w:cs="Times New Roman"/>
          <w:b w:val="0"/>
          <w:bCs w:val="0"/>
          <w:color w:val="000000"/>
          <w:sz w:val="32"/>
          <w:szCs w:val="32"/>
        </w:rPr>
        <w:t>万元，完成预算100%。</w:t>
      </w:r>
    </w:p>
    <w:p>
      <w:pPr>
        <w:spacing w:line="600" w:lineRule="exact"/>
        <w:ind w:firstLine="643" w:firstLineChars="200"/>
        <w:rPr>
          <w:rStyle w:val="14"/>
          <w:rFonts w:ascii="仿宋" w:hAnsi="仿宋" w:eastAsia="仿宋" w:cs="Times New Roman"/>
          <w:bCs/>
          <w:color w:val="000000"/>
          <w:sz w:val="32"/>
          <w:szCs w:val="32"/>
        </w:rPr>
      </w:pPr>
      <w:r>
        <w:rPr>
          <w:rStyle w:val="14"/>
          <w:rFonts w:hint="eastAsia" w:ascii="仿宋" w:hAnsi="仿宋" w:eastAsia="仿宋" w:cs="Times New Roman"/>
          <w:bCs/>
          <w:color w:val="000000"/>
          <w:sz w:val="32"/>
          <w:szCs w:val="32"/>
          <w:lang w:val="en-US" w:eastAsia="zh-CN"/>
        </w:rPr>
        <w:t>6</w:t>
      </w:r>
      <w:r>
        <w:rPr>
          <w:rStyle w:val="14"/>
          <w:rFonts w:hint="eastAsia" w:ascii="仿宋" w:hAnsi="仿宋" w:eastAsia="仿宋" w:cs="Times New Roman"/>
          <w:bCs/>
          <w:color w:val="000000"/>
          <w:sz w:val="32"/>
          <w:szCs w:val="32"/>
        </w:rPr>
        <w:t>、农林水支出</w:t>
      </w:r>
    </w:p>
    <w:p>
      <w:pPr>
        <w:spacing w:line="600" w:lineRule="exact"/>
        <w:ind w:firstLine="643" w:firstLineChars="200"/>
        <w:rPr>
          <w:rStyle w:val="14"/>
          <w:rFonts w:hint="eastAsia" w:ascii="仿宋" w:hAnsi="仿宋" w:eastAsia="仿宋" w:cs="Times New Roman"/>
          <w:bCs/>
          <w:color w:val="000000"/>
          <w:sz w:val="32"/>
          <w:szCs w:val="32"/>
        </w:rPr>
      </w:pPr>
      <w:r>
        <w:rPr>
          <w:rStyle w:val="14"/>
          <w:rFonts w:hint="eastAsia" w:ascii="仿宋" w:hAnsi="仿宋" w:eastAsia="仿宋" w:cs="Times New Roman"/>
          <w:bCs/>
          <w:color w:val="000000"/>
          <w:sz w:val="32"/>
          <w:szCs w:val="32"/>
        </w:rPr>
        <w:t>（1）农林水支出(类）扶贫（款）其他扶贫支出（项）：</w:t>
      </w:r>
      <w:r>
        <w:rPr>
          <w:rStyle w:val="14"/>
          <w:rFonts w:hint="eastAsia" w:ascii="仿宋" w:hAnsi="仿宋" w:eastAsia="仿宋" w:cs="Times New Roman"/>
          <w:b w:val="0"/>
          <w:bCs w:val="0"/>
          <w:color w:val="000000"/>
          <w:sz w:val="32"/>
          <w:szCs w:val="32"/>
          <w:lang w:eastAsia="zh-CN"/>
        </w:rPr>
        <w:t>支出</w:t>
      </w:r>
      <w:r>
        <w:rPr>
          <w:rStyle w:val="14"/>
          <w:rFonts w:hint="eastAsia" w:ascii="仿宋" w:hAnsi="仿宋" w:eastAsia="仿宋" w:cs="Times New Roman"/>
          <w:b w:val="0"/>
          <w:bCs w:val="0"/>
          <w:color w:val="000000"/>
          <w:sz w:val="32"/>
          <w:szCs w:val="32"/>
        </w:rPr>
        <w:t>决算为</w:t>
      </w:r>
      <w:r>
        <w:rPr>
          <w:rStyle w:val="14"/>
          <w:rFonts w:hint="eastAsia" w:ascii="仿宋" w:hAnsi="仿宋" w:eastAsia="仿宋" w:cs="Times New Roman"/>
          <w:b w:val="0"/>
          <w:bCs w:val="0"/>
          <w:color w:val="000000"/>
          <w:sz w:val="32"/>
          <w:szCs w:val="32"/>
          <w:lang w:val="en-US" w:eastAsia="zh-CN"/>
        </w:rPr>
        <w:t>69.97</w:t>
      </w:r>
      <w:r>
        <w:rPr>
          <w:rStyle w:val="14"/>
          <w:rFonts w:hint="eastAsia" w:ascii="仿宋" w:hAnsi="仿宋" w:eastAsia="仿宋" w:cs="Times New Roman"/>
          <w:b w:val="0"/>
          <w:bCs w:val="0"/>
          <w:color w:val="000000"/>
          <w:sz w:val="32"/>
          <w:szCs w:val="32"/>
        </w:rPr>
        <w:t>万元，完成预算100%。</w:t>
      </w:r>
    </w:p>
    <w:p>
      <w:pPr>
        <w:spacing w:line="600" w:lineRule="exact"/>
        <w:ind w:firstLine="643" w:firstLineChars="200"/>
        <w:rPr>
          <w:rStyle w:val="14"/>
          <w:rFonts w:ascii="仿宋" w:hAnsi="仿宋" w:eastAsia="仿宋" w:cs="Times New Roman"/>
          <w:bCs/>
          <w:color w:val="000000"/>
          <w:sz w:val="32"/>
          <w:szCs w:val="32"/>
        </w:rPr>
      </w:pPr>
      <w:r>
        <w:rPr>
          <w:rStyle w:val="14"/>
          <w:rFonts w:hint="eastAsia" w:ascii="仿宋" w:hAnsi="仿宋" w:eastAsia="仿宋" w:cs="Times New Roman"/>
          <w:bCs/>
          <w:color w:val="000000"/>
          <w:sz w:val="32"/>
          <w:szCs w:val="32"/>
          <w:lang w:val="en-US" w:eastAsia="zh-CN"/>
        </w:rPr>
        <w:t>7</w:t>
      </w:r>
      <w:r>
        <w:rPr>
          <w:rStyle w:val="14"/>
          <w:rFonts w:hint="eastAsia" w:ascii="仿宋" w:hAnsi="仿宋" w:eastAsia="仿宋" w:cs="Times New Roman"/>
          <w:bCs/>
          <w:color w:val="000000"/>
          <w:sz w:val="32"/>
          <w:szCs w:val="32"/>
        </w:rPr>
        <w:t>、住房保障支出</w:t>
      </w:r>
    </w:p>
    <w:p>
      <w:pPr>
        <w:spacing w:line="600" w:lineRule="exact"/>
        <w:ind w:firstLine="643" w:firstLineChars="200"/>
        <w:rPr>
          <w:rStyle w:val="14"/>
          <w:rFonts w:hint="eastAsia" w:ascii="仿宋" w:hAnsi="仿宋" w:eastAsia="仿宋" w:cs="Times New Roman"/>
          <w:b w:val="0"/>
          <w:bCs w:val="0"/>
          <w:color w:val="000000"/>
          <w:sz w:val="32"/>
          <w:szCs w:val="32"/>
        </w:rPr>
      </w:pPr>
      <w:r>
        <w:rPr>
          <w:rStyle w:val="14"/>
          <w:rFonts w:hint="eastAsia" w:ascii="仿宋" w:hAnsi="仿宋" w:eastAsia="仿宋" w:cs="Times New Roman"/>
          <w:bCs/>
          <w:color w:val="000000"/>
          <w:sz w:val="32"/>
          <w:szCs w:val="32"/>
        </w:rPr>
        <w:t>（1）住房保障支出（类）住房改革支出（款）住房公积金（项）:</w:t>
      </w:r>
      <w:r>
        <w:rPr>
          <w:rStyle w:val="14"/>
          <w:rFonts w:hint="eastAsia" w:ascii="仿宋" w:hAnsi="仿宋" w:eastAsia="仿宋" w:cs="Times New Roman"/>
          <w:b w:val="0"/>
          <w:bCs w:val="0"/>
          <w:color w:val="000000"/>
          <w:sz w:val="32"/>
          <w:szCs w:val="32"/>
          <w:lang w:eastAsia="zh-CN"/>
        </w:rPr>
        <w:t>支出</w:t>
      </w:r>
      <w:r>
        <w:rPr>
          <w:rStyle w:val="14"/>
          <w:rFonts w:hint="eastAsia" w:ascii="仿宋" w:hAnsi="仿宋" w:eastAsia="仿宋" w:cs="Times New Roman"/>
          <w:b w:val="0"/>
          <w:bCs w:val="0"/>
          <w:color w:val="000000"/>
          <w:sz w:val="32"/>
          <w:szCs w:val="32"/>
        </w:rPr>
        <w:t>决算为</w:t>
      </w:r>
      <w:r>
        <w:rPr>
          <w:rStyle w:val="14"/>
          <w:rFonts w:hint="eastAsia" w:ascii="仿宋" w:hAnsi="仿宋" w:eastAsia="仿宋" w:cs="Times New Roman"/>
          <w:b w:val="0"/>
          <w:bCs w:val="0"/>
          <w:color w:val="000000"/>
          <w:sz w:val="32"/>
          <w:szCs w:val="32"/>
          <w:lang w:val="en-US" w:eastAsia="zh-CN"/>
        </w:rPr>
        <w:t>2004.79</w:t>
      </w:r>
      <w:r>
        <w:rPr>
          <w:rStyle w:val="14"/>
          <w:rFonts w:hint="eastAsia" w:ascii="仿宋" w:hAnsi="仿宋" w:eastAsia="仿宋" w:cs="Times New Roman"/>
          <w:b w:val="0"/>
          <w:bCs w:val="0"/>
          <w:color w:val="000000"/>
          <w:sz w:val="32"/>
          <w:szCs w:val="32"/>
        </w:rPr>
        <w:t>万元，完成预算</w:t>
      </w:r>
      <w:r>
        <w:rPr>
          <w:rStyle w:val="14"/>
          <w:rFonts w:hint="eastAsia" w:ascii="仿宋" w:hAnsi="仿宋" w:eastAsia="仿宋" w:cs="Times New Roman"/>
          <w:b w:val="0"/>
          <w:bCs w:val="0"/>
          <w:color w:val="000000"/>
          <w:sz w:val="32"/>
          <w:szCs w:val="32"/>
          <w:lang w:val="en-US" w:eastAsia="zh-CN"/>
        </w:rPr>
        <w:t>100</w:t>
      </w:r>
      <w:r>
        <w:rPr>
          <w:rStyle w:val="14"/>
          <w:rFonts w:hint="eastAsia" w:ascii="仿宋" w:hAnsi="仿宋" w:eastAsia="仿宋" w:cs="Times New Roman"/>
          <w:b w:val="0"/>
          <w:bCs w:val="0"/>
          <w:color w:val="000000"/>
          <w:sz w:val="32"/>
          <w:szCs w:val="32"/>
        </w:rPr>
        <w:t>%。</w:t>
      </w:r>
    </w:p>
    <w:p>
      <w:pPr>
        <w:spacing w:line="600" w:lineRule="exact"/>
        <w:ind w:firstLine="643" w:firstLineChars="200"/>
        <w:rPr>
          <w:rStyle w:val="14"/>
          <w:rFonts w:hint="eastAsia" w:ascii="仿宋" w:hAnsi="仿宋" w:eastAsia="仿宋" w:cs="Times New Roman"/>
          <w:bCs/>
          <w:color w:val="000000"/>
          <w:sz w:val="32"/>
          <w:szCs w:val="32"/>
          <w:lang w:eastAsia="zh-CN"/>
        </w:rPr>
      </w:pPr>
      <w:r>
        <w:rPr>
          <w:rStyle w:val="14"/>
          <w:rFonts w:hint="eastAsia" w:ascii="仿宋" w:hAnsi="仿宋" w:eastAsia="仿宋" w:cs="Times New Roman"/>
          <w:bCs/>
          <w:color w:val="000000"/>
          <w:sz w:val="32"/>
          <w:szCs w:val="32"/>
          <w:lang w:val="en-US" w:eastAsia="zh-CN"/>
        </w:rPr>
        <w:t>8</w:t>
      </w:r>
      <w:r>
        <w:rPr>
          <w:rStyle w:val="14"/>
          <w:rFonts w:hint="eastAsia" w:ascii="仿宋" w:hAnsi="仿宋" w:eastAsia="仿宋" w:cs="Times New Roman"/>
          <w:bCs/>
          <w:color w:val="000000"/>
          <w:sz w:val="32"/>
          <w:szCs w:val="32"/>
        </w:rPr>
        <w:t>、</w:t>
      </w:r>
      <w:r>
        <w:rPr>
          <w:rStyle w:val="14"/>
          <w:rFonts w:hint="eastAsia" w:ascii="仿宋" w:hAnsi="仿宋" w:eastAsia="仿宋" w:cs="Times New Roman"/>
          <w:bCs/>
          <w:color w:val="000000"/>
          <w:sz w:val="32"/>
          <w:szCs w:val="32"/>
          <w:lang w:eastAsia="zh-CN"/>
        </w:rPr>
        <w:t>其他支出</w:t>
      </w:r>
    </w:p>
    <w:p>
      <w:pPr>
        <w:spacing w:line="600" w:lineRule="exact"/>
        <w:ind w:firstLine="643" w:firstLineChars="200"/>
        <w:rPr>
          <w:rFonts w:ascii="仿宋" w:hAnsi="仿宋" w:eastAsia="仿宋"/>
          <w:b/>
          <w:color w:val="000000"/>
          <w:sz w:val="32"/>
          <w:szCs w:val="32"/>
        </w:rPr>
      </w:pPr>
      <w:r>
        <w:rPr>
          <w:rStyle w:val="14"/>
          <w:rFonts w:hint="eastAsia" w:ascii="仿宋" w:hAnsi="仿宋" w:eastAsia="仿宋" w:cs="Times New Roman"/>
          <w:bCs/>
          <w:color w:val="000000"/>
          <w:sz w:val="32"/>
          <w:szCs w:val="32"/>
        </w:rPr>
        <w:t>（1）</w:t>
      </w:r>
      <w:r>
        <w:rPr>
          <w:rStyle w:val="14"/>
          <w:rFonts w:hint="eastAsia" w:ascii="仿宋" w:hAnsi="仿宋" w:eastAsia="仿宋" w:cs="Times New Roman"/>
          <w:bCs/>
          <w:color w:val="000000"/>
          <w:sz w:val="32"/>
          <w:szCs w:val="32"/>
          <w:lang w:eastAsia="zh-CN"/>
        </w:rPr>
        <w:t>其他支出</w:t>
      </w:r>
      <w:r>
        <w:rPr>
          <w:rStyle w:val="14"/>
          <w:rFonts w:hint="eastAsia" w:ascii="仿宋" w:hAnsi="仿宋" w:eastAsia="仿宋" w:cs="Times New Roman"/>
          <w:bCs/>
          <w:color w:val="000000"/>
          <w:sz w:val="32"/>
          <w:szCs w:val="32"/>
        </w:rPr>
        <w:t>（类）</w:t>
      </w:r>
      <w:r>
        <w:rPr>
          <w:rStyle w:val="14"/>
          <w:rFonts w:hint="eastAsia" w:ascii="仿宋" w:hAnsi="仿宋" w:eastAsia="仿宋" w:cs="Times New Roman"/>
          <w:bCs/>
          <w:color w:val="000000"/>
          <w:sz w:val="32"/>
          <w:szCs w:val="32"/>
          <w:lang w:eastAsia="zh-CN"/>
        </w:rPr>
        <w:t>其他支出</w:t>
      </w:r>
      <w:r>
        <w:rPr>
          <w:rStyle w:val="14"/>
          <w:rFonts w:hint="eastAsia" w:ascii="仿宋" w:hAnsi="仿宋" w:eastAsia="仿宋" w:cs="Times New Roman"/>
          <w:bCs/>
          <w:color w:val="000000"/>
          <w:sz w:val="32"/>
          <w:szCs w:val="32"/>
        </w:rPr>
        <w:t>（款）</w:t>
      </w:r>
      <w:r>
        <w:rPr>
          <w:rStyle w:val="14"/>
          <w:rFonts w:hint="eastAsia" w:ascii="仿宋" w:hAnsi="仿宋" w:eastAsia="仿宋" w:cs="Times New Roman"/>
          <w:bCs/>
          <w:color w:val="000000"/>
          <w:sz w:val="32"/>
          <w:szCs w:val="32"/>
          <w:lang w:eastAsia="zh-CN"/>
        </w:rPr>
        <w:t>其他支出</w:t>
      </w:r>
      <w:r>
        <w:rPr>
          <w:rStyle w:val="14"/>
          <w:rFonts w:hint="eastAsia" w:ascii="仿宋" w:hAnsi="仿宋" w:eastAsia="仿宋" w:cs="Times New Roman"/>
          <w:bCs/>
          <w:color w:val="000000"/>
          <w:sz w:val="32"/>
          <w:szCs w:val="32"/>
        </w:rPr>
        <w:t>（项）:</w:t>
      </w:r>
      <w:r>
        <w:rPr>
          <w:rStyle w:val="14"/>
          <w:rFonts w:hint="eastAsia" w:ascii="仿宋" w:hAnsi="仿宋" w:eastAsia="仿宋" w:cs="Times New Roman"/>
          <w:b w:val="0"/>
          <w:bCs w:val="0"/>
          <w:color w:val="000000"/>
          <w:sz w:val="32"/>
          <w:szCs w:val="32"/>
          <w:lang w:eastAsia="zh-CN"/>
        </w:rPr>
        <w:t>支出</w:t>
      </w:r>
      <w:r>
        <w:rPr>
          <w:rStyle w:val="14"/>
          <w:rFonts w:hint="eastAsia" w:ascii="仿宋" w:hAnsi="仿宋" w:eastAsia="仿宋" w:cs="Times New Roman"/>
          <w:b w:val="0"/>
          <w:bCs w:val="0"/>
          <w:color w:val="000000"/>
          <w:sz w:val="32"/>
          <w:szCs w:val="32"/>
        </w:rPr>
        <w:t>决算为</w:t>
      </w:r>
      <w:r>
        <w:rPr>
          <w:rStyle w:val="14"/>
          <w:rFonts w:hint="eastAsia" w:ascii="仿宋" w:hAnsi="仿宋" w:eastAsia="仿宋" w:cs="Times New Roman"/>
          <w:b w:val="0"/>
          <w:bCs w:val="0"/>
          <w:color w:val="000000"/>
          <w:sz w:val="32"/>
          <w:szCs w:val="32"/>
          <w:lang w:val="en-US" w:eastAsia="zh-CN"/>
        </w:rPr>
        <w:t>0.8</w:t>
      </w:r>
      <w:r>
        <w:rPr>
          <w:rStyle w:val="14"/>
          <w:rFonts w:hint="eastAsia" w:ascii="仿宋" w:hAnsi="仿宋" w:eastAsia="仿宋" w:cs="Times New Roman"/>
          <w:b w:val="0"/>
          <w:bCs w:val="0"/>
          <w:color w:val="000000"/>
          <w:sz w:val="32"/>
          <w:szCs w:val="32"/>
        </w:rPr>
        <w:t>万元，完成预算</w:t>
      </w:r>
      <w:r>
        <w:rPr>
          <w:rStyle w:val="14"/>
          <w:rFonts w:hint="eastAsia" w:ascii="仿宋" w:hAnsi="仿宋" w:eastAsia="仿宋" w:cs="Times New Roman"/>
          <w:b w:val="0"/>
          <w:bCs w:val="0"/>
          <w:color w:val="000000"/>
          <w:sz w:val="32"/>
          <w:szCs w:val="32"/>
          <w:lang w:val="en-US" w:eastAsia="zh-CN"/>
        </w:rPr>
        <w:t>100</w:t>
      </w:r>
      <w:r>
        <w:rPr>
          <w:rStyle w:val="14"/>
          <w:rFonts w:hint="eastAsia" w:ascii="仿宋" w:hAnsi="仿宋" w:eastAsia="仿宋" w:cs="Times New Roman"/>
          <w:b w:val="0"/>
          <w:bCs w:val="0"/>
          <w:color w:val="000000"/>
          <w:sz w:val="32"/>
          <w:szCs w:val="32"/>
        </w:rPr>
        <w:t>%。</w:t>
      </w:r>
    </w:p>
    <w:p>
      <w:pPr>
        <w:tabs>
          <w:tab w:val="right" w:pos="8306"/>
        </w:tabs>
        <w:spacing w:line="600" w:lineRule="exact"/>
        <w:ind w:firstLine="640"/>
        <w:outlineLvl w:val="1"/>
        <w:rPr>
          <w:rStyle w:val="30"/>
        </w:rPr>
      </w:pPr>
      <w:bookmarkStart w:id="37" w:name="_Toc15396608"/>
      <w:bookmarkStart w:id="38" w:name="_Toc15377214"/>
      <w:r>
        <w:rPr>
          <w:rFonts w:hint="eastAsia" w:ascii="黑体" w:eastAsia="黑体"/>
          <w:color w:val="000000"/>
          <w:sz w:val="32"/>
          <w:szCs w:val="32"/>
        </w:rPr>
        <w:t>六</w:t>
      </w:r>
      <w:r>
        <w:rPr>
          <w:rFonts w:hint="eastAsia" w:ascii="黑体" w:eastAsia="黑体"/>
          <w:b/>
          <w:color w:val="000000"/>
          <w:sz w:val="32"/>
          <w:szCs w:val="32"/>
        </w:rPr>
        <w:t>、</w:t>
      </w:r>
      <w:r>
        <w:rPr>
          <w:rFonts w:hint="eastAsia" w:ascii="黑体" w:hAnsi="黑体" w:eastAsia="黑体"/>
          <w:b/>
          <w:color w:val="000000"/>
          <w:sz w:val="32"/>
          <w:szCs w:val="32"/>
        </w:rPr>
        <w:t>一</w:t>
      </w:r>
      <w:r>
        <w:rPr>
          <w:rStyle w:val="30"/>
          <w:rFonts w:hint="eastAsia" w:ascii="黑体" w:hAnsi="黑体" w:eastAsia="黑体"/>
          <w:b w:val="0"/>
        </w:rPr>
        <w:t>般公共预算财政拨款基本支出决算情况说明</w:t>
      </w:r>
      <w:bookmarkEnd w:id="37"/>
      <w:bookmarkEnd w:id="38"/>
      <w:r>
        <w:rPr>
          <w:rStyle w:val="30"/>
          <w:rFonts w:ascii="黑体" w:hAnsi="黑体" w:eastAsia="黑体"/>
          <w:b w:val="0"/>
        </w:rPr>
        <w:tab/>
      </w:r>
    </w:p>
    <w:p>
      <w:pPr>
        <w:spacing w:line="600" w:lineRule="exact"/>
        <w:ind w:firstLine="645"/>
        <w:rPr>
          <w:rFonts w:ascii="仿宋" w:hAnsi="仿宋" w:eastAsia="仿宋"/>
          <w:color w:val="000000"/>
          <w:sz w:val="32"/>
          <w:szCs w:val="32"/>
        </w:rPr>
      </w:pPr>
      <w:r>
        <w:rPr>
          <w:rFonts w:ascii="仿宋" w:hAnsi="仿宋" w:eastAsia="仿宋"/>
          <w:color w:val="000000"/>
          <w:sz w:val="32"/>
          <w:szCs w:val="32"/>
        </w:rPr>
        <w:t>201</w:t>
      </w:r>
      <w:r>
        <w:rPr>
          <w:rFonts w:hint="eastAsia" w:ascii="仿宋" w:hAnsi="仿宋" w:eastAsia="仿宋"/>
          <w:color w:val="000000"/>
          <w:sz w:val="32"/>
          <w:szCs w:val="32"/>
        </w:rPr>
        <w:t>9年一般公共预算财政拨款基本支出</w:t>
      </w:r>
      <w:r>
        <w:rPr>
          <w:rFonts w:hint="eastAsia" w:ascii="仿宋" w:hAnsi="仿宋" w:eastAsia="仿宋"/>
          <w:color w:val="000000"/>
          <w:sz w:val="32"/>
          <w:szCs w:val="32"/>
          <w:lang w:val="en-US" w:eastAsia="zh-CN"/>
        </w:rPr>
        <w:t>25,729.57</w:t>
      </w:r>
      <w:r>
        <w:rPr>
          <w:rFonts w:hint="eastAsia" w:ascii="仿宋" w:hAnsi="仿宋" w:eastAsia="仿宋"/>
          <w:color w:val="000000"/>
          <w:sz w:val="32"/>
          <w:szCs w:val="32"/>
        </w:rPr>
        <w:t>万元，其中：</w:t>
      </w:r>
    </w:p>
    <w:p>
      <w:pPr>
        <w:spacing w:line="600" w:lineRule="exact"/>
        <w:ind w:firstLine="645"/>
        <w:rPr>
          <w:rFonts w:ascii="仿宋" w:hAnsi="仿宋" w:eastAsia="仿宋"/>
          <w:color w:val="000000"/>
          <w:sz w:val="32"/>
          <w:szCs w:val="32"/>
        </w:rPr>
      </w:pPr>
      <w:r>
        <w:rPr>
          <w:rFonts w:hint="eastAsia" w:ascii="仿宋" w:hAnsi="仿宋" w:eastAsia="仿宋"/>
          <w:color w:val="000000"/>
          <w:sz w:val="32"/>
          <w:szCs w:val="32"/>
        </w:rPr>
        <w:t>人员经费</w:t>
      </w:r>
      <w:r>
        <w:rPr>
          <w:rFonts w:hint="eastAsia" w:ascii="仿宋" w:hAnsi="仿宋" w:eastAsia="仿宋"/>
          <w:color w:val="000000"/>
          <w:sz w:val="32"/>
          <w:szCs w:val="32"/>
          <w:lang w:val="en-US" w:eastAsia="zh-CN"/>
        </w:rPr>
        <w:t>21,809.69</w:t>
      </w:r>
      <w:r>
        <w:rPr>
          <w:rFonts w:hint="eastAsia" w:ascii="仿宋" w:hAnsi="仿宋" w:eastAsia="仿宋"/>
          <w:color w:val="000000"/>
          <w:sz w:val="32"/>
          <w:szCs w:val="32"/>
        </w:rPr>
        <w:t>万元，主要包括：基本工资、津贴补贴、奖金、伙食补助费、绩效工资、机关事业单位基本养老保险缴费、职业年金缴费、其他社会保障缴费、其他工资福利支出、离休费、退休费、抚恤金、生活补助、医疗费补助、奖励金、住房公积金、其他对个人和家庭的补助支出等。</w:t>
      </w:r>
      <w:r>
        <w:rPr>
          <w:rFonts w:ascii="仿宋" w:hAnsi="仿宋" w:eastAsia="仿宋"/>
          <w:color w:val="000000"/>
          <w:sz w:val="32"/>
          <w:szCs w:val="32"/>
        </w:rPr>
        <w:br w:type="textWrapping"/>
      </w:r>
      <w:r>
        <w:rPr>
          <w:rFonts w:hint="eastAsia" w:ascii="仿宋" w:hAnsi="仿宋" w:eastAsia="仿宋"/>
          <w:color w:val="000000"/>
          <w:sz w:val="32"/>
          <w:szCs w:val="32"/>
        </w:rPr>
        <w:t>　　日常公用经费</w:t>
      </w:r>
      <w:r>
        <w:rPr>
          <w:rFonts w:hint="eastAsia" w:ascii="仿宋" w:hAnsi="仿宋" w:eastAsia="仿宋"/>
          <w:color w:val="000000"/>
          <w:sz w:val="32"/>
          <w:szCs w:val="32"/>
          <w:lang w:val="en-US" w:eastAsia="zh-CN"/>
        </w:rPr>
        <w:t>3175.37</w:t>
      </w:r>
      <w:r>
        <w:rPr>
          <w:rFonts w:hint="eastAsia" w:ascii="仿宋" w:hAnsi="仿宋" w:eastAsia="仿宋"/>
          <w:color w:val="000000"/>
          <w:sz w:val="32"/>
          <w:szCs w:val="32"/>
        </w:rPr>
        <w:t>万元，主要包括：办公费、印刷费、咨询费、手续费、水费、电费、邮电费、取暖费、物业管理费、差旅费、因公出国（境）费用、维修（护）费、租赁费、会议费、培训费、公务接待费、劳务费、委托业务费、工会经费、福利费、公务用车运行维护费、其他交通费、税金及附加费用、其他商品和服务支出、办公设备购置、专用设备购置、信息网络及软件购置更新、其他资本性支出等。</w:t>
      </w:r>
    </w:p>
    <w:p>
      <w:pPr>
        <w:spacing w:line="600" w:lineRule="exact"/>
        <w:ind w:firstLine="640"/>
        <w:outlineLvl w:val="1"/>
        <w:rPr>
          <w:rStyle w:val="30"/>
          <w:rFonts w:ascii="黑体" w:hAnsi="黑体" w:eastAsia="黑体"/>
          <w:b w:val="0"/>
        </w:rPr>
      </w:pPr>
      <w:bookmarkStart w:id="39" w:name="_Toc15377215"/>
      <w:bookmarkStart w:id="40" w:name="_Toc15396609"/>
      <w:r>
        <w:rPr>
          <w:rFonts w:hint="eastAsia" w:ascii="黑体" w:eastAsia="黑体"/>
          <w:color w:val="000000"/>
          <w:sz w:val="32"/>
          <w:szCs w:val="32"/>
        </w:rPr>
        <w:t>七、</w:t>
      </w:r>
      <w:r>
        <w:rPr>
          <w:rStyle w:val="30"/>
          <w:rFonts w:hint="eastAsia" w:ascii="黑体" w:hAnsi="黑体" w:eastAsia="黑体"/>
        </w:rPr>
        <w:t>“</w:t>
      </w:r>
      <w:r>
        <w:rPr>
          <w:rStyle w:val="30"/>
          <w:rFonts w:hint="eastAsia" w:ascii="黑体" w:hAnsi="黑体" w:eastAsia="黑体"/>
          <w:b w:val="0"/>
        </w:rPr>
        <w:t>三公”经费财政拨款支出决算情况说明</w:t>
      </w:r>
      <w:bookmarkEnd w:id="39"/>
      <w:bookmarkEnd w:id="40"/>
    </w:p>
    <w:p>
      <w:pPr>
        <w:spacing w:line="600" w:lineRule="exact"/>
        <w:ind w:firstLine="640"/>
        <w:outlineLvl w:val="2"/>
        <w:rPr>
          <w:rFonts w:ascii="仿宋" w:hAnsi="仿宋" w:eastAsia="仿宋"/>
          <w:b/>
          <w:color w:val="000000"/>
          <w:sz w:val="32"/>
          <w:szCs w:val="32"/>
        </w:rPr>
      </w:pPr>
      <w:bookmarkStart w:id="41" w:name="_Toc15377216"/>
      <w:r>
        <w:rPr>
          <w:rFonts w:hint="eastAsia" w:ascii="仿宋" w:hAnsi="仿宋" w:eastAsia="仿宋"/>
          <w:b/>
          <w:color w:val="000000"/>
          <w:sz w:val="32"/>
          <w:szCs w:val="32"/>
        </w:rPr>
        <w:t>（一）“三公”经费财政拨款支出决算总体情况说明</w:t>
      </w:r>
      <w:bookmarkEnd w:id="41"/>
    </w:p>
    <w:p>
      <w:pPr>
        <w:spacing w:line="600" w:lineRule="exact"/>
        <w:ind w:firstLine="640"/>
        <w:rPr>
          <w:rFonts w:ascii="仿宋" w:hAnsi="仿宋" w:eastAsia="仿宋"/>
          <w:b/>
          <w:color w:val="FF0000"/>
          <w:sz w:val="32"/>
          <w:szCs w:val="32"/>
        </w:rPr>
      </w:pPr>
      <w:r>
        <w:rPr>
          <w:rFonts w:ascii="仿宋" w:hAnsi="仿宋" w:eastAsia="仿宋"/>
          <w:color w:val="000000"/>
          <w:sz w:val="32"/>
          <w:szCs w:val="32"/>
        </w:rPr>
        <w:t>201</w:t>
      </w:r>
      <w:r>
        <w:rPr>
          <w:rFonts w:hint="eastAsia" w:ascii="仿宋" w:hAnsi="仿宋" w:eastAsia="仿宋"/>
          <w:color w:val="000000"/>
          <w:sz w:val="32"/>
          <w:szCs w:val="32"/>
        </w:rPr>
        <w:t>9年“三公”经费财政拨款支出决算为</w:t>
      </w:r>
      <w:r>
        <w:rPr>
          <w:rFonts w:hint="eastAsia" w:ascii="仿宋" w:hAnsi="仿宋" w:eastAsia="仿宋"/>
          <w:color w:val="000000"/>
          <w:sz w:val="32"/>
          <w:szCs w:val="32"/>
          <w:lang w:val="en-US" w:eastAsia="zh-CN"/>
        </w:rPr>
        <w:t>58.98</w:t>
      </w:r>
      <w:r>
        <w:rPr>
          <w:rFonts w:hint="eastAsia" w:ascii="仿宋" w:hAnsi="仿宋" w:eastAsia="仿宋"/>
          <w:color w:val="000000"/>
          <w:sz w:val="32"/>
          <w:szCs w:val="32"/>
        </w:rPr>
        <w:t>万元，完成预算</w:t>
      </w:r>
      <w:r>
        <w:rPr>
          <w:rFonts w:hint="eastAsia" w:ascii="仿宋" w:hAnsi="仿宋" w:eastAsia="仿宋"/>
          <w:color w:val="000000"/>
          <w:sz w:val="32"/>
          <w:szCs w:val="32"/>
          <w:lang w:val="en-US" w:eastAsia="zh-CN"/>
        </w:rPr>
        <w:t>53.36</w:t>
      </w:r>
      <w:r>
        <w:rPr>
          <w:rFonts w:ascii="仿宋" w:hAnsi="仿宋" w:eastAsia="仿宋"/>
          <w:color w:val="000000"/>
          <w:sz w:val="32"/>
          <w:szCs w:val="32"/>
        </w:rPr>
        <w:t>%</w:t>
      </w:r>
      <w:r>
        <w:rPr>
          <w:rFonts w:hint="eastAsia" w:ascii="仿宋" w:hAnsi="仿宋" w:eastAsia="仿宋"/>
          <w:color w:val="000000"/>
          <w:sz w:val="32"/>
          <w:szCs w:val="32"/>
        </w:rPr>
        <w:t>，</w:t>
      </w:r>
      <w:r>
        <w:rPr>
          <w:rFonts w:hint="eastAsia" w:ascii="仿宋" w:hAnsi="仿宋" w:eastAsia="仿宋" w:cs="仿宋"/>
          <w:bCs/>
          <w:color w:val="000000"/>
          <w:sz w:val="32"/>
          <w:szCs w:val="32"/>
        </w:rPr>
        <w:t>决算数小于预算数的主要原因是严格控制三公经费支出数，逐年递减。</w:t>
      </w:r>
    </w:p>
    <w:p>
      <w:pPr>
        <w:spacing w:line="600" w:lineRule="exact"/>
        <w:ind w:firstLine="640"/>
        <w:outlineLvl w:val="2"/>
        <w:rPr>
          <w:rFonts w:ascii="仿宋" w:hAnsi="仿宋" w:eastAsia="仿宋"/>
          <w:b/>
          <w:color w:val="000000"/>
          <w:sz w:val="32"/>
          <w:szCs w:val="32"/>
        </w:rPr>
      </w:pPr>
      <w:r>
        <w:rPr>
          <w:rFonts w:hint="eastAsia" w:ascii="仿宋" w:hAnsi="仿宋" w:eastAsia="仿宋"/>
          <w:b/>
          <w:color w:val="000000"/>
          <w:sz w:val="32"/>
          <w:szCs w:val="32"/>
        </w:rPr>
        <w:t>（二）“三公”经费财政拨款支出决算具体情况说明</w:t>
      </w:r>
      <w:bookmarkEnd w:id="33"/>
    </w:p>
    <w:p>
      <w:pPr>
        <w:spacing w:line="600" w:lineRule="exact"/>
        <w:ind w:firstLine="640"/>
        <w:rPr>
          <w:rFonts w:ascii="仿宋" w:hAnsi="仿宋" w:eastAsia="仿宋"/>
          <w:color w:val="000000"/>
          <w:sz w:val="32"/>
          <w:szCs w:val="32"/>
        </w:rPr>
      </w:pPr>
      <w:r>
        <w:rPr>
          <w:rFonts w:ascii="仿宋" w:hAnsi="仿宋" w:eastAsia="仿宋"/>
          <w:color w:val="000000"/>
          <w:sz w:val="32"/>
          <w:szCs w:val="32"/>
        </w:rPr>
        <w:t>201</w:t>
      </w:r>
      <w:r>
        <w:rPr>
          <w:rFonts w:hint="eastAsia" w:ascii="仿宋" w:hAnsi="仿宋" w:eastAsia="仿宋"/>
          <w:color w:val="000000"/>
          <w:sz w:val="32"/>
          <w:szCs w:val="32"/>
        </w:rPr>
        <w:t>9年“三公”经费财政拨款支出决算中，因公出国（境）费支出决算</w:t>
      </w:r>
      <w:r>
        <w:rPr>
          <w:rFonts w:hint="eastAsia" w:ascii="仿宋" w:hAnsi="仿宋" w:eastAsia="仿宋"/>
          <w:color w:val="000000"/>
          <w:sz w:val="32"/>
          <w:szCs w:val="32"/>
          <w:lang w:val="en-US" w:eastAsia="zh-CN"/>
        </w:rPr>
        <w:t>0</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0</w:t>
      </w:r>
      <w:r>
        <w:rPr>
          <w:rFonts w:ascii="仿宋" w:hAnsi="仿宋" w:eastAsia="仿宋"/>
          <w:color w:val="000000"/>
          <w:sz w:val="32"/>
          <w:szCs w:val="32"/>
        </w:rPr>
        <w:t>%</w:t>
      </w:r>
      <w:r>
        <w:rPr>
          <w:rFonts w:hint="eastAsia" w:ascii="仿宋" w:hAnsi="仿宋" w:eastAsia="仿宋"/>
          <w:color w:val="000000"/>
          <w:sz w:val="32"/>
          <w:szCs w:val="32"/>
        </w:rPr>
        <w:t>；公务用车购置及运行维护费支出决算</w:t>
      </w:r>
      <w:r>
        <w:rPr>
          <w:rFonts w:hint="eastAsia" w:ascii="仿宋" w:hAnsi="仿宋" w:eastAsia="仿宋"/>
          <w:color w:val="000000"/>
          <w:sz w:val="32"/>
          <w:szCs w:val="32"/>
          <w:lang w:val="en-US" w:eastAsia="zh-CN"/>
        </w:rPr>
        <w:t>51.05</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77.37</w:t>
      </w:r>
      <w:r>
        <w:rPr>
          <w:rFonts w:ascii="仿宋" w:hAnsi="仿宋" w:eastAsia="仿宋"/>
          <w:color w:val="000000"/>
          <w:sz w:val="32"/>
          <w:szCs w:val="32"/>
        </w:rPr>
        <w:t>%</w:t>
      </w:r>
      <w:r>
        <w:rPr>
          <w:rFonts w:hint="eastAsia" w:ascii="仿宋" w:hAnsi="仿宋" w:eastAsia="仿宋"/>
          <w:color w:val="000000"/>
          <w:sz w:val="32"/>
          <w:szCs w:val="32"/>
        </w:rPr>
        <w:t>；公务接待费支出决算</w:t>
      </w:r>
      <w:r>
        <w:rPr>
          <w:rFonts w:hint="eastAsia" w:ascii="仿宋" w:hAnsi="仿宋" w:eastAsia="仿宋"/>
          <w:color w:val="000000"/>
          <w:sz w:val="32"/>
          <w:szCs w:val="32"/>
          <w:lang w:val="en-US" w:eastAsia="zh-CN"/>
        </w:rPr>
        <w:t>7.92</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17.78</w:t>
      </w:r>
      <w:r>
        <w:rPr>
          <w:rFonts w:ascii="仿宋" w:hAnsi="仿宋" w:eastAsia="仿宋"/>
          <w:color w:val="000000"/>
          <w:sz w:val="32"/>
          <w:szCs w:val="32"/>
        </w:rPr>
        <w:t>%</w:t>
      </w:r>
      <w:r>
        <w:rPr>
          <w:rFonts w:hint="eastAsia" w:ascii="仿宋" w:hAnsi="仿宋" w:eastAsia="仿宋"/>
          <w:color w:val="000000"/>
          <w:sz w:val="32"/>
          <w:szCs w:val="32"/>
        </w:rPr>
        <w:t>。具体情况如下：</w:t>
      </w:r>
    </w:p>
    <w:p>
      <w:pPr>
        <w:spacing w:line="600" w:lineRule="exact"/>
        <w:ind w:firstLine="640"/>
        <w:rPr>
          <w:rFonts w:ascii="仿宋" w:hAnsi="仿宋" w:eastAsia="仿宋"/>
          <w:color w:val="000000"/>
          <w:sz w:val="32"/>
          <w:szCs w:val="32"/>
        </w:rPr>
      </w:pPr>
      <w:r>
        <w:rPr>
          <w:rFonts w:hint="eastAsia" w:ascii="仿宋" w:hAnsi="仿宋" w:eastAsia="仿宋"/>
          <w:color w:val="000000"/>
          <w:sz w:val="32"/>
          <w:szCs w:val="32"/>
        </w:rPr>
        <w:t>（图7：“三公”经费财政拨款支出结构）（饼状图）</w:t>
      </w:r>
    </w:p>
    <w:p>
      <w:pPr>
        <w:spacing w:line="600" w:lineRule="exact"/>
        <w:ind w:firstLine="640"/>
        <w:rPr>
          <w:rFonts w:hint="eastAsia" w:ascii="仿宋" w:hAnsi="仿宋" w:eastAsia="仿宋"/>
          <w:color w:val="000000"/>
          <w:sz w:val="32"/>
          <w:szCs w:val="32"/>
        </w:rPr>
      </w:pPr>
      <w:r>
        <w:rPr>
          <w:rFonts w:hint="eastAsia" w:ascii="仿宋" w:hAnsi="仿宋" w:eastAsia="仿宋" w:cs="仿宋"/>
          <w:bCs/>
          <w:color w:val="333333"/>
          <w:sz w:val="32"/>
          <w:szCs w:val="32"/>
        </w:rPr>
        <w:drawing>
          <wp:anchor distT="0" distB="0" distL="114300" distR="114300" simplePos="0" relativeHeight="251665408" behindDoc="1" locked="0" layoutInCell="1" allowOverlap="1">
            <wp:simplePos x="0" y="0"/>
            <wp:positionH relativeFrom="column">
              <wp:posOffset>294005</wp:posOffset>
            </wp:positionH>
            <wp:positionV relativeFrom="paragraph">
              <wp:posOffset>180340</wp:posOffset>
            </wp:positionV>
            <wp:extent cx="5122545" cy="2361565"/>
            <wp:effectExtent l="0" t="0" r="0" b="0"/>
            <wp:wrapTight wrapText="bothSides">
              <wp:wrapPolygon>
                <wp:start x="0" y="0"/>
                <wp:lineTo x="0" y="21432"/>
                <wp:lineTo x="21528" y="21432"/>
                <wp:lineTo x="21528" y="0"/>
                <wp:lineTo x="0" y="0"/>
              </wp:wrapPolygon>
            </wp:wrapTight>
            <wp:docPr id="9" name="对象 9"/>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anchor>
        </w:drawing>
      </w:r>
    </w:p>
    <w:p>
      <w:pPr>
        <w:spacing w:line="600" w:lineRule="exact"/>
        <w:ind w:firstLine="640"/>
        <w:rPr>
          <w:rFonts w:hint="eastAsia" w:ascii="仿宋_GB2312" w:eastAsia="仿宋_GB2312"/>
          <w:color w:val="000000"/>
          <w:sz w:val="32"/>
          <w:szCs w:val="32"/>
          <w:lang w:val="en-US" w:eastAsia="zh-CN"/>
        </w:rPr>
      </w:pPr>
      <w:r>
        <w:rPr>
          <w:rFonts w:ascii="仿宋_GB2312" w:eastAsia="仿宋_GB2312"/>
          <w:b/>
          <w:color w:val="000000"/>
          <w:sz w:val="32"/>
          <w:szCs w:val="32"/>
        </w:rPr>
        <w:t>1.</w:t>
      </w:r>
      <w:r>
        <w:rPr>
          <w:rFonts w:hint="eastAsia" w:ascii="仿宋_GB2312" w:eastAsia="仿宋_GB2312"/>
          <w:b/>
          <w:color w:val="000000"/>
          <w:sz w:val="32"/>
          <w:szCs w:val="32"/>
        </w:rPr>
        <w:t>因公出国（境）经费支出</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w:t>
      </w:r>
      <w:r>
        <w:rPr>
          <w:rStyle w:val="14"/>
          <w:rFonts w:hint="eastAsia" w:ascii="仿宋" w:hAnsi="仿宋" w:eastAsia="仿宋"/>
          <w:b w:val="0"/>
          <w:bCs/>
          <w:color w:val="000000"/>
          <w:sz w:val="32"/>
          <w:szCs w:val="32"/>
        </w:rPr>
        <w:t>完成预算</w:t>
      </w:r>
      <w:r>
        <w:rPr>
          <w:rStyle w:val="14"/>
          <w:rFonts w:hint="eastAsia" w:ascii="仿宋" w:hAnsi="仿宋" w:eastAsia="仿宋"/>
          <w:b w:val="0"/>
          <w:bCs/>
          <w:color w:val="000000"/>
          <w:sz w:val="32"/>
          <w:szCs w:val="32"/>
          <w:lang w:val="en-US" w:eastAsia="zh-CN"/>
        </w:rPr>
        <w:t>0</w:t>
      </w:r>
      <w:r>
        <w:rPr>
          <w:rStyle w:val="14"/>
          <w:rFonts w:ascii="仿宋" w:hAnsi="仿宋" w:eastAsia="仿宋"/>
          <w:b w:val="0"/>
          <w:bCs/>
          <w:color w:val="000000"/>
          <w:sz w:val="32"/>
          <w:szCs w:val="32"/>
        </w:rPr>
        <w:t>%</w:t>
      </w:r>
      <w:r>
        <w:rPr>
          <w:rStyle w:val="14"/>
          <w:rFonts w:hint="eastAsia" w:ascii="仿宋" w:hAnsi="仿宋" w:eastAsia="仿宋"/>
          <w:b w:val="0"/>
          <w:bCs/>
          <w:color w:val="000000"/>
          <w:sz w:val="32"/>
          <w:szCs w:val="32"/>
        </w:rPr>
        <w:t>。</w:t>
      </w:r>
      <w:r>
        <w:rPr>
          <w:rFonts w:hint="eastAsia" w:ascii="仿宋_GB2312" w:eastAsia="仿宋_GB2312"/>
          <w:color w:val="000000"/>
          <w:sz w:val="32"/>
          <w:szCs w:val="32"/>
        </w:rPr>
        <w:t>全年安排因公出国（境）团组</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次，出国（境）</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人。因公出国（境）支出决算比</w:t>
      </w:r>
      <w:r>
        <w:rPr>
          <w:rFonts w:ascii="仿宋_GB2312" w:eastAsia="仿宋_GB2312"/>
          <w:color w:val="000000"/>
          <w:sz w:val="32"/>
          <w:szCs w:val="32"/>
        </w:rPr>
        <w:t>201</w:t>
      </w:r>
      <w:r>
        <w:rPr>
          <w:rFonts w:hint="eastAsia" w:ascii="仿宋_GB2312" w:eastAsia="仿宋_GB2312"/>
          <w:color w:val="000000"/>
          <w:sz w:val="32"/>
          <w:szCs w:val="32"/>
        </w:rPr>
        <w:t>8年减少</w:t>
      </w:r>
      <w:r>
        <w:rPr>
          <w:rFonts w:hint="eastAsia" w:ascii="仿宋_GB2312" w:eastAsia="仿宋_GB2312"/>
          <w:color w:val="000000"/>
          <w:sz w:val="32"/>
          <w:szCs w:val="32"/>
          <w:lang w:val="en-US" w:eastAsia="zh-CN"/>
        </w:rPr>
        <w:t>1.57</w:t>
      </w:r>
      <w:r>
        <w:rPr>
          <w:rFonts w:hint="eastAsia" w:ascii="仿宋_GB2312" w:eastAsia="仿宋_GB2312"/>
          <w:color w:val="000000"/>
          <w:sz w:val="32"/>
          <w:szCs w:val="32"/>
        </w:rPr>
        <w:t>万元，下降</w:t>
      </w:r>
      <w:r>
        <w:rPr>
          <w:rFonts w:hint="eastAsia" w:ascii="仿宋_GB2312" w:eastAsia="仿宋_GB2312"/>
          <w:color w:val="000000"/>
          <w:sz w:val="32"/>
          <w:szCs w:val="32"/>
          <w:lang w:val="en-US" w:eastAsia="zh-CN"/>
        </w:rPr>
        <w:t>100</w:t>
      </w:r>
      <w:r>
        <w:rPr>
          <w:rFonts w:ascii="仿宋_GB2312" w:eastAsia="仿宋_GB2312"/>
          <w:color w:val="000000"/>
          <w:sz w:val="32"/>
          <w:szCs w:val="32"/>
        </w:rPr>
        <w:t>%</w:t>
      </w:r>
      <w:r>
        <w:rPr>
          <w:rFonts w:hint="eastAsia" w:ascii="仿宋_GB2312" w:eastAsia="仿宋_GB2312"/>
          <w:color w:val="000000"/>
          <w:sz w:val="32"/>
          <w:szCs w:val="32"/>
        </w:rPr>
        <w:t>。主要原因是</w:t>
      </w:r>
      <w:r>
        <w:rPr>
          <w:rFonts w:hint="eastAsia" w:ascii="仿宋_GB2312" w:hAnsi="仿宋_GB2312" w:eastAsia="仿宋_GB2312" w:cs="仿宋_GB2312"/>
          <w:sz w:val="32"/>
          <w:szCs w:val="32"/>
        </w:rPr>
        <w:t>无出国工作任务安排</w:t>
      </w:r>
      <w:r>
        <w:rPr>
          <w:rFonts w:hint="eastAsia" w:ascii="仿宋_GB2312" w:hAnsi="仿宋_GB2312" w:eastAsia="仿宋_GB2312" w:cs="仿宋_GB2312"/>
          <w:sz w:val="32"/>
          <w:szCs w:val="32"/>
          <w:lang w:eastAsia="zh-CN"/>
        </w:rPr>
        <w:t>。</w:t>
      </w:r>
    </w:p>
    <w:p>
      <w:pPr>
        <w:spacing w:line="600" w:lineRule="exact"/>
        <w:ind w:firstLine="640"/>
        <w:rPr>
          <w:rFonts w:hint="eastAsia" w:ascii="仿宋_GB2312" w:eastAsia="仿宋_GB2312"/>
          <w:b/>
          <w:color w:val="000000"/>
          <w:sz w:val="32"/>
          <w:szCs w:val="32"/>
          <w:lang w:eastAsia="zh-CN"/>
        </w:rPr>
      </w:pPr>
      <w:r>
        <w:rPr>
          <w:rFonts w:ascii="仿宋_GB2312" w:eastAsia="仿宋_GB2312"/>
          <w:b/>
          <w:color w:val="000000"/>
          <w:sz w:val="32"/>
          <w:szCs w:val="32"/>
        </w:rPr>
        <w:t>2.</w:t>
      </w:r>
      <w:r>
        <w:rPr>
          <w:rFonts w:hint="eastAsia" w:ascii="仿宋_GB2312" w:eastAsia="仿宋_GB2312"/>
          <w:b/>
          <w:color w:val="000000"/>
          <w:sz w:val="32"/>
          <w:szCs w:val="32"/>
        </w:rPr>
        <w:t>公务用车购置及运行维护费支出</w:t>
      </w:r>
      <w:r>
        <w:rPr>
          <w:rFonts w:hint="eastAsia" w:ascii="仿宋" w:hAnsi="仿宋" w:eastAsia="仿宋"/>
          <w:color w:val="000000"/>
          <w:sz w:val="32"/>
          <w:szCs w:val="32"/>
          <w:lang w:val="en-US" w:eastAsia="zh-CN"/>
        </w:rPr>
        <w:t>51.05</w:t>
      </w:r>
      <w:r>
        <w:rPr>
          <w:rFonts w:hint="eastAsia" w:ascii="仿宋_GB2312" w:eastAsia="仿宋_GB2312"/>
          <w:color w:val="000000"/>
          <w:sz w:val="32"/>
          <w:szCs w:val="32"/>
        </w:rPr>
        <w:t>万元,</w:t>
      </w:r>
      <w:r>
        <w:rPr>
          <w:rStyle w:val="14"/>
          <w:rFonts w:hint="eastAsia" w:ascii="仿宋" w:hAnsi="仿宋" w:eastAsia="仿宋"/>
          <w:b w:val="0"/>
          <w:bCs/>
          <w:color w:val="000000"/>
          <w:sz w:val="32"/>
          <w:szCs w:val="32"/>
        </w:rPr>
        <w:t>完成预算</w:t>
      </w:r>
      <w:r>
        <w:rPr>
          <w:rStyle w:val="14"/>
          <w:rFonts w:hint="eastAsia" w:ascii="仿宋" w:hAnsi="仿宋" w:eastAsia="仿宋"/>
          <w:b w:val="0"/>
          <w:bCs/>
          <w:color w:val="000000"/>
          <w:sz w:val="32"/>
          <w:szCs w:val="32"/>
          <w:lang w:val="en-US" w:eastAsia="zh-CN"/>
        </w:rPr>
        <w:t>77.37</w:t>
      </w:r>
      <w:r>
        <w:rPr>
          <w:rStyle w:val="14"/>
          <w:rFonts w:ascii="仿宋" w:hAnsi="仿宋" w:eastAsia="仿宋"/>
          <w:b w:val="0"/>
          <w:bCs/>
          <w:color w:val="000000"/>
          <w:sz w:val="32"/>
          <w:szCs w:val="32"/>
        </w:rPr>
        <w:t>%</w:t>
      </w:r>
      <w:r>
        <w:rPr>
          <w:rStyle w:val="14"/>
          <w:rFonts w:hint="eastAsia" w:ascii="仿宋" w:hAnsi="仿宋" w:eastAsia="仿宋"/>
          <w:b w:val="0"/>
          <w:bCs/>
          <w:color w:val="000000"/>
          <w:sz w:val="32"/>
          <w:szCs w:val="32"/>
        </w:rPr>
        <w:t>。</w:t>
      </w:r>
      <w:r>
        <w:rPr>
          <w:rFonts w:hint="eastAsia" w:ascii="仿宋_GB2312" w:eastAsia="仿宋_GB2312"/>
          <w:color w:val="000000"/>
          <w:sz w:val="32"/>
          <w:szCs w:val="32"/>
        </w:rPr>
        <w:t>公务用车购置及运行维护费支出决算比</w:t>
      </w:r>
      <w:r>
        <w:rPr>
          <w:rFonts w:ascii="仿宋_GB2312" w:eastAsia="仿宋_GB2312"/>
          <w:color w:val="000000"/>
          <w:sz w:val="32"/>
          <w:szCs w:val="32"/>
        </w:rPr>
        <w:t>201</w:t>
      </w:r>
      <w:r>
        <w:rPr>
          <w:rFonts w:hint="eastAsia" w:ascii="仿宋_GB2312" w:eastAsia="仿宋_GB2312"/>
          <w:color w:val="000000"/>
          <w:sz w:val="32"/>
          <w:szCs w:val="32"/>
        </w:rPr>
        <w:t>8年增加</w:t>
      </w:r>
      <w:r>
        <w:rPr>
          <w:rFonts w:hint="eastAsia" w:ascii="仿宋_GB2312" w:eastAsia="仿宋_GB2312"/>
          <w:color w:val="000000"/>
          <w:sz w:val="32"/>
          <w:szCs w:val="32"/>
          <w:lang w:val="en-US" w:eastAsia="zh-CN"/>
        </w:rPr>
        <w:t>2.09</w:t>
      </w:r>
      <w:r>
        <w:rPr>
          <w:rFonts w:hint="eastAsia" w:ascii="仿宋_GB2312" w:eastAsia="仿宋_GB2312"/>
          <w:color w:val="000000"/>
          <w:sz w:val="32"/>
          <w:szCs w:val="32"/>
        </w:rPr>
        <w:t>万元，增长</w:t>
      </w:r>
      <w:r>
        <w:rPr>
          <w:rFonts w:hint="eastAsia" w:ascii="仿宋_GB2312" w:eastAsia="仿宋_GB2312"/>
          <w:color w:val="000000"/>
          <w:sz w:val="32"/>
          <w:szCs w:val="32"/>
          <w:lang w:val="en-US" w:eastAsia="zh-CN"/>
        </w:rPr>
        <w:t>4.26</w:t>
      </w:r>
      <w:r>
        <w:rPr>
          <w:rFonts w:ascii="仿宋_GB2312" w:eastAsia="仿宋_GB2312"/>
          <w:color w:val="000000"/>
          <w:sz w:val="32"/>
          <w:szCs w:val="32"/>
        </w:rPr>
        <w:t>%</w:t>
      </w:r>
      <w:r>
        <w:rPr>
          <w:rFonts w:hint="eastAsia" w:ascii="仿宋_GB2312" w:eastAsia="仿宋_GB2312"/>
          <w:color w:val="000000"/>
          <w:sz w:val="32"/>
          <w:szCs w:val="32"/>
        </w:rPr>
        <w:t>。主要原因是</w:t>
      </w:r>
      <w:r>
        <w:rPr>
          <w:rFonts w:hint="eastAsia" w:ascii="仿宋_GB2312" w:eastAsia="仿宋_GB2312"/>
          <w:color w:val="000000"/>
          <w:sz w:val="32"/>
          <w:szCs w:val="32"/>
          <w:lang w:eastAsia="zh-CN"/>
        </w:rPr>
        <w:t>国内公务接待次数增加。</w:t>
      </w:r>
    </w:p>
    <w:p>
      <w:pPr>
        <w:spacing w:line="600" w:lineRule="exact"/>
        <w:ind w:firstLine="640" w:firstLineChars="200"/>
        <w:rPr>
          <w:rFonts w:hint="eastAsia" w:ascii="仿宋_GB2312" w:eastAsia="仿宋_GB2312"/>
          <w:color w:val="000000"/>
          <w:sz w:val="32"/>
          <w:szCs w:val="32"/>
          <w:lang w:val="en-US" w:eastAsia="zh-CN"/>
        </w:rPr>
      </w:pPr>
      <w:r>
        <w:rPr>
          <w:rFonts w:hint="eastAsia" w:ascii="仿宋_GB2312" w:eastAsia="仿宋_GB2312"/>
          <w:color w:val="000000"/>
          <w:sz w:val="32"/>
          <w:szCs w:val="32"/>
        </w:rPr>
        <w:t>其中：</w:t>
      </w:r>
      <w:r>
        <w:rPr>
          <w:rFonts w:hint="eastAsia" w:ascii="仿宋_GB2312" w:eastAsia="仿宋_GB2312"/>
          <w:b/>
          <w:color w:val="000000"/>
          <w:sz w:val="32"/>
          <w:szCs w:val="32"/>
        </w:rPr>
        <w:t>公务用车购置支出</w:t>
      </w:r>
      <w:r>
        <w:rPr>
          <w:rFonts w:hint="eastAsia" w:ascii="仿宋_GB2312" w:eastAsia="仿宋_GB2312"/>
          <w:b/>
          <w:color w:val="000000"/>
          <w:sz w:val="32"/>
          <w:szCs w:val="32"/>
          <w:lang w:val="en-US" w:eastAsia="zh-CN"/>
        </w:rPr>
        <w:t>0</w:t>
      </w:r>
      <w:r>
        <w:rPr>
          <w:rFonts w:hint="eastAsia" w:ascii="仿宋_GB2312" w:eastAsia="仿宋_GB2312"/>
          <w:color w:val="000000"/>
          <w:sz w:val="32"/>
          <w:szCs w:val="32"/>
        </w:rPr>
        <w:t>万元。全年按规定更新购置公务用车</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辆，金额</w:t>
      </w:r>
      <w:r>
        <w:rPr>
          <w:rFonts w:hint="eastAsia" w:ascii="仿宋_GB2312" w:eastAsia="仿宋_GB2312"/>
          <w:color w:val="000000"/>
          <w:sz w:val="32"/>
          <w:szCs w:val="32"/>
          <w:lang w:val="en-US" w:eastAsia="zh-CN"/>
        </w:rPr>
        <w:t>0</w:t>
      </w:r>
      <w:r>
        <w:rPr>
          <w:rFonts w:ascii="仿宋_GB2312" w:eastAsia="仿宋_GB2312"/>
          <w:color w:val="000000"/>
          <w:sz w:val="32"/>
          <w:szCs w:val="32"/>
        </w:rPr>
        <w:t>元。</w:t>
      </w:r>
      <w:r>
        <w:rPr>
          <w:rFonts w:hint="eastAsia" w:ascii="仿宋_GB2312" w:eastAsia="仿宋_GB2312"/>
          <w:color w:val="000000"/>
          <w:sz w:val="32"/>
          <w:szCs w:val="32"/>
        </w:rPr>
        <w:t>截至</w:t>
      </w:r>
      <w:r>
        <w:rPr>
          <w:rFonts w:ascii="仿宋_GB2312" w:eastAsia="仿宋_GB2312"/>
          <w:color w:val="000000"/>
          <w:sz w:val="32"/>
          <w:szCs w:val="32"/>
        </w:rPr>
        <w:t>201</w:t>
      </w:r>
      <w:r>
        <w:rPr>
          <w:rFonts w:hint="eastAsia" w:ascii="仿宋_GB2312" w:eastAsia="仿宋_GB2312"/>
          <w:color w:val="000000"/>
          <w:sz w:val="32"/>
          <w:szCs w:val="32"/>
        </w:rPr>
        <w:t>9年</w:t>
      </w:r>
      <w:r>
        <w:rPr>
          <w:rFonts w:ascii="仿宋_GB2312" w:eastAsia="仿宋_GB2312"/>
          <w:color w:val="000000"/>
          <w:sz w:val="32"/>
          <w:szCs w:val="32"/>
        </w:rPr>
        <w:t>12</w:t>
      </w:r>
      <w:r>
        <w:rPr>
          <w:rFonts w:hint="eastAsia" w:ascii="仿宋_GB2312" w:eastAsia="仿宋_GB2312"/>
          <w:color w:val="000000"/>
          <w:sz w:val="32"/>
          <w:szCs w:val="32"/>
        </w:rPr>
        <w:t>月底，单位共有公务用车</w:t>
      </w:r>
      <w:r>
        <w:rPr>
          <w:rFonts w:hint="eastAsia" w:ascii="仿宋_GB2312" w:eastAsia="仿宋_GB2312"/>
          <w:color w:val="000000"/>
          <w:sz w:val="32"/>
          <w:szCs w:val="32"/>
          <w:lang w:val="en-US" w:eastAsia="zh-CN"/>
        </w:rPr>
        <w:t>18</w:t>
      </w:r>
      <w:r>
        <w:rPr>
          <w:rFonts w:hint="eastAsia" w:ascii="仿宋_GB2312" w:eastAsia="仿宋_GB2312"/>
          <w:color w:val="000000"/>
          <w:sz w:val="32"/>
          <w:szCs w:val="32"/>
        </w:rPr>
        <w:t>辆，其中：主要领导干部用车</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辆、机要通信用车</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辆、应急保障用车</w:t>
      </w:r>
      <w:r>
        <w:rPr>
          <w:rFonts w:hint="eastAsia" w:ascii="仿宋_GB2312" w:eastAsia="仿宋_GB2312"/>
          <w:color w:val="000000"/>
          <w:sz w:val="32"/>
          <w:szCs w:val="32"/>
          <w:lang w:val="en-US" w:eastAsia="zh-CN"/>
        </w:rPr>
        <w:t>12</w:t>
      </w:r>
      <w:r>
        <w:rPr>
          <w:rFonts w:hint="eastAsia" w:ascii="仿宋_GB2312" w:eastAsia="仿宋_GB2312"/>
          <w:color w:val="000000"/>
          <w:sz w:val="32"/>
          <w:szCs w:val="32"/>
        </w:rPr>
        <w:t>辆、执法执勤用车</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辆</w:t>
      </w:r>
      <w:r>
        <w:rPr>
          <w:rFonts w:hint="eastAsia" w:ascii="仿宋_GB2312" w:eastAsia="仿宋_GB2312"/>
          <w:color w:val="000000"/>
          <w:sz w:val="32"/>
          <w:szCs w:val="32"/>
          <w:lang w:eastAsia="zh-CN"/>
        </w:rPr>
        <w:t>、其他用车</w:t>
      </w:r>
      <w:r>
        <w:rPr>
          <w:rFonts w:hint="eastAsia" w:ascii="仿宋_GB2312" w:eastAsia="仿宋_GB2312"/>
          <w:color w:val="000000"/>
          <w:sz w:val="32"/>
          <w:szCs w:val="32"/>
          <w:lang w:val="en-US" w:eastAsia="zh-CN"/>
        </w:rPr>
        <w:t>6</w:t>
      </w:r>
      <w:r>
        <w:rPr>
          <w:rFonts w:hint="eastAsia" w:ascii="仿宋_GB2312" w:eastAsia="仿宋_GB2312"/>
          <w:color w:val="000000"/>
          <w:sz w:val="32"/>
          <w:szCs w:val="32"/>
        </w:rPr>
        <w:t>辆</w:t>
      </w:r>
      <w:r>
        <w:rPr>
          <w:rFonts w:hint="eastAsia" w:ascii="仿宋_GB2312" w:eastAsia="仿宋_GB2312"/>
          <w:color w:val="000000"/>
          <w:sz w:val="32"/>
          <w:szCs w:val="32"/>
          <w:lang w:eastAsia="zh-CN"/>
        </w:rPr>
        <w:t>。</w:t>
      </w:r>
    </w:p>
    <w:p>
      <w:pPr>
        <w:spacing w:line="600" w:lineRule="exact"/>
        <w:ind w:firstLine="640"/>
        <w:rPr>
          <w:rFonts w:ascii="仿宋_GB2312" w:eastAsia="仿宋_GB2312"/>
          <w:color w:val="000000"/>
          <w:sz w:val="32"/>
          <w:szCs w:val="32"/>
        </w:rPr>
      </w:pPr>
      <w:r>
        <w:rPr>
          <w:rFonts w:hint="eastAsia" w:ascii="仿宋_GB2312" w:eastAsia="仿宋_GB2312"/>
          <w:b/>
          <w:color w:val="000000"/>
          <w:sz w:val="32"/>
          <w:szCs w:val="32"/>
        </w:rPr>
        <w:t>公务用车运行维护费支出</w:t>
      </w:r>
      <w:r>
        <w:rPr>
          <w:rFonts w:hint="eastAsia" w:ascii="仿宋" w:hAnsi="仿宋" w:eastAsia="仿宋"/>
          <w:color w:val="000000"/>
          <w:sz w:val="32"/>
          <w:szCs w:val="32"/>
          <w:lang w:val="en-US" w:eastAsia="zh-CN"/>
        </w:rPr>
        <w:t>51.05</w:t>
      </w:r>
      <w:r>
        <w:rPr>
          <w:rFonts w:hint="eastAsia" w:ascii="仿宋_GB2312" w:eastAsia="仿宋_GB2312"/>
          <w:color w:val="000000"/>
          <w:sz w:val="32"/>
          <w:szCs w:val="32"/>
        </w:rPr>
        <w:t>万元。主要用于</w:t>
      </w:r>
      <w:r>
        <w:rPr>
          <w:rFonts w:hint="eastAsia" w:ascii="仿宋_GB2312" w:eastAsia="仿宋_GB2312"/>
          <w:color w:val="000000"/>
          <w:sz w:val="32"/>
          <w:szCs w:val="32"/>
          <w:lang w:eastAsia="zh-CN"/>
        </w:rPr>
        <w:t>市</w:t>
      </w:r>
      <w:r>
        <w:rPr>
          <w:rFonts w:hint="eastAsia" w:ascii="仿宋" w:hAnsi="仿宋" w:eastAsia="仿宋" w:cs="仿宋"/>
          <w:bCs/>
          <w:color w:val="333333"/>
          <w:sz w:val="32"/>
          <w:szCs w:val="32"/>
        </w:rPr>
        <w:t>教育</w:t>
      </w:r>
      <w:r>
        <w:rPr>
          <w:rFonts w:hint="eastAsia" w:ascii="仿宋" w:hAnsi="仿宋" w:eastAsia="仿宋" w:cs="仿宋"/>
          <w:bCs/>
          <w:color w:val="333333"/>
          <w:sz w:val="32"/>
          <w:szCs w:val="32"/>
          <w:lang w:eastAsia="zh-CN"/>
        </w:rPr>
        <w:t>体育</w:t>
      </w:r>
      <w:r>
        <w:rPr>
          <w:rFonts w:hint="eastAsia" w:ascii="仿宋" w:hAnsi="仿宋" w:eastAsia="仿宋" w:cs="仿宋"/>
          <w:bCs/>
          <w:color w:val="333333"/>
          <w:sz w:val="32"/>
          <w:szCs w:val="32"/>
        </w:rPr>
        <w:t>局机关和直属学校</w:t>
      </w:r>
      <w:r>
        <w:rPr>
          <w:rFonts w:hint="eastAsia" w:ascii="仿宋_GB2312" w:eastAsia="仿宋_GB2312"/>
          <w:color w:val="000000"/>
          <w:sz w:val="32"/>
          <w:szCs w:val="32"/>
        </w:rPr>
        <w:t>等所需的公务用车燃料费、维修费、过路过桥费、保险费等支出。</w:t>
      </w:r>
    </w:p>
    <w:p>
      <w:pPr>
        <w:spacing w:line="600" w:lineRule="exact"/>
        <w:ind w:firstLine="640"/>
        <w:rPr>
          <w:rFonts w:ascii="仿宋" w:hAnsi="仿宋" w:eastAsia="仿宋" w:cs="仿宋"/>
          <w:bCs/>
          <w:color w:val="333333"/>
          <w:sz w:val="32"/>
          <w:szCs w:val="32"/>
        </w:rPr>
      </w:pPr>
      <w:r>
        <w:rPr>
          <w:rFonts w:ascii="仿宋_GB2312" w:eastAsia="仿宋_GB2312"/>
          <w:b/>
          <w:color w:val="000000"/>
          <w:sz w:val="32"/>
          <w:szCs w:val="32"/>
        </w:rPr>
        <w:t>3.</w:t>
      </w:r>
      <w:r>
        <w:rPr>
          <w:rFonts w:hint="eastAsia" w:ascii="仿宋_GB2312" w:eastAsia="仿宋_GB2312"/>
          <w:b/>
          <w:color w:val="000000"/>
          <w:sz w:val="32"/>
          <w:szCs w:val="32"/>
        </w:rPr>
        <w:t>公务接待费支出</w:t>
      </w:r>
      <w:r>
        <w:rPr>
          <w:rFonts w:hint="eastAsia" w:ascii="仿宋_GB2312" w:eastAsia="仿宋_GB2312"/>
          <w:color w:val="000000"/>
          <w:sz w:val="32"/>
          <w:szCs w:val="32"/>
          <w:lang w:val="en-US" w:eastAsia="zh-CN"/>
        </w:rPr>
        <w:t>7.92</w:t>
      </w:r>
      <w:r>
        <w:rPr>
          <w:rFonts w:hint="eastAsia" w:ascii="仿宋_GB2312" w:eastAsia="仿宋_GB2312"/>
          <w:color w:val="000000"/>
          <w:sz w:val="32"/>
          <w:szCs w:val="32"/>
        </w:rPr>
        <w:t>万元，</w:t>
      </w:r>
      <w:r>
        <w:rPr>
          <w:rStyle w:val="14"/>
          <w:rFonts w:hint="eastAsia" w:ascii="仿宋" w:hAnsi="仿宋" w:eastAsia="仿宋"/>
          <w:b w:val="0"/>
          <w:bCs/>
          <w:color w:val="000000"/>
          <w:sz w:val="32"/>
          <w:szCs w:val="32"/>
        </w:rPr>
        <w:t>完成预算</w:t>
      </w:r>
      <w:r>
        <w:rPr>
          <w:rStyle w:val="14"/>
          <w:rFonts w:hint="eastAsia" w:ascii="仿宋" w:hAnsi="仿宋" w:eastAsia="仿宋"/>
          <w:b w:val="0"/>
          <w:bCs/>
          <w:color w:val="000000"/>
          <w:sz w:val="32"/>
          <w:szCs w:val="32"/>
          <w:lang w:val="en-US" w:eastAsia="zh-CN"/>
        </w:rPr>
        <w:t>17.78</w:t>
      </w:r>
      <w:r>
        <w:rPr>
          <w:rStyle w:val="14"/>
          <w:rFonts w:ascii="仿宋" w:hAnsi="仿宋" w:eastAsia="仿宋"/>
          <w:b w:val="0"/>
          <w:bCs/>
          <w:color w:val="000000"/>
          <w:sz w:val="32"/>
          <w:szCs w:val="32"/>
        </w:rPr>
        <w:t>%</w:t>
      </w:r>
      <w:r>
        <w:rPr>
          <w:rStyle w:val="14"/>
          <w:rFonts w:hint="eastAsia" w:ascii="仿宋" w:hAnsi="仿宋" w:eastAsia="仿宋"/>
          <w:b w:val="0"/>
          <w:bCs/>
          <w:color w:val="000000"/>
          <w:sz w:val="32"/>
          <w:szCs w:val="32"/>
        </w:rPr>
        <w:t>。</w:t>
      </w:r>
      <w:r>
        <w:rPr>
          <w:rFonts w:hint="eastAsia" w:ascii="仿宋_GB2312" w:eastAsia="仿宋_GB2312"/>
          <w:color w:val="000000"/>
          <w:sz w:val="32"/>
          <w:szCs w:val="32"/>
        </w:rPr>
        <w:t>公务接待费支出决算比</w:t>
      </w:r>
      <w:r>
        <w:rPr>
          <w:rFonts w:ascii="仿宋_GB2312" w:eastAsia="仿宋_GB2312"/>
          <w:color w:val="000000"/>
          <w:sz w:val="32"/>
          <w:szCs w:val="32"/>
        </w:rPr>
        <w:t>201</w:t>
      </w:r>
      <w:r>
        <w:rPr>
          <w:rFonts w:hint="eastAsia" w:ascii="仿宋_GB2312" w:eastAsia="仿宋_GB2312"/>
          <w:color w:val="000000"/>
          <w:sz w:val="32"/>
          <w:szCs w:val="32"/>
        </w:rPr>
        <w:t>8年减少</w:t>
      </w:r>
      <w:r>
        <w:rPr>
          <w:rFonts w:hint="eastAsia" w:ascii="仿宋_GB2312" w:eastAsia="仿宋_GB2312"/>
          <w:color w:val="000000"/>
          <w:sz w:val="32"/>
          <w:szCs w:val="32"/>
          <w:lang w:val="en-US" w:eastAsia="zh-CN"/>
        </w:rPr>
        <w:t>1.9</w:t>
      </w:r>
      <w:r>
        <w:rPr>
          <w:rFonts w:hint="eastAsia" w:ascii="仿宋_GB2312" w:eastAsia="仿宋_GB2312"/>
          <w:color w:val="000000"/>
          <w:sz w:val="32"/>
          <w:szCs w:val="32"/>
        </w:rPr>
        <w:t>万元，下降</w:t>
      </w:r>
      <w:r>
        <w:rPr>
          <w:rFonts w:hint="eastAsia" w:ascii="仿宋_GB2312" w:eastAsia="仿宋_GB2312"/>
          <w:color w:val="000000"/>
          <w:sz w:val="32"/>
          <w:szCs w:val="32"/>
          <w:lang w:val="en-US" w:eastAsia="zh-CN"/>
        </w:rPr>
        <w:t>19.34</w:t>
      </w:r>
      <w:r>
        <w:rPr>
          <w:rFonts w:ascii="仿宋_GB2312" w:eastAsia="仿宋_GB2312"/>
          <w:color w:val="000000"/>
          <w:sz w:val="32"/>
          <w:szCs w:val="32"/>
        </w:rPr>
        <w:t>%</w:t>
      </w:r>
      <w:r>
        <w:rPr>
          <w:rFonts w:hint="eastAsia" w:ascii="仿宋_GB2312" w:eastAsia="仿宋_GB2312"/>
          <w:color w:val="000000"/>
          <w:sz w:val="32"/>
          <w:szCs w:val="32"/>
        </w:rPr>
        <w:t>。主要原因是</w:t>
      </w:r>
      <w:r>
        <w:rPr>
          <w:rFonts w:hint="eastAsia" w:ascii="仿宋" w:hAnsi="仿宋" w:eastAsia="仿宋" w:cs="仿宋"/>
          <w:bCs/>
          <w:color w:val="333333"/>
          <w:sz w:val="32"/>
          <w:szCs w:val="32"/>
        </w:rPr>
        <w:t>本年度教育系统继续严格落实中央八项规定和省市“十项规定”有关政策，厉行节约，严格控制了公务接待费的支出。</w:t>
      </w:r>
    </w:p>
    <w:p>
      <w:pPr>
        <w:spacing w:line="600" w:lineRule="exact"/>
        <w:ind w:firstLine="640"/>
        <w:rPr>
          <w:rFonts w:ascii="仿宋_GB2312" w:eastAsia="仿宋_GB2312"/>
          <w:color w:val="000000"/>
          <w:sz w:val="32"/>
          <w:szCs w:val="32"/>
        </w:rPr>
      </w:pPr>
      <w:r>
        <w:rPr>
          <w:rFonts w:hint="eastAsia" w:ascii="仿宋_GB2312" w:eastAsia="仿宋_GB2312"/>
          <w:color w:val="000000"/>
          <w:sz w:val="32"/>
          <w:szCs w:val="32"/>
        </w:rPr>
        <w:t>其中：</w:t>
      </w:r>
    </w:p>
    <w:p>
      <w:pPr>
        <w:spacing w:line="600" w:lineRule="exact"/>
        <w:ind w:firstLine="640"/>
        <w:rPr>
          <w:rFonts w:ascii="仿宋_GB2312" w:eastAsia="仿宋_GB2312"/>
          <w:color w:val="000000"/>
          <w:sz w:val="32"/>
          <w:szCs w:val="32"/>
        </w:rPr>
      </w:pPr>
      <w:r>
        <w:rPr>
          <w:rFonts w:hint="eastAsia" w:ascii="仿宋" w:hAnsi="仿宋" w:eastAsia="仿宋"/>
          <w:b/>
          <w:color w:val="000000"/>
          <w:sz w:val="32"/>
          <w:szCs w:val="32"/>
        </w:rPr>
        <w:t>国内公务接待支出</w:t>
      </w:r>
      <w:r>
        <w:rPr>
          <w:rFonts w:hint="eastAsia" w:ascii="仿宋" w:hAnsi="仿宋" w:eastAsia="仿宋"/>
          <w:color w:val="000000"/>
          <w:sz w:val="32"/>
          <w:szCs w:val="32"/>
          <w:lang w:val="en-US" w:eastAsia="zh-CN"/>
        </w:rPr>
        <w:t>7.92</w:t>
      </w:r>
      <w:r>
        <w:rPr>
          <w:rFonts w:hint="eastAsia" w:ascii="仿宋_GB2312" w:eastAsia="仿宋_GB2312"/>
          <w:color w:val="000000"/>
          <w:sz w:val="32"/>
          <w:szCs w:val="32"/>
        </w:rPr>
        <w:t>万元，主要用于</w:t>
      </w:r>
      <w:r>
        <w:rPr>
          <w:rFonts w:hint="eastAsia" w:ascii="仿宋" w:hAnsi="仿宋" w:eastAsia="仿宋" w:cs="仿宋"/>
          <w:bCs/>
          <w:color w:val="333333"/>
          <w:sz w:val="32"/>
          <w:szCs w:val="32"/>
        </w:rPr>
        <w:t>开展业务活动开支的交通费、住宿费、用餐费等</w:t>
      </w:r>
      <w:r>
        <w:rPr>
          <w:rFonts w:hint="eastAsia" w:ascii="仿宋_GB2312" w:eastAsia="仿宋_GB2312"/>
          <w:color w:val="000000"/>
          <w:sz w:val="32"/>
          <w:szCs w:val="32"/>
        </w:rPr>
        <w:t>。国内公务接待</w:t>
      </w:r>
      <w:r>
        <w:rPr>
          <w:rFonts w:hint="eastAsia" w:ascii="仿宋_GB2312" w:eastAsia="仿宋_GB2312"/>
          <w:color w:val="000000"/>
          <w:sz w:val="32"/>
          <w:szCs w:val="32"/>
          <w:lang w:val="en-US" w:eastAsia="zh-CN"/>
        </w:rPr>
        <w:t>237</w:t>
      </w:r>
      <w:r>
        <w:rPr>
          <w:rFonts w:hint="eastAsia" w:ascii="仿宋_GB2312" w:eastAsia="仿宋_GB2312"/>
          <w:color w:val="000000"/>
          <w:sz w:val="32"/>
          <w:szCs w:val="32"/>
        </w:rPr>
        <w:t>批次，</w:t>
      </w:r>
      <w:r>
        <w:rPr>
          <w:rFonts w:hint="eastAsia" w:ascii="仿宋_GB2312" w:eastAsia="仿宋_GB2312"/>
          <w:color w:val="000000"/>
          <w:sz w:val="32"/>
          <w:szCs w:val="32"/>
          <w:lang w:val="en-US" w:eastAsia="zh-CN"/>
        </w:rPr>
        <w:t>2624</w:t>
      </w:r>
      <w:r>
        <w:rPr>
          <w:rFonts w:hint="eastAsia" w:ascii="仿宋_GB2312" w:eastAsia="仿宋_GB2312"/>
          <w:color w:val="000000"/>
          <w:sz w:val="32"/>
          <w:szCs w:val="32"/>
        </w:rPr>
        <w:t>人次（不包括陪同人员），共计支出</w:t>
      </w:r>
      <w:r>
        <w:rPr>
          <w:rFonts w:hint="eastAsia" w:ascii="仿宋" w:hAnsi="仿宋" w:eastAsia="仿宋"/>
          <w:color w:val="000000"/>
          <w:sz w:val="32"/>
          <w:szCs w:val="32"/>
          <w:lang w:val="en-US" w:eastAsia="zh-CN"/>
        </w:rPr>
        <w:t>7.92</w:t>
      </w:r>
      <w:r>
        <w:rPr>
          <w:rFonts w:hint="eastAsia" w:ascii="仿宋_GB2312" w:eastAsia="仿宋_GB2312"/>
          <w:color w:val="000000"/>
          <w:sz w:val="32"/>
          <w:szCs w:val="32"/>
        </w:rPr>
        <w:t>万元，具体内容包括：</w:t>
      </w:r>
      <w:r>
        <w:rPr>
          <w:rFonts w:hint="eastAsia" w:ascii="仿宋_GB2312" w:eastAsia="仿宋_GB2312"/>
          <w:color w:val="000000"/>
          <w:sz w:val="32"/>
          <w:szCs w:val="32"/>
          <w:lang w:eastAsia="zh-CN"/>
        </w:rPr>
        <w:t>接待来遂参加教育事业统计会，共计</w:t>
      </w:r>
      <w:r>
        <w:rPr>
          <w:rFonts w:hint="eastAsia" w:ascii="仿宋_GB2312" w:eastAsia="仿宋_GB2312"/>
          <w:color w:val="000000"/>
          <w:sz w:val="32"/>
          <w:szCs w:val="32"/>
          <w:lang w:val="en-US" w:eastAsia="zh-CN"/>
        </w:rPr>
        <w:t>15人，支出1200元。</w:t>
      </w:r>
    </w:p>
    <w:p>
      <w:pPr>
        <w:spacing w:line="600" w:lineRule="exact"/>
        <w:ind w:firstLine="643" w:firstLineChars="200"/>
        <w:rPr>
          <w:rFonts w:ascii="仿宋_GB2312" w:eastAsia="仿宋_GB2312"/>
          <w:color w:val="000000" w:themeColor="text1"/>
          <w:sz w:val="32"/>
          <w:szCs w:val="32"/>
          <w14:textFill>
            <w14:solidFill>
              <w14:schemeClr w14:val="tx1"/>
            </w14:solidFill>
          </w14:textFill>
        </w:rPr>
      </w:pPr>
      <w:r>
        <w:rPr>
          <w:rFonts w:hint="eastAsia" w:ascii="仿宋" w:hAnsi="仿宋" w:eastAsia="仿宋"/>
          <w:b/>
          <w:color w:val="000000"/>
          <w:sz w:val="32"/>
          <w:szCs w:val="32"/>
        </w:rPr>
        <w:t>外事接待支出</w:t>
      </w:r>
      <w:r>
        <w:rPr>
          <w:rFonts w:hint="eastAsia" w:ascii="仿宋" w:hAnsi="仿宋" w:eastAsia="仿宋"/>
          <w:color w:val="000000"/>
          <w:sz w:val="32"/>
          <w:szCs w:val="32"/>
          <w:lang w:val="en-US" w:eastAsia="zh-CN"/>
        </w:rPr>
        <w:t>0</w:t>
      </w:r>
      <w:r>
        <w:rPr>
          <w:rFonts w:hint="eastAsia" w:ascii="仿宋_GB2312" w:eastAsia="仿宋_GB2312"/>
          <w:color w:val="000000"/>
          <w:sz w:val="32"/>
          <w:szCs w:val="32"/>
        </w:rPr>
        <w:t>万元</w:t>
      </w:r>
      <w:r>
        <w:rPr>
          <w:rFonts w:hint="eastAsia" w:ascii="仿宋_GB2312" w:eastAsia="仿宋_GB2312"/>
          <w:color w:val="000000" w:themeColor="text1"/>
          <w:sz w:val="32"/>
          <w:szCs w:val="32"/>
          <w14:textFill>
            <w14:solidFill>
              <w14:schemeClr w14:val="tx1"/>
            </w14:solidFill>
          </w14:textFill>
        </w:rPr>
        <w:t>，外事接待</w:t>
      </w:r>
      <w:r>
        <w:rPr>
          <w:rFonts w:hint="eastAsia" w:ascii="仿宋_GB2312" w:eastAsia="仿宋_GB2312"/>
          <w:color w:val="000000" w:themeColor="text1"/>
          <w:sz w:val="32"/>
          <w:szCs w:val="32"/>
          <w:lang w:val="en-US" w:eastAsia="zh-CN"/>
          <w14:textFill>
            <w14:solidFill>
              <w14:schemeClr w14:val="tx1"/>
            </w14:solidFill>
          </w14:textFill>
        </w:rPr>
        <w:t>0</w:t>
      </w:r>
      <w:r>
        <w:rPr>
          <w:rFonts w:hint="eastAsia" w:ascii="仿宋_GB2312" w:eastAsia="仿宋_GB2312"/>
          <w:color w:val="000000" w:themeColor="text1"/>
          <w:sz w:val="32"/>
          <w:szCs w:val="32"/>
          <w14:textFill>
            <w14:solidFill>
              <w14:schemeClr w14:val="tx1"/>
            </w14:solidFill>
          </w14:textFill>
        </w:rPr>
        <w:t>批次，</w:t>
      </w:r>
      <w:r>
        <w:rPr>
          <w:rFonts w:hint="eastAsia" w:ascii="仿宋_GB2312" w:eastAsia="仿宋_GB2312"/>
          <w:color w:val="000000" w:themeColor="text1"/>
          <w:sz w:val="32"/>
          <w:szCs w:val="32"/>
          <w:lang w:val="en-US" w:eastAsia="zh-CN"/>
          <w14:textFill>
            <w14:solidFill>
              <w14:schemeClr w14:val="tx1"/>
            </w14:solidFill>
          </w14:textFill>
        </w:rPr>
        <w:t>0</w:t>
      </w:r>
      <w:r>
        <w:rPr>
          <w:rFonts w:hint="eastAsia" w:ascii="仿宋_GB2312" w:eastAsia="仿宋_GB2312"/>
          <w:color w:val="000000" w:themeColor="text1"/>
          <w:sz w:val="32"/>
          <w:szCs w:val="32"/>
          <w14:textFill>
            <w14:solidFill>
              <w14:schemeClr w14:val="tx1"/>
            </w14:solidFill>
          </w14:textFill>
        </w:rPr>
        <w:t>人，共计支出</w:t>
      </w:r>
      <w:r>
        <w:rPr>
          <w:rFonts w:hint="eastAsia" w:ascii="仿宋_GB2312" w:eastAsia="仿宋_GB2312"/>
          <w:color w:val="000000" w:themeColor="text1"/>
          <w:sz w:val="32"/>
          <w:szCs w:val="32"/>
          <w:lang w:val="en-US" w:eastAsia="zh-CN"/>
          <w14:textFill>
            <w14:solidFill>
              <w14:schemeClr w14:val="tx1"/>
            </w14:solidFill>
          </w14:textFill>
        </w:rPr>
        <w:t>0</w:t>
      </w:r>
      <w:r>
        <w:rPr>
          <w:rFonts w:hint="eastAsia" w:ascii="仿宋_GB2312" w:eastAsia="仿宋_GB2312"/>
          <w:color w:val="000000" w:themeColor="text1"/>
          <w:sz w:val="32"/>
          <w:szCs w:val="32"/>
          <w14:textFill>
            <w14:solidFill>
              <w14:schemeClr w14:val="tx1"/>
            </w14:solidFill>
          </w14:textFill>
        </w:rPr>
        <w:t>万元</w:t>
      </w:r>
      <w:r>
        <w:rPr>
          <w:rFonts w:hint="eastAsia" w:ascii="仿宋_GB2312" w:eastAsia="仿宋_GB2312"/>
          <w:color w:val="000000" w:themeColor="text1"/>
          <w:sz w:val="32"/>
          <w:szCs w:val="32"/>
          <w:lang w:eastAsia="zh-CN"/>
          <w14:textFill>
            <w14:solidFill>
              <w14:schemeClr w14:val="tx1"/>
            </w14:solidFill>
          </w14:textFill>
        </w:rPr>
        <w:t>。</w:t>
      </w:r>
    </w:p>
    <w:p>
      <w:pPr>
        <w:spacing w:line="600" w:lineRule="exact"/>
        <w:ind w:firstLine="640" w:firstLineChars="200"/>
        <w:outlineLvl w:val="1"/>
        <w:rPr>
          <w:rStyle w:val="25"/>
          <w:rFonts w:ascii="黑体" w:hAnsi="黑体" w:eastAsia="黑体"/>
        </w:rPr>
      </w:pPr>
      <w:bookmarkStart w:id="42" w:name="_Toc15396610"/>
      <w:bookmarkStart w:id="43" w:name="_Toc15377218"/>
      <w:r>
        <w:rPr>
          <w:rFonts w:hint="eastAsia" w:ascii="黑体" w:eastAsia="黑体"/>
          <w:color w:val="000000"/>
          <w:sz w:val="32"/>
          <w:szCs w:val="32"/>
        </w:rPr>
        <w:t>八、</w:t>
      </w:r>
      <w:r>
        <w:rPr>
          <w:rStyle w:val="25"/>
          <w:rFonts w:hint="eastAsia" w:ascii="黑体" w:hAnsi="黑体" w:eastAsia="黑体"/>
          <w:b w:val="0"/>
        </w:rPr>
        <w:t>政府性基金预算支出决算情况说明</w:t>
      </w:r>
      <w:bookmarkEnd w:id="42"/>
      <w:bookmarkEnd w:id="43"/>
    </w:p>
    <w:p>
      <w:pPr>
        <w:spacing w:line="600" w:lineRule="exact"/>
        <w:ind w:firstLine="640"/>
        <w:rPr>
          <w:rFonts w:ascii="仿宋_GB2312" w:eastAsia="仿宋_GB2312"/>
          <w:color w:val="000000"/>
          <w:sz w:val="32"/>
          <w:szCs w:val="32"/>
        </w:rPr>
      </w:pPr>
      <w:r>
        <w:rPr>
          <w:rFonts w:ascii="仿宋_GB2312" w:eastAsia="仿宋_GB2312"/>
          <w:color w:val="000000"/>
          <w:sz w:val="32"/>
          <w:szCs w:val="32"/>
        </w:rPr>
        <w:t>201</w:t>
      </w:r>
      <w:r>
        <w:rPr>
          <w:rFonts w:hint="eastAsia" w:ascii="仿宋_GB2312" w:eastAsia="仿宋_GB2312"/>
          <w:color w:val="000000"/>
          <w:sz w:val="32"/>
          <w:szCs w:val="32"/>
        </w:rPr>
        <w:t>9年政府性基金预算拨款支出</w:t>
      </w:r>
      <w:r>
        <w:rPr>
          <w:rFonts w:hint="eastAsia" w:ascii="仿宋_GB2312" w:eastAsia="仿宋_GB2312"/>
          <w:color w:val="000000"/>
          <w:sz w:val="32"/>
          <w:szCs w:val="32"/>
          <w:lang w:val="en-US" w:eastAsia="zh-CN"/>
        </w:rPr>
        <w:t>1282.26</w:t>
      </w:r>
      <w:r>
        <w:rPr>
          <w:rFonts w:hint="eastAsia" w:ascii="仿宋_GB2312" w:eastAsia="仿宋_GB2312"/>
          <w:color w:val="000000"/>
          <w:sz w:val="32"/>
          <w:szCs w:val="32"/>
        </w:rPr>
        <w:t>万元。</w:t>
      </w:r>
    </w:p>
    <w:p>
      <w:pPr>
        <w:spacing w:line="600" w:lineRule="exact"/>
        <w:ind w:firstLine="640"/>
        <w:rPr>
          <w:rFonts w:ascii="仿宋_GB2312" w:eastAsia="仿宋_GB2312"/>
          <w:color w:val="000000"/>
          <w:sz w:val="32"/>
          <w:szCs w:val="32"/>
        </w:rPr>
      </w:pPr>
    </w:p>
    <w:p>
      <w:pPr>
        <w:numPr>
          <w:ilvl w:val="0"/>
          <w:numId w:val="3"/>
        </w:numPr>
        <w:spacing w:line="600" w:lineRule="exact"/>
        <w:ind w:firstLine="640"/>
        <w:outlineLvl w:val="1"/>
        <w:rPr>
          <w:rStyle w:val="25"/>
          <w:rFonts w:ascii="黑体" w:hAnsi="黑体" w:eastAsia="黑体"/>
          <w:b w:val="0"/>
        </w:rPr>
      </w:pPr>
      <w:bookmarkStart w:id="44" w:name="_Toc15377219"/>
      <w:bookmarkStart w:id="45" w:name="_Toc15396611"/>
      <w:r>
        <w:rPr>
          <w:rStyle w:val="25"/>
          <w:rFonts w:hint="eastAsia" w:ascii="黑体" w:hAnsi="黑体" w:eastAsia="黑体"/>
          <w:b w:val="0"/>
        </w:rPr>
        <w:t>国有资本经营预算支出决算情况说明</w:t>
      </w:r>
      <w:bookmarkEnd w:id="44"/>
      <w:bookmarkEnd w:id="45"/>
    </w:p>
    <w:p>
      <w:pPr>
        <w:spacing w:line="600" w:lineRule="exact"/>
        <w:ind w:firstLine="640"/>
        <w:rPr>
          <w:rFonts w:ascii="仿宋_GB2312" w:eastAsia="仿宋_GB2312"/>
          <w:color w:val="000000"/>
          <w:sz w:val="32"/>
          <w:szCs w:val="32"/>
        </w:rPr>
      </w:pPr>
      <w:r>
        <w:rPr>
          <w:rFonts w:ascii="仿宋_GB2312" w:eastAsia="仿宋_GB2312"/>
          <w:color w:val="000000"/>
          <w:sz w:val="32"/>
          <w:szCs w:val="32"/>
        </w:rPr>
        <w:t>201</w:t>
      </w:r>
      <w:r>
        <w:rPr>
          <w:rFonts w:hint="eastAsia" w:ascii="仿宋_GB2312" w:eastAsia="仿宋_GB2312"/>
          <w:color w:val="000000"/>
          <w:sz w:val="32"/>
          <w:szCs w:val="32"/>
        </w:rPr>
        <w:t>9年国有资本经营预算拨款支出</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w:t>
      </w:r>
    </w:p>
    <w:p>
      <w:pPr>
        <w:spacing w:line="600" w:lineRule="exact"/>
        <w:ind w:firstLine="640" w:firstLineChars="200"/>
        <w:outlineLvl w:val="1"/>
        <w:rPr>
          <w:rStyle w:val="25"/>
          <w:rFonts w:ascii="黑体" w:hAnsi="黑体" w:eastAsia="黑体"/>
        </w:rPr>
      </w:pPr>
      <w:bookmarkStart w:id="46" w:name="_Toc15377221"/>
      <w:bookmarkStart w:id="47" w:name="_Toc15396612"/>
      <w:r>
        <w:rPr>
          <w:rFonts w:hint="eastAsia" w:ascii="黑体" w:hAnsi="黑体" w:eastAsia="黑体"/>
          <w:color w:val="000000"/>
          <w:sz w:val="32"/>
          <w:szCs w:val="32"/>
        </w:rPr>
        <w:t>十</w:t>
      </w:r>
      <w:r>
        <w:rPr>
          <w:rStyle w:val="25"/>
          <w:rFonts w:hint="eastAsia" w:ascii="黑体" w:hAnsi="黑体" w:eastAsia="黑体"/>
        </w:rPr>
        <w:t>、</w:t>
      </w:r>
      <w:r>
        <w:rPr>
          <w:rStyle w:val="25"/>
          <w:rFonts w:hint="eastAsia" w:ascii="黑体" w:hAnsi="黑体" w:eastAsia="黑体"/>
          <w:b w:val="0"/>
        </w:rPr>
        <w:t>其他重要事项的情况说明</w:t>
      </w:r>
      <w:bookmarkEnd w:id="46"/>
      <w:bookmarkEnd w:id="47"/>
    </w:p>
    <w:p>
      <w:pPr>
        <w:spacing w:line="600" w:lineRule="exact"/>
        <w:ind w:firstLine="643" w:firstLineChars="200"/>
        <w:outlineLvl w:val="2"/>
        <w:rPr>
          <w:rFonts w:ascii="仿宋" w:hAnsi="仿宋" w:eastAsia="仿宋"/>
          <w:color w:val="000000"/>
          <w:sz w:val="32"/>
          <w:szCs w:val="32"/>
        </w:rPr>
      </w:pPr>
      <w:bookmarkStart w:id="48" w:name="_Toc15377222"/>
      <w:r>
        <w:rPr>
          <w:rFonts w:hint="eastAsia" w:ascii="仿宋" w:hAnsi="仿宋" w:eastAsia="仿宋"/>
          <w:b/>
          <w:color w:val="000000"/>
          <w:sz w:val="32"/>
          <w:szCs w:val="32"/>
        </w:rPr>
        <w:t>（一）机关运行经费支出情况</w:t>
      </w:r>
      <w:bookmarkEnd w:id="48"/>
    </w:p>
    <w:p>
      <w:pPr>
        <w:spacing w:line="600" w:lineRule="exact"/>
        <w:ind w:firstLine="640" w:firstLineChars="200"/>
        <w:rPr>
          <w:rFonts w:ascii="仿宋_GB2312" w:eastAsia="仿宋_GB2312"/>
          <w:color w:val="auto"/>
          <w:sz w:val="32"/>
          <w:szCs w:val="32"/>
        </w:rPr>
      </w:pPr>
      <w:r>
        <w:rPr>
          <w:rFonts w:ascii="仿宋_GB2312" w:eastAsia="仿宋_GB2312"/>
          <w:color w:val="auto"/>
          <w:sz w:val="32"/>
          <w:szCs w:val="32"/>
        </w:rPr>
        <w:t>201</w:t>
      </w:r>
      <w:r>
        <w:rPr>
          <w:rFonts w:hint="eastAsia" w:ascii="仿宋_GB2312" w:eastAsia="仿宋_GB2312"/>
          <w:color w:val="auto"/>
          <w:sz w:val="32"/>
          <w:szCs w:val="32"/>
        </w:rPr>
        <w:t>9年</w:t>
      </w:r>
      <w:r>
        <w:rPr>
          <w:rFonts w:hint="eastAsia" w:ascii="仿宋_GB2312" w:eastAsia="仿宋_GB2312"/>
          <w:color w:val="auto"/>
          <w:sz w:val="32"/>
          <w:szCs w:val="32"/>
          <w:lang w:eastAsia="zh-CN"/>
        </w:rPr>
        <w:t>，遂宁市教育和体育局</w:t>
      </w:r>
      <w:r>
        <w:rPr>
          <w:rFonts w:hint="eastAsia" w:ascii="仿宋_GB2312" w:eastAsia="仿宋_GB2312"/>
          <w:color w:val="auto"/>
          <w:sz w:val="32"/>
          <w:szCs w:val="32"/>
        </w:rPr>
        <w:t>机关运行经费支出</w:t>
      </w:r>
      <w:r>
        <w:rPr>
          <w:rFonts w:hint="eastAsia" w:ascii="仿宋_GB2312" w:eastAsia="仿宋_GB2312"/>
          <w:color w:val="auto"/>
          <w:sz w:val="32"/>
          <w:szCs w:val="32"/>
          <w:lang w:val="en-US" w:eastAsia="zh-CN"/>
        </w:rPr>
        <w:t>152.17</w:t>
      </w:r>
      <w:r>
        <w:rPr>
          <w:rFonts w:hint="eastAsia" w:ascii="仿宋_GB2312" w:eastAsia="仿宋_GB2312"/>
          <w:color w:val="auto"/>
          <w:sz w:val="32"/>
          <w:szCs w:val="32"/>
        </w:rPr>
        <w:t>万元，比</w:t>
      </w:r>
      <w:r>
        <w:rPr>
          <w:rFonts w:ascii="仿宋_GB2312" w:eastAsia="仿宋_GB2312"/>
          <w:color w:val="auto"/>
          <w:sz w:val="32"/>
          <w:szCs w:val="32"/>
        </w:rPr>
        <w:t>201</w:t>
      </w:r>
      <w:r>
        <w:rPr>
          <w:rFonts w:hint="eastAsia" w:ascii="仿宋_GB2312" w:eastAsia="仿宋_GB2312"/>
          <w:color w:val="auto"/>
          <w:sz w:val="32"/>
          <w:szCs w:val="32"/>
        </w:rPr>
        <w:t>8年减少</w:t>
      </w:r>
      <w:r>
        <w:rPr>
          <w:rFonts w:hint="eastAsia" w:ascii="仿宋_GB2312" w:eastAsia="仿宋_GB2312"/>
          <w:color w:val="auto"/>
          <w:sz w:val="32"/>
          <w:szCs w:val="32"/>
          <w:lang w:val="en-US" w:eastAsia="zh-CN"/>
        </w:rPr>
        <w:t>127.05</w:t>
      </w:r>
      <w:r>
        <w:rPr>
          <w:rFonts w:hint="eastAsia" w:ascii="仿宋_GB2312" w:eastAsia="仿宋_GB2312"/>
          <w:color w:val="auto"/>
          <w:sz w:val="32"/>
          <w:szCs w:val="32"/>
        </w:rPr>
        <w:t>万元，下降</w:t>
      </w:r>
      <w:r>
        <w:rPr>
          <w:rFonts w:hint="eastAsia" w:ascii="仿宋_GB2312" w:eastAsia="仿宋_GB2312"/>
          <w:color w:val="auto"/>
          <w:sz w:val="32"/>
          <w:szCs w:val="32"/>
          <w:lang w:val="en-US" w:eastAsia="zh-CN"/>
        </w:rPr>
        <w:t>45.5</w:t>
      </w:r>
      <w:r>
        <w:rPr>
          <w:rFonts w:ascii="仿宋_GB2312" w:eastAsia="仿宋_GB2312"/>
          <w:color w:val="auto"/>
          <w:sz w:val="32"/>
          <w:szCs w:val="32"/>
        </w:rPr>
        <w:t>%</w:t>
      </w:r>
      <w:r>
        <w:rPr>
          <w:rFonts w:hint="eastAsia" w:ascii="仿宋_GB2312" w:eastAsia="仿宋_GB2312"/>
          <w:color w:val="auto"/>
          <w:sz w:val="32"/>
          <w:szCs w:val="32"/>
        </w:rPr>
        <w:t>。主要原因是</w:t>
      </w:r>
      <w:r>
        <w:rPr>
          <w:rFonts w:hint="eastAsia" w:ascii="仿宋_GB2312" w:eastAsia="仿宋_GB2312" w:cs="仿宋_GB2312"/>
          <w:color w:val="auto"/>
          <w:sz w:val="32"/>
          <w:szCs w:val="32"/>
        </w:rPr>
        <w:t>严格执行厉行节约的有关规定。</w:t>
      </w:r>
    </w:p>
    <w:p>
      <w:pPr>
        <w:autoSpaceDE w:val="0"/>
        <w:autoSpaceDN w:val="0"/>
        <w:adjustRightInd w:val="0"/>
        <w:spacing w:line="600" w:lineRule="exact"/>
        <w:ind w:firstLine="643" w:firstLineChars="200"/>
        <w:jc w:val="left"/>
        <w:outlineLvl w:val="2"/>
        <w:rPr>
          <w:rFonts w:ascii="仿宋" w:hAnsi="仿宋" w:eastAsia="仿宋"/>
          <w:b/>
          <w:color w:val="000000"/>
          <w:sz w:val="32"/>
          <w:szCs w:val="32"/>
        </w:rPr>
      </w:pPr>
      <w:bookmarkStart w:id="49" w:name="_Toc15377223"/>
      <w:r>
        <w:rPr>
          <w:rFonts w:hint="eastAsia" w:ascii="仿宋" w:hAnsi="仿宋" w:eastAsia="仿宋"/>
          <w:b/>
          <w:color w:val="000000"/>
          <w:sz w:val="32"/>
          <w:szCs w:val="32"/>
        </w:rPr>
        <w:t>（二）政府采购支出情况</w:t>
      </w:r>
      <w:bookmarkEnd w:id="49"/>
    </w:p>
    <w:p>
      <w:pPr>
        <w:spacing w:line="600" w:lineRule="exact"/>
        <w:ind w:firstLine="640" w:firstLineChars="200"/>
        <w:rPr>
          <w:rFonts w:ascii="仿宋_GB2312" w:eastAsia="仿宋_GB2312"/>
          <w:color w:val="000000"/>
          <w:sz w:val="32"/>
          <w:szCs w:val="32"/>
        </w:rPr>
      </w:pPr>
      <w:r>
        <w:rPr>
          <w:rFonts w:ascii="仿宋_GB2312" w:eastAsia="仿宋_GB2312"/>
          <w:color w:val="000000"/>
          <w:sz w:val="32"/>
          <w:szCs w:val="32"/>
        </w:rPr>
        <w:t>201</w:t>
      </w:r>
      <w:r>
        <w:rPr>
          <w:rFonts w:hint="eastAsia" w:ascii="仿宋_GB2312" w:eastAsia="仿宋_GB2312"/>
          <w:color w:val="000000"/>
          <w:sz w:val="32"/>
          <w:szCs w:val="32"/>
        </w:rPr>
        <w:t>9年，</w:t>
      </w:r>
      <w:r>
        <w:rPr>
          <w:rFonts w:hint="eastAsia" w:ascii="仿宋_GB2312" w:eastAsia="仿宋_GB2312"/>
          <w:color w:val="000000"/>
          <w:sz w:val="32"/>
          <w:szCs w:val="32"/>
          <w:lang w:eastAsia="zh-CN"/>
        </w:rPr>
        <w:t>遂宁市教育和体育局</w:t>
      </w:r>
      <w:r>
        <w:rPr>
          <w:rFonts w:hint="eastAsia" w:ascii="仿宋_GB2312" w:eastAsia="仿宋_GB2312"/>
          <w:color w:val="000000"/>
          <w:sz w:val="32"/>
          <w:szCs w:val="32"/>
        </w:rPr>
        <w:t>政府采购支出总额</w:t>
      </w:r>
      <w:r>
        <w:rPr>
          <w:rFonts w:hint="eastAsia" w:ascii="仿宋_GB2312" w:eastAsia="仿宋_GB2312"/>
          <w:color w:val="000000"/>
          <w:sz w:val="32"/>
          <w:szCs w:val="32"/>
          <w:lang w:val="en-US" w:eastAsia="zh-CN"/>
        </w:rPr>
        <w:t>4271.05</w:t>
      </w:r>
      <w:r>
        <w:rPr>
          <w:rFonts w:hint="eastAsia" w:ascii="仿宋_GB2312" w:eastAsia="仿宋_GB2312"/>
          <w:color w:val="000000"/>
          <w:sz w:val="32"/>
          <w:szCs w:val="32"/>
        </w:rPr>
        <w:t>万元，其中：政府采购货物支出</w:t>
      </w:r>
      <w:r>
        <w:rPr>
          <w:rFonts w:hint="eastAsia" w:ascii="仿宋_GB2312" w:eastAsia="仿宋_GB2312"/>
          <w:color w:val="000000"/>
          <w:sz w:val="32"/>
          <w:szCs w:val="32"/>
          <w:lang w:val="en-US" w:eastAsia="zh-CN"/>
        </w:rPr>
        <w:t>2098.95</w:t>
      </w:r>
      <w:r>
        <w:rPr>
          <w:rFonts w:hint="eastAsia" w:ascii="仿宋_GB2312" w:eastAsia="仿宋_GB2312"/>
          <w:color w:val="000000"/>
          <w:sz w:val="32"/>
          <w:szCs w:val="32"/>
        </w:rPr>
        <w:t>万元、政府采购工程支出</w:t>
      </w:r>
      <w:r>
        <w:rPr>
          <w:rFonts w:hint="eastAsia" w:ascii="仿宋_GB2312" w:eastAsia="仿宋_GB2312"/>
          <w:color w:val="000000"/>
          <w:sz w:val="32"/>
          <w:szCs w:val="32"/>
          <w:lang w:val="en-US" w:eastAsia="zh-CN"/>
        </w:rPr>
        <w:t>1300.51</w:t>
      </w:r>
      <w:r>
        <w:rPr>
          <w:rFonts w:hint="eastAsia" w:ascii="仿宋_GB2312" w:eastAsia="仿宋_GB2312"/>
          <w:color w:val="000000"/>
          <w:sz w:val="32"/>
          <w:szCs w:val="32"/>
        </w:rPr>
        <w:t>万元、政府采购服务</w:t>
      </w:r>
      <w:r>
        <w:rPr>
          <w:rFonts w:hint="eastAsia" w:ascii="仿宋_GB2312" w:eastAsia="仿宋_GB2312"/>
          <w:color w:val="000000"/>
          <w:sz w:val="32"/>
          <w:szCs w:val="32"/>
          <w:lang w:eastAsia="zh-CN"/>
        </w:rPr>
        <w:t>支出</w:t>
      </w:r>
      <w:r>
        <w:rPr>
          <w:rFonts w:hint="eastAsia" w:ascii="仿宋_GB2312" w:eastAsia="仿宋_GB2312"/>
          <w:color w:val="000000"/>
          <w:sz w:val="32"/>
          <w:szCs w:val="32"/>
          <w:lang w:val="en-US" w:eastAsia="zh-CN"/>
        </w:rPr>
        <w:t>871.59</w:t>
      </w:r>
      <w:r>
        <w:rPr>
          <w:rFonts w:hint="eastAsia" w:ascii="仿宋_GB2312" w:eastAsia="仿宋_GB2312"/>
          <w:color w:val="000000"/>
          <w:sz w:val="32"/>
          <w:szCs w:val="32"/>
          <w:lang w:eastAsia="zh-CN"/>
        </w:rPr>
        <w:t>万元。主要用于农民体育健身工程、体育活动服务采购、龙舟赛和马拉松赛等。授予中小企业合同金额</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lang w:eastAsia="zh-CN"/>
        </w:rPr>
        <w:t>万元，占政府采</w:t>
      </w:r>
      <w:r>
        <w:rPr>
          <w:rFonts w:hint="eastAsia" w:ascii="仿宋_GB2312" w:eastAsia="仿宋_GB2312"/>
          <w:color w:val="000000"/>
          <w:sz w:val="32"/>
          <w:szCs w:val="32"/>
        </w:rPr>
        <w:t>购支出总额的</w:t>
      </w:r>
      <w:r>
        <w:rPr>
          <w:rFonts w:hint="eastAsia" w:ascii="仿宋_GB2312" w:eastAsia="仿宋_GB2312"/>
          <w:color w:val="000000"/>
          <w:sz w:val="32"/>
          <w:szCs w:val="32"/>
          <w:lang w:val="en-US" w:eastAsia="zh-CN"/>
        </w:rPr>
        <w:t>0</w:t>
      </w:r>
      <w:r>
        <w:rPr>
          <w:rFonts w:ascii="仿宋_GB2312" w:eastAsia="仿宋_GB2312"/>
          <w:color w:val="000000"/>
          <w:sz w:val="32"/>
          <w:szCs w:val="32"/>
        </w:rPr>
        <w:t>%</w:t>
      </w:r>
      <w:r>
        <w:rPr>
          <w:rFonts w:hint="eastAsia" w:ascii="仿宋_GB2312" w:eastAsia="仿宋_GB2312"/>
          <w:color w:val="000000"/>
          <w:sz w:val="32"/>
          <w:szCs w:val="32"/>
        </w:rPr>
        <w:t>，其中：授予小微企业合同金额</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万元，占政府采购支出总额的</w:t>
      </w:r>
      <w:r>
        <w:rPr>
          <w:rFonts w:hint="eastAsia" w:ascii="仿宋_GB2312" w:eastAsia="仿宋_GB2312"/>
          <w:color w:val="000000"/>
          <w:sz w:val="32"/>
          <w:szCs w:val="32"/>
          <w:lang w:val="en-US" w:eastAsia="zh-CN"/>
        </w:rPr>
        <w:t>0</w:t>
      </w:r>
      <w:r>
        <w:rPr>
          <w:rFonts w:ascii="仿宋_GB2312" w:eastAsia="仿宋_GB2312"/>
          <w:color w:val="000000"/>
          <w:sz w:val="32"/>
          <w:szCs w:val="32"/>
        </w:rPr>
        <w:t>%</w:t>
      </w:r>
      <w:r>
        <w:rPr>
          <w:rFonts w:hint="eastAsia" w:ascii="仿宋_GB2312" w:eastAsia="仿宋_GB2312"/>
          <w:color w:val="000000"/>
          <w:sz w:val="32"/>
          <w:szCs w:val="32"/>
        </w:rPr>
        <w:t>。</w:t>
      </w:r>
    </w:p>
    <w:p>
      <w:pPr>
        <w:autoSpaceDE w:val="0"/>
        <w:autoSpaceDN w:val="0"/>
        <w:adjustRightInd w:val="0"/>
        <w:spacing w:line="600" w:lineRule="exact"/>
        <w:ind w:firstLine="643" w:firstLineChars="200"/>
        <w:jc w:val="left"/>
        <w:outlineLvl w:val="2"/>
        <w:rPr>
          <w:rFonts w:ascii="仿宋" w:hAnsi="仿宋" w:eastAsia="仿宋"/>
          <w:b/>
          <w:color w:val="000000"/>
          <w:sz w:val="32"/>
          <w:szCs w:val="32"/>
        </w:rPr>
      </w:pPr>
      <w:bookmarkStart w:id="50" w:name="_Toc15377224"/>
      <w:r>
        <w:rPr>
          <w:rFonts w:hint="eastAsia" w:ascii="仿宋" w:hAnsi="仿宋" w:eastAsia="仿宋"/>
          <w:b/>
          <w:color w:val="000000"/>
          <w:sz w:val="32"/>
          <w:szCs w:val="32"/>
        </w:rPr>
        <w:t>（三）国有资产占有使用情况</w:t>
      </w:r>
      <w:bookmarkEnd w:id="50"/>
    </w:p>
    <w:p>
      <w:pPr>
        <w:autoSpaceDE w:val="0"/>
        <w:autoSpaceDN w:val="0"/>
        <w:adjustRightInd w:val="0"/>
        <w:spacing w:line="600" w:lineRule="exact"/>
        <w:ind w:firstLine="640" w:firstLineChars="200"/>
        <w:jc w:val="left"/>
        <w:rPr>
          <w:rFonts w:ascii="仿宋" w:hAnsi="仿宋" w:eastAsia="仿宋"/>
          <w:b/>
          <w:color w:val="FF0000"/>
          <w:sz w:val="32"/>
          <w:szCs w:val="32"/>
        </w:rPr>
      </w:pPr>
      <w:r>
        <w:rPr>
          <w:rFonts w:hint="eastAsia" w:ascii="仿宋_GB2312" w:eastAsia="仿宋_GB2312"/>
          <w:color w:val="000000"/>
          <w:sz w:val="32"/>
          <w:szCs w:val="32"/>
        </w:rPr>
        <w:t>截至</w:t>
      </w:r>
      <w:r>
        <w:rPr>
          <w:rFonts w:ascii="仿宋_GB2312" w:eastAsia="仿宋_GB2312"/>
          <w:color w:val="000000"/>
          <w:sz w:val="32"/>
          <w:szCs w:val="32"/>
        </w:rPr>
        <w:t>201</w:t>
      </w:r>
      <w:r>
        <w:rPr>
          <w:rFonts w:hint="eastAsia" w:ascii="仿宋_GB2312" w:eastAsia="仿宋_GB2312"/>
          <w:color w:val="000000"/>
          <w:sz w:val="32"/>
          <w:szCs w:val="32"/>
        </w:rPr>
        <w:t>9年</w:t>
      </w:r>
      <w:r>
        <w:rPr>
          <w:rFonts w:ascii="仿宋_GB2312" w:eastAsia="仿宋_GB2312"/>
          <w:color w:val="000000"/>
          <w:sz w:val="32"/>
          <w:szCs w:val="32"/>
        </w:rPr>
        <w:t>12</w:t>
      </w:r>
      <w:r>
        <w:rPr>
          <w:rFonts w:hint="eastAsia" w:ascii="仿宋_GB2312" w:eastAsia="仿宋_GB2312"/>
          <w:color w:val="000000"/>
          <w:sz w:val="32"/>
          <w:szCs w:val="32"/>
        </w:rPr>
        <w:t>月</w:t>
      </w:r>
      <w:r>
        <w:rPr>
          <w:rFonts w:ascii="仿宋_GB2312" w:eastAsia="仿宋_GB2312"/>
          <w:color w:val="000000"/>
          <w:sz w:val="32"/>
          <w:szCs w:val="32"/>
        </w:rPr>
        <w:t>31</w:t>
      </w:r>
      <w:r>
        <w:rPr>
          <w:rFonts w:hint="eastAsia" w:ascii="仿宋_GB2312" w:eastAsia="仿宋_GB2312"/>
          <w:color w:val="000000"/>
          <w:sz w:val="32"/>
          <w:szCs w:val="32"/>
        </w:rPr>
        <w:t>日，</w:t>
      </w:r>
      <w:r>
        <w:rPr>
          <w:rFonts w:hint="eastAsia" w:ascii="仿宋_GB2312" w:eastAsia="仿宋_GB2312"/>
          <w:color w:val="000000"/>
          <w:sz w:val="32"/>
          <w:szCs w:val="32"/>
          <w:lang w:eastAsia="zh-CN"/>
        </w:rPr>
        <w:t>遂宁市教育和体育局</w:t>
      </w:r>
      <w:r>
        <w:rPr>
          <w:rFonts w:hint="eastAsia" w:ascii="仿宋_GB2312" w:eastAsia="仿宋_GB2312"/>
          <w:color w:val="000000"/>
          <w:sz w:val="32"/>
          <w:szCs w:val="32"/>
        </w:rPr>
        <w:t>共有车辆</w:t>
      </w:r>
      <w:r>
        <w:rPr>
          <w:rFonts w:hint="eastAsia" w:ascii="仿宋_GB2312" w:eastAsia="仿宋_GB2312"/>
          <w:color w:val="000000"/>
          <w:sz w:val="32"/>
          <w:szCs w:val="32"/>
          <w:lang w:val="en-US" w:eastAsia="zh-CN"/>
        </w:rPr>
        <w:t>18</w:t>
      </w:r>
      <w:r>
        <w:rPr>
          <w:rFonts w:hint="eastAsia" w:ascii="仿宋_GB2312" w:eastAsia="仿宋_GB2312"/>
          <w:color w:val="000000"/>
          <w:sz w:val="32"/>
          <w:szCs w:val="32"/>
        </w:rPr>
        <w:t>辆，其中：主要领导干部用车</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辆、机要通信用车</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辆、应急保障用车</w:t>
      </w:r>
      <w:r>
        <w:rPr>
          <w:rFonts w:hint="eastAsia" w:ascii="仿宋_GB2312" w:eastAsia="仿宋_GB2312"/>
          <w:color w:val="000000"/>
          <w:sz w:val="32"/>
          <w:szCs w:val="32"/>
          <w:lang w:val="en-US" w:eastAsia="zh-CN"/>
        </w:rPr>
        <w:t>12</w:t>
      </w:r>
      <w:r>
        <w:rPr>
          <w:rFonts w:hint="eastAsia" w:ascii="仿宋_GB2312" w:eastAsia="仿宋_GB2312"/>
          <w:color w:val="000000"/>
          <w:sz w:val="32"/>
          <w:szCs w:val="32"/>
        </w:rPr>
        <w:t>辆、其他用车</w:t>
      </w:r>
      <w:r>
        <w:rPr>
          <w:rFonts w:hint="eastAsia" w:ascii="仿宋_GB2312" w:eastAsia="仿宋_GB2312"/>
          <w:color w:val="000000"/>
          <w:sz w:val="32"/>
          <w:szCs w:val="32"/>
          <w:lang w:val="en-US" w:eastAsia="zh-CN"/>
        </w:rPr>
        <w:t>6</w:t>
      </w:r>
      <w:r>
        <w:rPr>
          <w:rFonts w:hint="eastAsia" w:ascii="仿宋_GB2312" w:eastAsia="仿宋_GB2312"/>
          <w:color w:val="000000"/>
          <w:sz w:val="32"/>
          <w:szCs w:val="32"/>
        </w:rPr>
        <w:t>辆</w:t>
      </w:r>
      <w:r>
        <w:rPr>
          <w:rFonts w:hint="eastAsia" w:ascii="仿宋_GB2312" w:eastAsia="仿宋_GB2312"/>
          <w:color w:val="000000"/>
          <w:sz w:val="32"/>
          <w:szCs w:val="32"/>
          <w:lang w:eastAsia="zh-CN"/>
        </w:rPr>
        <w:t>，</w:t>
      </w:r>
      <w:r>
        <w:rPr>
          <w:rFonts w:hint="eastAsia" w:ascii="仿宋_GB2312" w:eastAsia="仿宋_GB2312"/>
          <w:color w:val="auto"/>
          <w:sz w:val="32"/>
          <w:szCs w:val="32"/>
        </w:rPr>
        <w:t>其他用车主要是用于</w:t>
      </w:r>
      <w:r>
        <w:rPr>
          <w:rFonts w:hint="eastAsia" w:ascii="仿宋_GB2312" w:eastAsia="仿宋_GB2312"/>
          <w:color w:val="auto"/>
          <w:sz w:val="32"/>
          <w:szCs w:val="32"/>
          <w:lang w:eastAsia="zh-CN"/>
        </w:rPr>
        <w:t>学校组织学生开展各项活动。</w:t>
      </w:r>
      <w:r>
        <w:rPr>
          <w:rFonts w:hint="eastAsia" w:ascii="仿宋_GB2312" w:eastAsia="仿宋_GB2312"/>
          <w:color w:val="000000" w:themeColor="text1"/>
          <w:sz w:val="32"/>
          <w:szCs w:val="32"/>
          <w14:textFill>
            <w14:solidFill>
              <w14:schemeClr w14:val="tx1"/>
            </w14:solidFill>
          </w14:textFill>
        </w:rPr>
        <w:t>单价</w:t>
      </w:r>
      <w:r>
        <w:rPr>
          <w:rFonts w:ascii="仿宋_GB2312" w:eastAsia="仿宋_GB2312"/>
          <w:color w:val="000000" w:themeColor="text1"/>
          <w:sz w:val="32"/>
          <w:szCs w:val="32"/>
          <w14:textFill>
            <w14:solidFill>
              <w14:schemeClr w14:val="tx1"/>
            </w14:solidFill>
          </w14:textFill>
        </w:rPr>
        <w:t>50</w:t>
      </w:r>
      <w:r>
        <w:rPr>
          <w:rFonts w:hint="eastAsia" w:ascii="仿宋_GB2312" w:eastAsia="仿宋_GB2312"/>
          <w:color w:val="000000" w:themeColor="text1"/>
          <w:sz w:val="32"/>
          <w:szCs w:val="32"/>
          <w14:textFill>
            <w14:solidFill>
              <w14:schemeClr w14:val="tx1"/>
            </w14:solidFill>
          </w14:textFill>
        </w:rPr>
        <w:t>万元以上通用设备</w:t>
      </w:r>
      <w:r>
        <w:rPr>
          <w:rFonts w:hint="eastAsia" w:ascii="仿宋_GB2312" w:eastAsia="仿宋_GB2312"/>
          <w:color w:val="000000" w:themeColor="text1"/>
          <w:sz w:val="32"/>
          <w:szCs w:val="32"/>
          <w:lang w:val="en-US" w:eastAsia="zh-CN"/>
          <w14:textFill>
            <w14:solidFill>
              <w14:schemeClr w14:val="tx1"/>
            </w14:solidFill>
          </w14:textFill>
        </w:rPr>
        <w:t>,0</w:t>
      </w:r>
      <w:r>
        <w:rPr>
          <w:rFonts w:hint="eastAsia" w:ascii="仿宋_GB2312" w:eastAsia="仿宋_GB2312"/>
          <w:color w:val="000000" w:themeColor="text1"/>
          <w:sz w:val="32"/>
          <w:szCs w:val="32"/>
          <w14:textFill>
            <w14:solidFill>
              <w14:schemeClr w14:val="tx1"/>
            </w14:solidFill>
          </w14:textFill>
        </w:rPr>
        <w:t>台（套），单价</w:t>
      </w:r>
      <w:r>
        <w:rPr>
          <w:rFonts w:ascii="仿宋_GB2312" w:eastAsia="仿宋_GB2312"/>
          <w:color w:val="000000" w:themeColor="text1"/>
          <w:sz w:val="32"/>
          <w:szCs w:val="32"/>
          <w14:textFill>
            <w14:solidFill>
              <w14:schemeClr w14:val="tx1"/>
            </w14:solidFill>
          </w14:textFill>
        </w:rPr>
        <w:t>100</w:t>
      </w:r>
      <w:r>
        <w:rPr>
          <w:rFonts w:hint="eastAsia" w:ascii="仿宋_GB2312" w:eastAsia="仿宋_GB2312"/>
          <w:color w:val="000000"/>
          <w:sz w:val="32"/>
          <w:szCs w:val="32"/>
        </w:rPr>
        <w:t>万元以上专用设备</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台（套）。</w:t>
      </w:r>
    </w:p>
    <w:p>
      <w:pPr>
        <w:autoSpaceDE w:val="0"/>
        <w:autoSpaceDN w:val="0"/>
        <w:adjustRightInd w:val="0"/>
        <w:spacing w:line="600" w:lineRule="exact"/>
        <w:ind w:firstLine="643" w:firstLineChars="200"/>
        <w:jc w:val="left"/>
        <w:outlineLvl w:val="2"/>
        <w:rPr>
          <w:rFonts w:ascii="仿宋" w:hAnsi="仿宋" w:eastAsia="仿宋"/>
          <w:b/>
          <w:color w:val="000000"/>
          <w:sz w:val="32"/>
          <w:szCs w:val="32"/>
        </w:rPr>
      </w:pPr>
      <w:r>
        <w:rPr>
          <w:rFonts w:hint="eastAsia" w:ascii="仿宋" w:hAnsi="仿宋" w:eastAsia="仿宋"/>
          <w:b/>
          <w:color w:val="000000"/>
          <w:sz w:val="32"/>
          <w:szCs w:val="32"/>
        </w:rPr>
        <w:t>（四）预算绩效管理情况。</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根据预算绩效管理要求，本部门（单位）在年初预算编制阶段，组织对教育质量提升奖补资金、地方教育附加安排教育专项资金（同样的项目的</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个单位）项目开展了预算事前绩效评估，对</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个项目编制了绩效目标，预算执行过程中，选取1个项目开展绩效监控，年终执行完毕后，对1个项目开展了绩效目标完成情况梳理填报。</w:t>
      </w:r>
    </w:p>
    <w:p>
      <w:pPr>
        <w:spacing w:line="580" w:lineRule="exact"/>
        <w:ind w:firstLine="640" w:firstLineChars="200"/>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本部门按要求对2019年部门整体支出开展绩效自评，从评价情况来看</w:t>
      </w:r>
      <w:r>
        <w:rPr>
          <w:rFonts w:hint="eastAsia" w:ascii="仿宋_GB2312" w:hAnsi="仿宋_GB2312" w:eastAsia="仿宋_GB2312" w:cs="仿宋_GB2312"/>
          <w:color w:val="auto"/>
          <w:sz w:val="32"/>
          <w:szCs w:val="32"/>
          <w:lang w:eastAsia="zh-CN"/>
        </w:rPr>
        <w:t>资金都达到拨付率百分之百，使用情况较好，均提高了校内设施软硬件</w:t>
      </w:r>
      <w:r>
        <w:rPr>
          <w:rFonts w:hint="eastAsia" w:ascii="仿宋_GB2312" w:hAnsi="仿宋_GB2312" w:eastAsia="仿宋_GB2312" w:cs="仿宋_GB2312"/>
          <w:color w:val="auto"/>
          <w:sz w:val="32"/>
          <w:szCs w:val="32"/>
        </w:rPr>
        <w:t>。本部门还自行组织了</w:t>
      </w: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rPr>
        <w:t>个项目支出绩效评价，从评价情况来看</w:t>
      </w:r>
      <w:r>
        <w:rPr>
          <w:rFonts w:hint="eastAsia" w:ascii="仿宋_GB2312" w:hAnsi="仿宋_GB2312" w:eastAsia="仿宋_GB2312" w:cs="仿宋_GB2312"/>
          <w:color w:val="auto"/>
          <w:sz w:val="32"/>
          <w:szCs w:val="32"/>
          <w:lang w:eastAsia="zh-CN"/>
        </w:rPr>
        <w:t>均按时完成资金拨付进度，对学校建设起到了关键力量。</w:t>
      </w:r>
    </w:p>
    <w:p>
      <w:pPr>
        <w:numPr>
          <w:ilvl w:val="0"/>
          <w:numId w:val="4"/>
        </w:numPr>
        <w:spacing w:line="580" w:lineRule="exact"/>
        <w:ind w:firstLine="640" w:firstLineChars="200"/>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项目绩效目标完成情况。</w:t>
      </w:r>
      <w:r>
        <w:rPr>
          <w:rFonts w:hint="eastAsia" w:ascii="楷体_GB2312" w:hAnsi="楷体_GB2312" w:eastAsia="楷体_GB2312" w:cs="楷体_GB2312"/>
          <w:sz w:val="32"/>
          <w:szCs w:val="32"/>
        </w:rPr>
        <w:br w:type="textWrapping"/>
      </w:r>
      <w:r>
        <w:rPr>
          <w:rFonts w:hint="eastAsia" w:ascii="仿宋_GB2312" w:hAnsi="仿宋_GB2312" w:eastAsia="仿宋_GB2312" w:cs="仿宋_GB2312"/>
          <w:sz w:val="32"/>
          <w:szCs w:val="32"/>
        </w:rPr>
        <w:t>本部门在2019年度部门决算中反映“教育质量提升奖补资金</w:t>
      </w:r>
      <w:r>
        <w:rPr>
          <w:rFonts w:ascii="仿宋_GB2312" w:hAnsi="仿宋_GB2312" w:eastAsia="仿宋_GB2312" w:cs="仿宋_GB2312"/>
          <w:sz w:val="32"/>
          <w:szCs w:val="32"/>
        </w:rPr>
        <w:t>”</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地方教育附加安排教育专项资金</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等</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个项目绩效目标实际完成情况。</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（1）教育质量提升奖补资金项目。项目全年预算数1208.11万元，执行数为1208.11万元，完成预算的100</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。通过项目实施规范了市直公办学校教育质量提升考核工作，激发学校管理活力，提高教职工工作积极性，推动学校办学水平加快提升。发现的主要问题：由于201</w:t>
      </w: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t>年教育质量提升奖补资金是分批次得到的，学校教职工全体人员（包括退休）总数庞大，分批次的经费不能满足学校职工一次性发放。下一步改进措施：学校占用了其他公用经费为其发放。对此市委、市政府也对于我校特殊情况予以特殊处理。</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（2）地方教育附加安排教育专项资金。项目全年预算数</w:t>
      </w:r>
      <w:r>
        <w:rPr>
          <w:rFonts w:hint="eastAsia" w:ascii="仿宋_GB2312" w:hAnsi="仿宋_GB2312" w:eastAsia="仿宋_GB2312" w:cs="仿宋_GB2312"/>
          <w:sz w:val="32"/>
          <w:szCs w:val="32"/>
          <w:lang w:val="en-US" w:eastAsia="zh-CN"/>
        </w:rPr>
        <w:t>100</w:t>
      </w:r>
      <w:r>
        <w:rPr>
          <w:rFonts w:hint="eastAsia" w:ascii="仿宋_GB2312" w:hAnsi="仿宋_GB2312" w:eastAsia="仿宋_GB2312" w:cs="仿宋_GB2312"/>
          <w:sz w:val="32"/>
          <w:szCs w:val="32"/>
        </w:rPr>
        <w:t>万元，执行数为1</w:t>
      </w:r>
      <w:r>
        <w:rPr>
          <w:rFonts w:hint="eastAsia" w:ascii="仿宋_GB2312" w:hAnsi="仿宋_GB2312" w:eastAsia="仿宋_GB2312" w:cs="仿宋_GB2312"/>
          <w:sz w:val="32"/>
          <w:szCs w:val="32"/>
          <w:lang w:val="en-US" w:eastAsia="zh-CN"/>
        </w:rPr>
        <w:t>00</w:t>
      </w:r>
      <w:r>
        <w:rPr>
          <w:rFonts w:hint="eastAsia" w:ascii="仿宋_GB2312" w:hAnsi="仿宋_GB2312" w:eastAsia="仿宋_GB2312" w:cs="仿宋_GB2312"/>
          <w:sz w:val="32"/>
          <w:szCs w:val="32"/>
        </w:rPr>
        <w:t>万元，完成预算的</w:t>
      </w:r>
      <w:r>
        <w:rPr>
          <w:rFonts w:hint="eastAsia" w:ascii="仿宋_GB2312" w:hAnsi="仿宋_GB2312" w:eastAsia="仿宋_GB2312" w:cs="仿宋_GB2312"/>
          <w:sz w:val="32"/>
          <w:szCs w:val="32"/>
          <w:lang w:val="en-US" w:eastAsia="zh-CN"/>
        </w:rPr>
        <w:t>100</w:t>
      </w:r>
      <w:r>
        <w:rPr>
          <w:rFonts w:hint="eastAsia" w:ascii="仿宋_GB2312" w:hAnsi="仿宋_GB2312" w:eastAsia="仿宋_GB2312" w:cs="仿宋_GB2312"/>
          <w:sz w:val="32"/>
          <w:szCs w:val="32"/>
        </w:rPr>
        <w:t>%。通过项目实施</w:t>
      </w:r>
      <w:r>
        <w:rPr>
          <w:rFonts w:hint="eastAsia" w:ascii="仿宋_GB2312" w:hAnsi="仿宋_GB2312" w:eastAsia="仿宋_GB2312" w:cs="仿宋_GB2312"/>
          <w:sz w:val="32"/>
          <w:szCs w:val="32"/>
          <w:lang w:eastAsia="zh-CN"/>
        </w:rPr>
        <w:t>主要</w:t>
      </w:r>
      <w:r>
        <w:rPr>
          <w:rFonts w:hint="eastAsia" w:ascii="仿宋_GB2312" w:hAnsi="仿宋_GB2312" w:eastAsia="仿宋_GB2312" w:cs="仿宋_GB2312"/>
          <w:sz w:val="32"/>
          <w:szCs w:val="32"/>
        </w:rPr>
        <w:t>用于高中电子白板安装，道路维修及学生寝室改造等，进一步提高了学校发展经费保障水平，学校师生对该项目满意度较高。发现的主要问题：由于学校是所百年老校，设施设备普遍陈旧，新校区正在扩建中，所用资金较大，财政资金少，学校自筹自用资金少，需得到上级部门大力支持。下一步改进措施：学校将全面排查校园软硬件教学设施设备，随时向上级部门汇报学校资产使用情况，进一步查漏补缺，确保师生更好的教学环境</w:t>
      </w:r>
    </w:p>
    <w:p>
      <w:pPr>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2.部门绩效评价结果。</w:t>
      </w:r>
    </w:p>
    <w:p>
      <w:pPr>
        <w:spacing w:line="58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本部门按要求对2019年部门整体支出绩效评价情况开展自评，《</w:t>
      </w:r>
      <w:r>
        <w:rPr>
          <w:rFonts w:hint="eastAsia" w:ascii="仿宋_GB2312" w:hAnsi="仿宋_GB2312" w:eastAsia="仿宋_GB2312" w:cs="仿宋_GB2312"/>
          <w:color w:val="auto"/>
          <w:sz w:val="32"/>
          <w:szCs w:val="32"/>
          <w:lang w:eastAsia="zh-CN"/>
        </w:rPr>
        <w:t>遂宁市教育和体育局</w:t>
      </w:r>
      <w:r>
        <w:rPr>
          <w:rFonts w:hint="eastAsia" w:ascii="仿宋_GB2312" w:hAnsi="仿宋_GB2312" w:eastAsia="仿宋_GB2312" w:cs="仿宋_GB2312"/>
          <w:color w:val="auto"/>
          <w:sz w:val="32"/>
          <w:szCs w:val="32"/>
        </w:rPr>
        <w:t>部门2019年部门整体支出绩效评价报告》见附件（附件1）。</w:t>
      </w:r>
    </w:p>
    <w:p>
      <w:pPr>
        <w:spacing w:line="58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本部门自行组织对教育质量提升奖补资金项</w:t>
      </w:r>
      <w:r>
        <w:rPr>
          <w:rFonts w:hint="eastAsia" w:ascii="仿宋_GB2312" w:hAnsi="仿宋_GB2312" w:eastAsia="仿宋_GB2312" w:cs="仿宋_GB2312"/>
          <w:color w:val="auto"/>
          <w:sz w:val="32"/>
          <w:szCs w:val="32"/>
          <w:lang w:eastAsia="zh-CN"/>
        </w:rPr>
        <w:t>目、</w:t>
      </w:r>
      <w:r>
        <w:rPr>
          <w:rFonts w:hint="eastAsia" w:ascii="仿宋_GB2312" w:hAnsi="仿宋_GB2312" w:eastAsia="仿宋_GB2312" w:cs="仿宋_GB2312"/>
          <w:color w:val="auto"/>
          <w:sz w:val="32"/>
          <w:szCs w:val="32"/>
        </w:rPr>
        <w:t>地方教育附加安排教育专项资金开展了绩效评价，</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教育质量提升奖补资金项</w:t>
      </w:r>
      <w:r>
        <w:rPr>
          <w:rFonts w:hint="eastAsia" w:ascii="仿宋_GB2312" w:hAnsi="仿宋_GB2312" w:eastAsia="仿宋_GB2312" w:cs="仿宋_GB2312"/>
          <w:color w:val="auto"/>
          <w:sz w:val="32"/>
          <w:szCs w:val="32"/>
          <w:lang w:eastAsia="zh-CN"/>
        </w:rPr>
        <w:t>目</w:t>
      </w:r>
      <w:r>
        <w:rPr>
          <w:rFonts w:hint="eastAsia" w:ascii="仿宋_GB2312" w:hAnsi="仿宋_GB2312" w:eastAsia="仿宋_GB2312" w:cs="仿宋_GB2312"/>
          <w:color w:val="auto"/>
          <w:sz w:val="32"/>
          <w:szCs w:val="32"/>
        </w:rPr>
        <w:t>2019年绩效评价报告》</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地方教育附加安排教育专项资金项</w:t>
      </w:r>
      <w:r>
        <w:rPr>
          <w:rFonts w:hint="eastAsia" w:ascii="仿宋_GB2312" w:hAnsi="仿宋_GB2312" w:eastAsia="仿宋_GB2312" w:cs="仿宋_GB2312"/>
          <w:color w:val="auto"/>
          <w:sz w:val="32"/>
          <w:szCs w:val="32"/>
          <w:lang w:eastAsia="zh-CN"/>
        </w:rPr>
        <w:t>目</w:t>
      </w:r>
      <w:r>
        <w:rPr>
          <w:rFonts w:hint="eastAsia" w:ascii="仿宋_GB2312" w:hAnsi="仿宋_GB2312" w:eastAsia="仿宋_GB2312" w:cs="仿宋_GB2312"/>
          <w:color w:val="auto"/>
          <w:sz w:val="32"/>
          <w:szCs w:val="32"/>
        </w:rPr>
        <w:t>2019年绩效评价报告》见附件（附件2）。</w:t>
      </w:r>
    </w:p>
    <w:p>
      <w:pPr>
        <w:spacing w:line="580" w:lineRule="exact"/>
        <w:ind w:firstLine="640" w:firstLineChars="200"/>
        <w:rPr>
          <w:rFonts w:ascii="仿宋_GB2312" w:hAnsi="仿宋_GB2312" w:eastAsia="仿宋_GB2312" w:cs="仿宋_GB2312"/>
          <w:color w:val="auto"/>
          <w:sz w:val="32"/>
          <w:szCs w:val="32"/>
        </w:rPr>
      </w:pPr>
    </w:p>
    <w:p>
      <w:pPr>
        <w:spacing w:line="580" w:lineRule="exact"/>
        <w:ind w:firstLine="640" w:firstLineChars="200"/>
        <w:rPr>
          <w:rFonts w:ascii="仿宋_GB2312" w:hAnsi="仿宋_GB2312" w:eastAsia="仿宋_GB2312" w:cs="仿宋_GB2312"/>
          <w:color w:val="auto"/>
          <w:sz w:val="32"/>
          <w:szCs w:val="32"/>
        </w:rPr>
      </w:pPr>
    </w:p>
    <w:p>
      <w:pPr>
        <w:spacing w:line="580" w:lineRule="exact"/>
        <w:rPr>
          <w:rFonts w:ascii="仿宋_GB2312" w:hAnsi="仿宋_GB2312" w:eastAsia="仿宋_GB2312" w:cs="仿宋_GB2312"/>
          <w:sz w:val="32"/>
          <w:szCs w:val="32"/>
        </w:rPr>
      </w:pPr>
    </w:p>
    <w:tbl>
      <w:tblPr>
        <w:tblStyle w:val="12"/>
        <w:tblpPr w:leftFromText="180" w:rightFromText="180" w:vertAnchor="text" w:horzAnchor="page" w:tblpXSpec="center" w:tblpY="423"/>
        <w:tblOverlap w:val="never"/>
        <w:tblW w:w="9960" w:type="dxa"/>
        <w:jc w:val="center"/>
        <w:tblLayout w:type="fixed"/>
        <w:tblCellMar>
          <w:top w:w="0" w:type="dxa"/>
          <w:left w:w="0" w:type="dxa"/>
          <w:bottom w:w="0" w:type="dxa"/>
          <w:right w:w="0" w:type="dxa"/>
        </w:tblCellMar>
      </w:tblPr>
      <w:tblGrid>
        <w:gridCol w:w="390"/>
        <w:gridCol w:w="1367"/>
        <w:gridCol w:w="1025"/>
        <w:gridCol w:w="2392"/>
        <w:gridCol w:w="2394"/>
        <w:gridCol w:w="2392"/>
      </w:tblGrid>
      <w:tr>
        <w:tblPrEx>
          <w:tblCellMar>
            <w:top w:w="0" w:type="dxa"/>
            <w:left w:w="0" w:type="dxa"/>
            <w:bottom w:w="0" w:type="dxa"/>
            <w:right w:w="0" w:type="dxa"/>
          </w:tblCellMar>
        </w:tblPrEx>
        <w:trPr>
          <w:trHeight w:val="1034" w:hRule="atLeast"/>
          <w:jc w:val="center"/>
        </w:trPr>
        <w:tc>
          <w:tcPr>
            <w:tcW w:w="9960" w:type="dxa"/>
            <w:gridSpan w:val="6"/>
            <w:tcBorders>
              <w:top w:val="nil"/>
              <w:left w:val="nil"/>
              <w:bottom w:val="nil"/>
              <w:right w:val="nil"/>
            </w:tcBorders>
            <w:tcMar>
              <w:top w:w="15" w:type="dxa"/>
              <w:left w:w="15" w:type="dxa"/>
              <w:right w:w="15" w:type="dxa"/>
            </w:tcMar>
            <w:vAlign w:val="center"/>
          </w:tcPr>
          <w:p>
            <w:pPr>
              <w:widowControl/>
              <w:jc w:val="center"/>
              <w:textAlignment w:val="center"/>
              <w:rPr>
                <w:rFonts w:ascii="宋体" w:hAnsi="宋体" w:cs="宋体"/>
                <w:color w:val="000000"/>
                <w:sz w:val="36"/>
                <w:szCs w:val="36"/>
              </w:rPr>
            </w:pPr>
            <w:r>
              <w:rPr>
                <w:rFonts w:hint="eastAsia" w:ascii="宋体" w:hAnsi="宋体" w:cs="宋体"/>
                <w:b/>
                <w:bCs/>
                <w:color w:val="000000"/>
                <w:kern w:val="0"/>
                <w:sz w:val="36"/>
                <w:szCs w:val="36"/>
              </w:rPr>
              <w:t>项目绩效目标完成情况表</w:t>
            </w:r>
            <w:r>
              <w:rPr>
                <w:rFonts w:hint="eastAsia" w:ascii="宋体" w:hAnsi="宋体" w:cs="宋体"/>
                <w:b/>
                <w:bCs/>
                <w:color w:val="000000"/>
                <w:kern w:val="0"/>
                <w:sz w:val="36"/>
                <w:szCs w:val="36"/>
              </w:rPr>
              <w:br w:type="textWrapping"/>
            </w:r>
            <w:r>
              <w:rPr>
                <w:rFonts w:hint="eastAsia" w:ascii="宋体" w:hAnsi="宋体" w:cs="宋体"/>
                <w:color w:val="000000"/>
                <w:kern w:val="0"/>
                <w:sz w:val="36"/>
                <w:szCs w:val="36"/>
              </w:rPr>
              <w:t>(2019年度)</w:t>
            </w:r>
          </w:p>
        </w:tc>
      </w:tr>
      <w:tr>
        <w:tblPrEx>
          <w:tblCellMar>
            <w:top w:w="0" w:type="dxa"/>
            <w:left w:w="0" w:type="dxa"/>
            <w:bottom w:w="0" w:type="dxa"/>
            <w:right w:w="0" w:type="dxa"/>
          </w:tblCellMar>
        </w:tblPrEx>
        <w:trPr>
          <w:trHeight w:val="276" w:hRule="atLeast"/>
          <w:jc w:val="center"/>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项目名称</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rPr>
              <w:t>教育质量提升奖补资金</w:t>
            </w:r>
          </w:p>
        </w:tc>
      </w:tr>
      <w:tr>
        <w:tblPrEx>
          <w:tblCellMar>
            <w:top w:w="0" w:type="dxa"/>
            <w:left w:w="0" w:type="dxa"/>
            <w:bottom w:w="0" w:type="dxa"/>
            <w:right w:w="0" w:type="dxa"/>
          </w:tblCellMar>
        </w:tblPrEx>
        <w:trPr>
          <w:trHeight w:val="276" w:hRule="atLeast"/>
          <w:jc w:val="center"/>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预算单位</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cs="宋体"/>
                <w:color w:val="000000"/>
                <w:sz w:val="24"/>
              </w:rPr>
              <w:t>遂宁中</w:t>
            </w:r>
            <w:r>
              <w:rPr>
                <w:rFonts w:hint="eastAsia" w:ascii="宋体" w:cs="宋体"/>
                <w:color w:val="000000"/>
                <w:sz w:val="24"/>
                <w:lang w:eastAsia="zh-CN"/>
              </w:rPr>
              <w:t>学</w:t>
            </w:r>
          </w:p>
        </w:tc>
      </w:tr>
      <w:tr>
        <w:tblPrEx>
          <w:tblCellMar>
            <w:top w:w="0" w:type="dxa"/>
            <w:left w:w="0" w:type="dxa"/>
            <w:bottom w:w="0" w:type="dxa"/>
            <w:right w:w="0" w:type="dxa"/>
          </w:tblCellMar>
        </w:tblPrEx>
        <w:trPr>
          <w:trHeight w:val="276" w:hRule="atLeast"/>
          <w:jc w:val="center"/>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预算执行情况(万元)</w:t>
            </w: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预算数: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ascii="宋体" w:hAnsi="宋体" w:eastAsia="宋体" w:cs="宋体"/>
                <w:sz w:val="24"/>
                <w:szCs w:val="24"/>
              </w:rPr>
              <w:t>1208.11</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执行数: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ascii="宋体" w:hAnsi="宋体" w:eastAsia="宋体" w:cs="宋体"/>
                <w:sz w:val="24"/>
                <w:szCs w:val="24"/>
              </w:rPr>
              <w:t>1208.11</w:t>
            </w:r>
          </w:p>
        </w:tc>
      </w:tr>
      <w:tr>
        <w:tblPrEx>
          <w:tblCellMar>
            <w:top w:w="0" w:type="dxa"/>
            <w:left w:w="0" w:type="dxa"/>
            <w:bottom w:w="0" w:type="dxa"/>
            <w:right w:w="0" w:type="dxa"/>
          </w:tblCellMar>
        </w:tblPrEx>
        <w:trPr>
          <w:trHeight w:val="276"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4"/>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其中-财政拨款:</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ascii="宋体" w:hAnsi="宋体" w:eastAsia="宋体" w:cs="宋体"/>
                <w:sz w:val="24"/>
                <w:szCs w:val="24"/>
              </w:rPr>
              <w:t>1208.11</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其中-财政拨款:</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ascii="宋体" w:hAnsi="宋体" w:eastAsia="宋体" w:cs="宋体"/>
                <w:sz w:val="24"/>
                <w:szCs w:val="24"/>
              </w:rPr>
              <w:t>1208.11</w:t>
            </w:r>
          </w:p>
        </w:tc>
      </w:tr>
      <w:tr>
        <w:tblPrEx>
          <w:tblCellMar>
            <w:top w:w="0" w:type="dxa"/>
            <w:left w:w="0" w:type="dxa"/>
            <w:bottom w:w="0" w:type="dxa"/>
            <w:right w:w="0" w:type="dxa"/>
          </w:tblCellMar>
        </w:tblPrEx>
        <w:trPr>
          <w:trHeight w:val="1511"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4"/>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其它资金:</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000000"/>
                <w:sz w:val="24"/>
                <w:lang w:val="en-US" w:eastAsia="zh-CN"/>
              </w:rPr>
            </w:pPr>
            <w:r>
              <w:rPr>
                <w:rFonts w:hint="eastAsia" w:ascii="宋体" w:hAnsi="宋体" w:cs="宋体"/>
                <w:color w:val="000000"/>
                <w:sz w:val="24"/>
                <w:lang w:val="en-US" w:eastAsia="zh-CN"/>
              </w:rPr>
              <w:t>0</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其它资金:</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color w:val="000000"/>
                <w:sz w:val="24"/>
                <w:lang w:val="en-US" w:eastAsia="zh-CN"/>
              </w:rPr>
            </w:pPr>
            <w:r>
              <w:rPr>
                <w:rFonts w:hint="eastAsia" w:ascii="宋体" w:hAnsi="宋体" w:cs="宋体"/>
                <w:color w:val="000000"/>
                <w:sz w:val="24"/>
                <w:lang w:val="en-US" w:eastAsia="zh-CN"/>
              </w:rPr>
              <w:t>0</w:t>
            </w:r>
          </w:p>
        </w:tc>
      </w:tr>
      <w:tr>
        <w:tblPrEx>
          <w:tblCellMar>
            <w:top w:w="0" w:type="dxa"/>
            <w:left w:w="0" w:type="dxa"/>
            <w:bottom w:w="0" w:type="dxa"/>
            <w:right w:w="0" w:type="dxa"/>
          </w:tblCellMar>
        </w:tblPrEx>
        <w:trPr>
          <w:trHeight w:val="276" w:hRule="atLeast"/>
          <w:jc w:val="center"/>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年度目标完成情况</w:t>
            </w:r>
          </w:p>
        </w:tc>
        <w:tc>
          <w:tcPr>
            <w:tcW w:w="4784"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预期目标</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实际完成目标</w:t>
            </w:r>
          </w:p>
        </w:tc>
      </w:tr>
      <w:tr>
        <w:tblPrEx>
          <w:tblCellMar>
            <w:top w:w="0" w:type="dxa"/>
            <w:left w:w="0" w:type="dxa"/>
            <w:bottom w:w="0" w:type="dxa"/>
            <w:right w:w="0" w:type="dxa"/>
          </w:tblCellMar>
        </w:tblPrEx>
        <w:trPr>
          <w:trHeight w:val="1159"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4"/>
              </w:rPr>
            </w:pPr>
          </w:p>
        </w:tc>
        <w:tc>
          <w:tcPr>
            <w:tcW w:w="4784"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rPr>
            </w:pPr>
            <w:r>
              <w:rPr>
                <w:rFonts w:hint="eastAsia"/>
              </w:rPr>
              <w:t>提高在职教师待遇及退休教师生活补助，稳定教师队伍，让教师专心工作，从而提升教育教学质量，促进教育事业稳步发展。</w:t>
            </w:r>
          </w:p>
          <w:p>
            <w:pPr>
              <w:widowControl/>
              <w:jc w:val="center"/>
              <w:textAlignment w:val="center"/>
              <w:rPr>
                <w:rFonts w:ascii="宋体" w:hAnsi="宋体" w:cs="宋体"/>
                <w:color w:val="000000"/>
                <w:sz w:val="24"/>
              </w:rPr>
            </w:pP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r>
              <w:rPr>
                <w:rFonts w:hint="eastAsia"/>
              </w:rPr>
              <w:t>该项目由学校统一管理，按分配方案</w:t>
            </w:r>
            <w:r>
              <w:rPr>
                <w:rFonts w:hint="eastAsia"/>
                <w:lang w:eastAsia="zh-CN"/>
              </w:rPr>
              <w:t>已经完全</w:t>
            </w:r>
            <w:r>
              <w:rPr>
                <w:rFonts w:hint="eastAsia"/>
              </w:rPr>
              <w:t>实施</w:t>
            </w:r>
            <w:r>
              <w:rPr>
                <w:rFonts w:hint="eastAsia"/>
                <w:lang w:eastAsia="zh-CN"/>
              </w:rPr>
              <w:t>，现已经拨付了</w:t>
            </w:r>
            <w:r>
              <w:rPr>
                <w:rFonts w:ascii="宋体" w:hAnsi="宋体" w:eastAsia="宋体" w:cs="宋体"/>
                <w:sz w:val="24"/>
                <w:szCs w:val="24"/>
              </w:rPr>
              <w:t>1208.11</w:t>
            </w:r>
            <w:r>
              <w:rPr>
                <w:rFonts w:hint="eastAsia"/>
                <w:lang w:val="en-US" w:eastAsia="zh-CN"/>
              </w:rPr>
              <w:t>资金用于提升学校教育质量</w:t>
            </w:r>
            <w:r>
              <w:rPr>
                <w:rFonts w:hint="eastAsia"/>
              </w:rPr>
              <w:t>。</w:t>
            </w:r>
          </w:p>
          <w:p>
            <w:pPr>
              <w:widowControl/>
              <w:jc w:val="center"/>
              <w:textAlignment w:val="center"/>
              <w:rPr>
                <w:rFonts w:ascii="宋体" w:hAnsi="宋体" w:cs="宋体"/>
                <w:color w:val="000000"/>
                <w:sz w:val="24"/>
              </w:rPr>
            </w:pPr>
          </w:p>
        </w:tc>
      </w:tr>
      <w:tr>
        <w:tblPrEx>
          <w:tblCellMar>
            <w:top w:w="0" w:type="dxa"/>
            <w:left w:w="0" w:type="dxa"/>
            <w:bottom w:w="0" w:type="dxa"/>
            <w:right w:w="0" w:type="dxa"/>
          </w:tblCellMar>
        </w:tblPrEx>
        <w:trPr>
          <w:trHeight w:val="1042" w:hRule="atLeast"/>
          <w:jc w:val="center"/>
        </w:trPr>
        <w:tc>
          <w:tcPr>
            <w:tcW w:w="390"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绩效指标完成情况</w:t>
            </w: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一级指标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二级指标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三级指标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预期指标值(包含数字及文字描述)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实际完成指标值(包含数字及文字描述)</w:t>
            </w:r>
          </w:p>
        </w:tc>
      </w:tr>
      <w:tr>
        <w:tblPrEx>
          <w:tblCellMar>
            <w:top w:w="0" w:type="dxa"/>
            <w:left w:w="0" w:type="dxa"/>
            <w:bottom w:w="0" w:type="dxa"/>
            <w:right w:w="0" w:type="dxa"/>
          </w:tblCellMar>
        </w:tblPrEx>
        <w:trPr>
          <w:trHeight w:val="953"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cs="宋体"/>
                <w:color w:val="000000"/>
                <w:sz w:val="24"/>
              </w:rPr>
              <w:t>质量指标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cs="宋体"/>
                <w:color w:val="000000"/>
                <w:sz w:val="24"/>
              </w:rPr>
              <w:t>资金使用标准达标率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cs="宋体"/>
                <w:color w:val="000000"/>
                <w:sz w:val="24"/>
              </w:rPr>
              <w:t>拨付资金</w:t>
            </w:r>
            <w:r>
              <w:rPr>
                <w:rFonts w:ascii="宋体" w:hAnsi="宋体" w:eastAsia="宋体" w:cs="宋体"/>
                <w:sz w:val="24"/>
                <w:szCs w:val="24"/>
              </w:rPr>
              <w:t>1208.11</w:t>
            </w:r>
            <w:r>
              <w:rPr>
                <w:rFonts w:hint="eastAsia" w:ascii="宋体" w:cs="宋体"/>
                <w:color w:val="000000"/>
                <w:sz w:val="24"/>
              </w:rPr>
              <w:t>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ascii="宋体" w:hAnsi="宋体" w:eastAsia="宋体" w:cs="宋体"/>
                <w:sz w:val="24"/>
                <w:szCs w:val="24"/>
              </w:rPr>
              <w:t>1208.11</w:t>
            </w:r>
            <w:r>
              <w:rPr>
                <w:rFonts w:hint="eastAsia" w:ascii="宋体" w:cs="宋体"/>
                <w:color w:val="000000"/>
                <w:sz w:val="24"/>
              </w:rPr>
              <w:t>万资金按时拨付完成</w:t>
            </w:r>
            <w:r>
              <w:rPr>
                <w:rFonts w:hint="eastAsia" w:ascii="宋体" w:cs="宋体"/>
                <w:color w:val="000000"/>
                <w:sz w:val="24"/>
                <w:lang w:eastAsia="zh-CN"/>
              </w:rPr>
              <w:t>并</w:t>
            </w:r>
            <w:r>
              <w:rPr>
                <w:rFonts w:hint="eastAsia" w:ascii="宋体" w:cs="宋体"/>
                <w:color w:val="000000"/>
                <w:sz w:val="24"/>
                <w:lang w:val="en-US" w:eastAsia="zh-CN"/>
              </w:rPr>
              <w:t>用于学校提高教育质量。</w:t>
            </w:r>
          </w:p>
        </w:tc>
      </w:tr>
      <w:tr>
        <w:tblPrEx>
          <w:tblCellMar>
            <w:top w:w="0" w:type="dxa"/>
            <w:left w:w="0" w:type="dxa"/>
            <w:bottom w:w="0" w:type="dxa"/>
            <w:right w:w="0" w:type="dxa"/>
          </w:tblCellMar>
        </w:tblPrEx>
        <w:trPr>
          <w:trHeight w:val="1042"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效益指标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cs="宋体"/>
                <w:color w:val="000000"/>
                <w:sz w:val="24"/>
              </w:rPr>
              <w:t>社会效益指标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textAlignment w:val="center"/>
              <w:rPr>
                <w:rFonts w:ascii="宋体" w:hAnsi="宋体" w:cs="宋体"/>
                <w:color w:val="000000"/>
                <w:sz w:val="24"/>
              </w:rPr>
            </w:pPr>
            <w:r>
              <w:rPr>
                <w:rFonts w:hint="eastAsia" w:ascii="宋体" w:cs="宋体"/>
                <w:color w:val="000000"/>
                <w:sz w:val="24"/>
              </w:rPr>
              <w:t>提高学校教育质量，激发学校管理活力，打造标准高规格公办学校</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cs="宋体"/>
                <w:color w:val="000000"/>
                <w:sz w:val="24"/>
              </w:rPr>
              <w:t>资金拨付及时，学校按时按量完成任务，效率达95%以上</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cs="宋体"/>
                <w:color w:val="000000"/>
                <w:sz w:val="24"/>
              </w:rPr>
              <w:t>各项任务顺利推进，达到预期目的</w:t>
            </w:r>
          </w:p>
        </w:tc>
      </w:tr>
      <w:tr>
        <w:tblPrEx>
          <w:tblCellMar>
            <w:top w:w="0" w:type="dxa"/>
            <w:left w:w="0" w:type="dxa"/>
            <w:bottom w:w="0" w:type="dxa"/>
            <w:right w:w="0" w:type="dxa"/>
          </w:tblCellMar>
        </w:tblPrEx>
        <w:trPr>
          <w:trHeight w:val="1050" w:hRule="atLeast"/>
          <w:jc w:val="center"/>
        </w:trPr>
        <w:tc>
          <w:tcPr>
            <w:tcW w:w="390" w:type="dxa"/>
            <w:vMerge w:val="continue"/>
            <w:tcBorders>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满意度指标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cs="宋体"/>
                <w:color w:val="000000"/>
                <w:sz w:val="24"/>
              </w:rPr>
              <w:t>可持续影响指标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教师对学校的满意度</w:t>
            </w:r>
          </w:p>
          <w:p>
            <w:pPr>
              <w:widowControl/>
              <w:jc w:val="center"/>
              <w:textAlignment w:val="center"/>
              <w:rPr>
                <w:rFonts w:ascii="宋体" w:hAnsi="宋体" w:cs="宋体"/>
                <w:color w:val="000000"/>
                <w:sz w:val="24"/>
              </w:rPr>
            </w:pPr>
            <w:r>
              <w:rPr>
                <w:rFonts w:hint="eastAsia" w:ascii="宋体" w:cs="宋体"/>
                <w:color w:val="000000"/>
                <w:sz w:val="24"/>
              </w:rPr>
              <w:t>社会对学校的满意度</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提高教师工作积极</w:t>
            </w:r>
          </w:p>
          <w:p>
            <w:pPr>
              <w:widowControl/>
              <w:jc w:val="center"/>
              <w:textAlignment w:val="center"/>
              <w:rPr>
                <w:rFonts w:ascii="宋体" w:hAnsi="宋体" w:cs="宋体"/>
                <w:color w:val="000000"/>
                <w:sz w:val="24"/>
              </w:rPr>
            </w:pPr>
            <w:r>
              <w:rPr>
                <w:rFonts w:hint="eastAsia" w:ascii="宋体" w:cs="宋体"/>
                <w:color w:val="000000"/>
                <w:sz w:val="24"/>
              </w:rPr>
              <w:t>满意度达95%</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cs="宋体"/>
                <w:color w:val="000000"/>
                <w:sz w:val="24"/>
              </w:rPr>
              <w:t>保障了学校办学水平的提高，树立良好的教学形象，满意度达95%</w:t>
            </w:r>
          </w:p>
        </w:tc>
      </w:tr>
    </w:tbl>
    <w:p>
      <w:pPr>
        <w:spacing w:line="580" w:lineRule="exact"/>
        <w:ind w:left="630"/>
        <w:rPr>
          <w:rFonts w:ascii="仿宋_GB2312" w:hAnsi="仿宋_GB2312" w:eastAsia="仿宋_GB2312" w:cs="仿宋_GB2312"/>
          <w:sz w:val="32"/>
          <w:szCs w:val="32"/>
        </w:rPr>
      </w:pPr>
    </w:p>
    <w:p>
      <w:pPr>
        <w:rPr>
          <w:rFonts w:ascii="Calibri" w:hAnsi="Calibri"/>
        </w:rPr>
      </w:pPr>
    </w:p>
    <w:tbl>
      <w:tblPr>
        <w:tblStyle w:val="12"/>
        <w:tblpPr w:leftFromText="180" w:rightFromText="180" w:vertAnchor="text" w:horzAnchor="page" w:tblpXSpec="center" w:tblpY="423"/>
        <w:tblOverlap w:val="never"/>
        <w:tblW w:w="9960" w:type="dxa"/>
        <w:tblInd w:w="0" w:type="dxa"/>
        <w:tblLayout w:type="fixed"/>
        <w:tblCellMar>
          <w:top w:w="0" w:type="dxa"/>
          <w:left w:w="0" w:type="dxa"/>
          <w:bottom w:w="0" w:type="dxa"/>
          <w:right w:w="0" w:type="dxa"/>
        </w:tblCellMar>
      </w:tblPr>
      <w:tblGrid>
        <w:gridCol w:w="390"/>
        <w:gridCol w:w="1367"/>
        <w:gridCol w:w="1025"/>
        <w:gridCol w:w="2392"/>
        <w:gridCol w:w="2394"/>
        <w:gridCol w:w="2392"/>
      </w:tblGrid>
      <w:tr>
        <w:tblPrEx>
          <w:tblCellMar>
            <w:top w:w="0" w:type="dxa"/>
            <w:left w:w="0" w:type="dxa"/>
            <w:bottom w:w="0" w:type="dxa"/>
            <w:right w:w="0" w:type="dxa"/>
          </w:tblCellMar>
        </w:tblPrEx>
        <w:trPr>
          <w:trHeight w:val="1034" w:hRule="atLeast"/>
        </w:trPr>
        <w:tc>
          <w:tcPr>
            <w:tcW w:w="9960" w:type="dxa"/>
            <w:gridSpan w:val="6"/>
            <w:tcMar>
              <w:top w:w="15" w:type="dxa"/>
              <w:left w:w="15" w:type="dxa"/>
              <w:bottom w:w="0" w:type="dxa"/>
              <w:right w:w="15" w:type="dxa"/>
            </w:tcMar>
            <w:vAlign w:val="center"/>
          </w:tcPr>
          <w:p>
            <w:pPr>
              <w:pStyle w:val="23"/>
              <w:widowControl/>
              <w:ind w:left="3954" w:leftChars="1197" w:hanging="1440" w:hangingChars="400"/>
              <w:textAlignment w:val="center"/>
              <w:rPr>
                <w:rFonts w:hint="eastAsia" w:ascii="黑体" w:hAnsi="黑体" w:eastAsia="黑体" w:cs="宋体"/>
                <w:bCs/>
                <w:color w:val="000000"/>
                <w:kern w:val="0"/>
                <w:sz w:val="36"/>
                <w:szCs w:val="36"/>
              </w:rPr>
            </w:pPr>
          </w:p>
          <w:p>
            <w:pPr>
              <w:pStyle w:val="23"/>
              <w:widowControl/>
              <w:ind w:left="3954" w:leftChars="1197" w:hanging="1440" w:hangingChars="400"/>
              <w:textAlignment w:val="center"/>
              <w:rPr>
                <w:rFonts w:ascii="宋体" w:cs="宋体"/>
                <w:color w:val="000000"/>
                <w:sz w:val="36"/>
                <w:szCs w:val="36"/>
              </w:rPr>
            </w:pPr>
            <w:r>
              <w:rPr>
                <w:rFonts w:hint="eastAsia" w:ascii="黑体" w:hAnsi="黑体" w:eastAsia="黑体" w:cs="宋体"/>
                <w:bCs/>
                <w:color w:val="000000"/>
                <w:kern w:val="0"/>
                <w:sz w:val="36"/>
                <w:szCs w:val="36"/>
              </w:rPr>
              <w:t>项目支出绩效目标完成情况表</w:t>
            </w:r>
            <w:r>
              <w:rPr>
                <w:rFonts w:ascii="宋体" w:cs="宋体"/>
                <w:b/>
                <w:bCs/>
                <w:color w:val="000000"/>
                <w:kern w:val="0"/>
                <w:sz w:val="36"/>
                <w:szCs w:val="36"/>
              </w:rPr>
              <w:br w:type="textWrapping"/>
            </w:r>
            <w:r>
              <w:rPr>
                <w:rFonts w:ascii="宋体" w:hAnsi="宋体" w:cs="宋体"/>
                <w:color w:val="000000"/>
                <w:kern w:val="0"/>
                <w:sz w:val="36"/>
                <w:szCs w:val="36"/>
              </w:rPr>
              <w:t>(201</w:t>
            </w:r>
            <w:r>
              <w:rPr>
                <w:rFonts w:hint="eastAsia" w:ascii="宋体" w:hAnsi="宋体" w:cs="宋体"/>
                <w:color w:val="000000"/>
                <w:kern w:val="0"/>
                <w:sz w:val="36"/>
                <w:szCs w:val="36"/>
                <w:lang w:val="en-US" w:eastAsia="zh-CN"/>
              </w:rPr>
              <w:t>9</w:t>
            </w:r>
            <w:r>
              <w:rPr>
                <w:rFonts w:hint="eastAsia" w:ascii="宋体" w:hAnsi="宋体" w:cs="宋体"/>
                <w:color w:val="000000"/>
                <w:kern w:val="0"/>
                <w:sz w:val="36"/>
                <w:szCs w:val="36"/>
              </w:rPr>
              <w:t>年度</w:t>
            </w:r>
            <w:r>
              <w:rPr>
                <w:rFonts w:ascii="宋体" w:hAnsi="宋体" w:cs="宋体"/>
                <w:color w:val="000000"/>
                <w:kern w:val="0"/>
                <w:sz w:val="36"/>
                <w:szCs w:val="36"/>
              </w:rPr>
              <w:t>)</w:t>
            </w:r>
          </w:p>
        </w:tc>
      </w:tr>
      <w:tr>
        <w:tblPrEx>
          <w:tblCellMar>
            <w:top w:w="0" w:type="dxa"/>
            <w:left w:w="0" w:type="dxa"/>
            <w:bottom w:w="0" w:type="dxa"/>
            <w:right w:w="0" w:type="dxa"/>
          </w:tblCellMar>
        </w:tblPrEx>
        <w:trPr>
          <w:trHeight w:val="276" w:hRule="atLeast"/>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项目名称</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rPr>
              <w:t>地方教育附加安排教育专项资金</w:t>
            </w:r>
          </w:p>
        </w:tc>
      </w:tr>
      <w:tr>
        <w:tblPrEx>
          <w:tblCellMar>
            <w:top w:w="0" w:type="dxa"/>
            <w:left w:w="0" w:type="dxa"/>
            <w:bottom w:w="0" w:type="dxa"/>
            <w:right w:w="0" w:type="dxa"/>
          </w:tblCellMar>
        </w:tblPrEx>
        <w:trPr>
          <w:trHeight w:val="276" w:hRule="atLeast"/>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预算单位</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遂宁一中</w:t>
            </w:r>
          </w:p>
        </w:tc>
      </w:tr>
      <w:tr>
        <w:tblPrEx>
          <w:tblCellMar>
            <w:top w:w="0" w:type="dxa"/>
            <w:left w:w="0" w:type="dxa"/>
            <w:bottom w:w="0" w:type="dxa"/>
            <w:right w:w="0" w:type="dxa"/>
          </w:tblCellMar>
        </w:tblPrEx>
        <w:trPr>
          <w:trHeight w:val="276" w:hRule="atLeast"/>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预算执行情况</w:t>
            </w:r>
            <w:r>
              <w:rPr>
                <w:rFonts w:ascii="宋体" w:hAnsi="宋体" w:cs="宋体"/>
                <w:color w:val="000000"/>
                <w:kern w:val="0"/>
                <w:sz w:val="24"/>
              </w:rPr>
              <w:t>(</w:t>
            </w:r>
            <w:r>
              <w:rPr>
                <w:rFonts w:hint="eastAsia" w:ascii="宋体" w:hAnsi="宋体" w:cs="宋体"/>
                <w:color w:val="000000"/>
                <w:kern w:val="0"/>
                <w:sz w:val="24"/>
              </w:rPr>
              <w:t>万元</w:t>
            </w:r>
            <w:r>
              <w:rPr>
                <w:rFonts w:ascii="宋体" w:hAnsi="宋体" w:cs="宋体"/>
                <w:color w:val="000000"/>
                <w:kern w:val="0"/>
                <w:sz w:val="24"/>
              </w:rPr>
              <w:t>)</w:t>
            </w: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预算数</w:t>
            </w:r>
            <w:r>
              <w:rPr>
                <w:rFonts w:ascii="宋体" w:hAnsi="宋体" w:cs="宋体"/>
                <w:color w:val="000000"/>
                <w:kern w:val="0"/>
                <w:sz w:val="24"/>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default" w:ascii="宋体" w:eastAsia="宋体" w:cs="宋体"/>
                <w:color w:val="000000"/>
                <w:sz w:val="24"/>
                <w:lang w:val="en-US" w:eastAsia="zh-CN"/>
              </w:rPr>
            </w:pPr>
            <w:r>
              <w:rPr>
                <w:rFonts w:hint="eastAsia" w:ascii="宋体" w:hAnsi="宋体" w:cs="宋体"/>
                <w:sz w:val="24"/>
                <w:szCs w:val="24"/>
                <w:lang w:val="en-US" w:eastAsia="zh-CN"/>
              </w:rPr>
              <w:t>100</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执行数</w:t>
            </w:r>
            <w:r>
              <w:rPr>
                <w:rFonts w:ascii="宋体" w:hAnsi="宋体" w:cs="宋体"/>
                <w:color w:val="000000"/>
                <w:kern w:val="0"/>
                <w:sz w:val="24"/>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default" w:ascii="宋体" w:eastAsia="宋体" w:cs="宋体"/>
                <w:color w:val="000000"/>
                <w:sz w:val="24"/>
                <w:lang w:val="en-US" w:eastAsia="zh-CN"/>
              </w:rPr>
            </w:pPr>
            <w:r>
              <w:rPr>
                <w:rFonts w:hint="eastAsia" w:ascii="宋体" w:cs="宋体"/>
                <w:color w:val="000000"/>
                <w:sz w:val="24"/>
                <w:lang w:val="en-US" w:eastAsia="zh-CN"/>
              </w:rPr>
              <w:t>100</w:t>
            </w:r>
          </w:p>
        </w:tc>
      </w:tr>
      <w:tr>
        <w:tblPrEx>
          <w:tblCellMar>
            <w:top w:w="0" w:type="dxa"/>
            <w:left w:w="0" w:type="dxa"/>
            <w:bottom w:w="0" w:type="dxa"/>
            <w:right w:w="0" w:type="dxa"/>
          </w:tblCellMar>
        </w:tblPrEx>
        <w:trPr>
          <w:trHeight w:val="276"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cs="宋体"/>
                <w:color w:val="000000"/>
                <w:sz w:val="24"/>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其中</w:t>
            </w:r>
            <w:r>
              <w:rPr>
                <w:rFonts w:ascii="宋体" w:cs="宋体"/>
                <w:color w:val="000000"/>
                <w:kern w:val="0"/>
                <w:sz w:val="24"/>
              </w:rPr>
              <w:t>-</w:t>
            </w:r>
            <w:r>
              <w:rPr>
                <w:rFonts w:hint="eastAsia" w:ascii="宋体" w:hAnsi="宋体" w:cs="宋体"/>
                <w:color w:val="000000"/>
                <w:kern w:val="0"/>
                <w:sz w:val="24"/>
              </w:rPr>
              <w:t>财政拨款</w:t>
            </w:r>
            <w:r>
              <w:rPr>
                <w:rFonts w:ascii="宋体" w:hAnsi="宋体" w:cs="宋体"/>
                <w:color w:val="000000"/>
                <w:kern w:val="0"/>
                <w:sz w:val="24"/>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default" w:ascii="宋体" w:eastAsia="宋体" w:cs="宋体"/>
                <w:color w:val="000000"/>
                <w:sz w:val="24"/>
                <w:lang w:val="en-US" w:eastAsia="zh-CN"/>
              </w:rPr>
            </w:pPr>
            <w:r>
              <w:rPr>
                <w:rFonts w:hint="eastAsia" w:ascii="宋体" w:hAnsi="宋体" w:cs="宋体"/>
                <w:sz w:val="24"/>
                <w:szCs w:val="24"/>
                <w:lang w:val="en-US" w:eastAsia="zh-CN"/>
              </w:rPr>
              <w:t>100</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其中</w:t>
            </w:r>
            <w:r>
              <w:rPr>
                <w:rFonts w:ascii="宋体" w:cs="宋体"/>
                <w:color w:val="000000"/>
                <w:kern w:val="0"/>
                <w:sz w:val="24"/>
              </w:rPr>
              <w:t>-</w:t>
            </w:r>
            <w:r>
              <w:rPr>
                <w:rFonts w:hint="eastAsia" w:ascii="宋体" w:hAnsi="宋体" w:cs="宋体"/>
                <w:color w:val="000000"/>
                <w:kern w:val="0"/>
                <w:sz w:val="24"/>
              </w:rPr>
              <w:t>财政拨款</w:t>
            </w:r>
            <w:r>
              <w:rPr>
                <w:rFonts w:ascii="宋体" w:hAnsi="宋体" w:cs="宋体"/>
                <w:color w:val="000000"/>
                <w:kern w:val="0"/>
                <w:sz w:val="24"/>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default" w:ascii="宋体" w:eastAsia="宋体" w:cs="宋体"/>
                <w:color w:val="000000"/>
                <w:sz w:val="24"/>
                <w:lang w:val="en-US" w:eastAsia="zh-CN"/>
              </w:rPr>
            </w:pPr>
            <w:r>
              <w:rPr>
                <w:rFonts w:hint="eastAsia" w:ascii="宋体" w:hAnsi="宋体" w:cs="宋体"/>
                <w:sz w:val="24"/>
                <w:szCs w:val="24"/>
                <w:lang w:val="en-US" w:eastAsia="zh-CN"/>
              </w:rPr>
              <w:t>100</w:t>
            </w:r>
          </w:p>
        </w:tc>
      </w:tr>
      <w:tr>
        <w:tblPrEx>
          <w:tblCellMar>
            <w:top w:w="0" w:type="dxa"/>
            <w:left w:w="0" w:type="dxa"/>
            <w:bottom w:w="0" w:type="dxa"/>
            <w:right w:w="0" w:type="dxa"/>
          </w:tblCellMar>
        </w:tblPrEx>
        <w:trPr>
          <w:trHeight w:val="1511"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cs="宋体"/>
                <w:color w:val="000000"/>
                <w:sz w:val="24"/>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其它资金</w:t>
            </w:r>
            <w:r>
              <w:rPr>
                <w:rFonts w:ascii="宋体" w:hAnsi="宋体" w:cs="宋体"/>
                <w:color w:val="000000"/>
                <w:kern w:val="0"/>
                <w:sz w:val="24"/>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ascii="宋体" w:cs="宋体"/>
                <w:color w:val="000000"/>
                <w:kern w:val="0"/>
                <w:sz w:val="24"/>
              </w:rPr>
              <w:t>0</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其它资金</w:t>
            </w:r>
            <w:r>
              <w:rPr>
                <w:rFonts w:ascii="宋体" w:hAnsi="宋体" w:cs="宋体"/>
                <w:color w:val="000000"/>
                <w:kern w:val="0"/>
                <w:sz w:val="24"/>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rPr>
                <w:rFonts w:hint="eastAsia" w:ascii="宋体" w:eastAsia="宋体" w:cs="宋体"/>
                <w:color w:val="000000"/>
                <w:sz w:val="24"/>
                <w:lang w:val="en-US" w:eastAsia="zh-CN"/>
              </w:rPr>
            </w:pPr>
            <w:r>
              <w:rPr>
                <w:rFonts w:hint="eastAsia" w:ascii="宋体" w:cs="宋体"/>
                <w:color w:val="000000"/>
                <w:sz w:val="24"/>
                <w:lang w:val="en-US" w:eastAsia="zh-CN"/>
              </w:rPr>
              <w:t>0</w:t>
            </w:r>
          </w:p>
        </w:tc>
      </w:tr>
      <w:tr>
        <w:tblPrEx>
          <w:tblCellMar>
            <w:top w:w="0" w:type="dxa"/>
            <w:left w:w="0" w:type="dxa"/>
            <w:bottom w:w="0" w:type="dxa"/>
            <w:right w:w="0" w:type="dxa"/>
          </w:tblCellMar>
        </w:tblPrEx>
        <w:trPr>
          <w:trHeight w:val="276" w:hRule="atLeast"/>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年度目标完成情况</w:t>
            </w:r>
          </w:p>
        </w:tc>
        <w:tc>
          <w:tcPr>
            <w:tcW w:w="4784"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预期目标</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实际完成目标</w:t>
            </w:r>
          </w:p>
        </w:tc>
      </w:tr>
      <w:tr>
        <w:tblPrEx>
          <w:tblCellMar>
            <w:top w:w="0" w:type="dxa"/>
            <w:left w:w="0" w:type="dxa"/>
            <w:bottom w:w="0" w:type="dxa"/>
            <w:right w:w="0" w:type="dxa"/>
          </w:tblCellMar>
        </w:tblPrEx>
        <w:trPr>
          <w:trHeight w:val="1159"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cs="宋体"/>
                <w:color w:val="000000"/>
                <w:sz w:val="24"/>
              </w:rPr>
            </w:pPr>
          </w:p>
        </w:tc>
        <w:tc>
          <w:tcPr>
            <w:tcW w:w="4784"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textAlignment w:val="center"/>
              <w:rPr>
                <w:rFonts w:ascii="宋体" w:cs="宋体"/>
                <w:color w:val="000000"/>
                <w:sz w:val="24"/>
              </w:rPr>
            </w:pPr>
            <w:r>
              <w:rPr>
                <w:rFonts w:hint="eastAsia" w:ascii="宋体" w:cs="宋体"/>
                <w:color w:val="000000"/>
                <w:sz w:val="24"/>
                <w:lang w:val="zh-CN"/>
              </w:rPr>
              <w:t>该资金</w:t>
            </w:r>
            <w:r>
              <w:rPr>
                <w:rFonts w:ascii="宋体" w:hAnsi="宋体" w:eastAsia="宋体" w:cs="宋体"/>
                <w:sz w:val="24"/>
                <w:szCs w:val="24"/>
              </w:rPr>
              <w:t>主要用于高中电子白板安装，道路维修及学生寝室改造等。</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按进度已经支付了</w:t>
            </w:r>
            <w:r>
              <w:rPr>
                <w:rFonts w:hint="eastAsia" w:ascii="宋体" w:hAnsi="宋体" w:cs="宋体"/>
                <w:sz w:val="24"/>
                <w:szCs w:val="24"/>
                <w:lang w:val="en-US" w:eastAsia="zh-CN"/>
              </w:rPr>
              <w:t>100</w:t>
            </w:r>
            <w:r>
              <w:rPr>
                <w:rFonts w:hint="eastAsia" w:ascii="宋体" w:cs="宋体"/>
                <w:color w:val="000000"/>
                <w:sz w:val="24"/>
              </w:rPr>
              <w:t>万元，目前按照采购节能灯的工作安排正在按时按量进行中。</w:t>
            </w:r>
          </w:p>
        </w:tc>
      </w:tr>
      <w:tr>
        <w:tblPrEx>
          <w:tblCellMar>
            <w:top w:w="0" w:type="dxa"/>
            <w:left w:w="0" w:type="dxa"/>
            <w:bottom w:w="0" w:type="dxa"/>
            <w:right w:w="0" w:type="dxa"/>
          </w:tblCellMar>
        </w:tblPrEx>
        <w:trPr>
          <w:trHeight w:val="1042" w:hRule="atLeast"/>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sz w:val="24"/>
              </w:rPr>
              <w:t>绩效指标完成情况</w:t>
            </w: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一级指标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二级指标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三级指标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预期指标值</w:t>
            </w:r>
            <w:r>
              <w:rPr>
                <w:rFonts w:ascii="宋体" w:hAnsi="宋体" w:cs="宋体"/>
                <w:color w:val="000000"/>
                <w:kern w:val="0"/>
                <w:sz w:val="24"/>
              </w:rPr>
              <w:t>(</w:t>
            </w:r>
            <w:r>
              <w:rPr>
                <w:rFonts w:hint="eastAsia" w:ascii="宋体" w:hAnsi="宋体" w:cs="宋体"/>
                <w:color w:val="000000"/>
                <w:kern w:val="0"/>
                <w:sz w:val="24"/>
              </w:rPr>
              <w:t>包含数字及文字描述</w:t>
            </w:r>
            <w:r>
              <w:rPr>
                <w:rFonts w:ascii="宋体" w:hAnsi="宋体" w:cs="宋体"/>
                <w:color w:val="000000"/>
                <w:kern w:val="0"/>
                <w:sz w:val="24"/>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实际完成指标值</w:t>
            </w:r>
            <w:r>
              <w:rPr>
                <w:rFonts w:ascii="宋体" w:hAnsi="宋体" w:cs="宋体"/>
                <w:color w:val="000000"/>
                <w:kern w:val="0"/>
                <w:sz w:val="24"/>
              </w:rPr>
              <w:t>(</w:t>
            </w:r>
            <w:r>
              <w:rPr>
                <w:rFonts w:hint="eastAsia" w:ascii="宋体" w:hAnsi="宋体" w:cs="宋体"/>
                <w:color w:val="000000"/>
                <w:kern w:val="0"/>
                <w:sz w:val="24"/>
              </w:rPr>
              <w:t>包含数字及文字描述</w:t>
            </w:r>
            <w:r>
              <w:rPr>
                <w:rFonts w:ascii="宋体" w:hAnsi="宋体" w:cs="宋体"/>
                <w:color w:val="000000"/>
                <w:kern w:val="0"/>
                <w:sz w:val="24"/>
              </w:rPr>
              <w:t>)</w:t>
            </w:r>
          </w:p>
        </w:tc>
      </w:tr>
      <w:tr>
        <w:tblPrEx>
          <w:tblCellMar>
            <w:top w:w="0" w:type="dxa"/>
            <w:left w:w="0" w:type="dxa"/>
            <w:bottom w:w="0" w:type="dxa"/>
            <w:right w:w="0" w:type="dxa"/>
          </w:tblCellMar>
        </w:tblPrEx>
        <w:trPr>
          <w:trHeight w:val="953"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质量指标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资金使用标准达标率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拨付资金</w:t>
            </w:r>
            <w:r>
              <w:rPr>
                <w:rFonts w:hint="eastAsia" w:ascii="宋体" w:cs="宋体"/>
                <w:color w:val="000000"/>
                <w:sz w:val="24"/>
                <w:lang w:val="en-US" w:eastAsia="zh-CN"/>
              </w:rPr>
              <w:t>100</w:t>
            </w:r>
            <w:r>
              <w:rPr>
                <w:rFonts w:hint="eastAsia" w:ascii="宋体" w:cs="宋体"/>
                <w:color w:val="000000"/>
                <w:sz w:val="24"/>
              </w:rPr>
              <w:t>万元</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拨付资金到位，目前支付</w:t>
            </w:r>
            <w:r>
              <w:rPr>
                <w:rFonts w:hint="eastAsia" w:ascii="宋体" w:cs="宋体"/>
                <w:color w:val="000000"/>
                <w:sz w:val="24"/>
                <w:lang w:val="en-US" w:eastAsia="zh-CN"/>
              </w:rPr>
              <w:t>100</w:t>
            </w:r>
            <w:r>
              <w:rPr>
                <w:rFonts w:hint="eastAsia" w:ascii="宋体" w:cs="宋体"/>
                <w:color w:val="000000"/>
                <w:sz w:val="24"/>
              </w:rPr>
              <w:t>万元</w:t>
            </w:r>
          </w:p>
        </w:tc>
      </w:tr>
      <w:tr>
        <w:tblPrEx>
          <w:tblCellMar>
            <w:top w:w="0" w:type="dxa"/>
            <w:left w:w="0" w:type="dxa"/>
            <w:bottom w:w="0" w:type="dxa"/>
            <w:right w:w="0" w:type="dxa"/>
          </w:tblCellMar>
        </w:tblPrEx>
        <w:trPr>
          <w:trHeight w:val="1042"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效益指标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社会效益指标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hd w:val="clear" w:color="auto" w:fill="FFFFFF"/>
              <w:spacing w:line="480" w:lineRule="atLeast"/>
              <w:jc w:val="left"/>
            </w:pPr>
            <w:r>
              <w:rPr>
                <w:rFonts w:hint="eastAsia" w:ascii="宋体" w:cs="宋体"/>
                <w:color w:val="000000"/>
                <w:sz w:val="24"/>
              </w:rPr>
              <w:t>完善学校硬件设备，提高学校教育环境水平，保障学校高水平发展</w:t>
            </w:r>
            <w:r>
              <w:rPr>
                <w:rFonts w:hint="eastAsia"/>
              </w:rPr>
              <w:t>。</w:t>
            </w:r>
          </w:p>
          <w:p>
            <w:pPr>
              <w:widowControl/>
              <w:jc w:val="center"/>
              <w:textAlignment w:val="center"/>
              <w:rPr>
                <w:rFonts w:ascii="宋体" w:cs="宋体"/>
                <w:color w:val="000000"/>
                <w:sz w:val="24"/>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资金拨付及时，学校按时按量完成任务，效率达95%以上</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各项任务顺利推进，达到预期目的。</w:t>
            </w:r>
          </w:p>
        </w:tc>
      </w:tr>
      <w:tr>
        <w:tblPrEx>
          <w:tblCellMar>
            <w:top w:w="0" w:type="dxa"/>
            <w:left w:w="0" w:type="dxa"/>
            <w:bottom w:w="0" w:type="dxa"/>
            <w:right w:w="0" w:type="dxa"/>
          </w:tblCellMar>
        </w:tblPrEx>
        <w:trPr>
          <w:trHeight w:val="1050"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满意度指标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可持续性影响指标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教师对学校的满意度</w:t>
            </w:r>
          </w:p>
          <w:p>
            <w:pPr>
              <w:widowControl/>
              <w:jc w:val="center"/>
              <w:textAlignment w:val="center"/>
              <w:rPr>
                <w:rFonts w:ascii="宋体" w:cs="宋体"/>
                <w:color w:val="000000"/>
                <w:sz w:val="24"/>
              </w:rPr>
            </w:pPr>
            <w:r>
              <w:rPr>
                <w:rFonts w:hint="eastAsia" w:ascii="宋体" w:cs="宋体"/>
                <w:color w:val="000000"/>
                <w:sz w:val="24"/>
              </w:rPr>
              <w:t>社会对学校的满意度</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完善学校硬件设施，建立良好的办学条件，满意度达95%</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保障了学校办学水平的提高，树立良好的教学形象，满意度达95%</w:t>
            </w:r>
          </w:p>
        </w:tc>
      </w:tr>
    </w:tbl>
    <w:p>
      <w:pPr>
        <w:spacing w:line="580" w:lineRule="exact"/>
        <w:rPr>
          <w:rFonts w:hint="eastAsia" w:ascii="楷体_GB2312" w:hAnsi="楷体_GB2312" w:eastAsia="楷体_GB2312" w:cs="楷体_GB2312"/>
          <w:sz w:val="32"/>
          <w:szCs w:val="32"/>
        </w:rPr>
      </w:pPr>
    </w:p>
    <w:tbl>
      <w:tblPr>
        <w:tblStyle w:val="12"/>
        <w:tblpPr w:leftFromText="180" w:rightFromText="180" w:vertAnchor="text" w:horzAnchor="page" w:tblpXSpec="center" w:tblpY="423"/>
        <w:tblOverlap w:val="never"/>
        <w:tblW w:w="9960" w:type="dxa"/>
        <w:tblInd w:w="0" w:type="dxa"/>
        <w:tblLayout w:type="fixed"/>
        <w:tblCellMar>
          <w:top w:w="0" w:type="dxa"/>
          <w:left w:w="0" w:type="dxa"/>
          <w:bottom w:w="0" w:type="dxa"/>
          <w:right w:w="0" w:type="dxa"/>
        </w:tblCellMar>
      </w:tblPr>
      <w:tblGrid>
        <w:gridCol w:w="390"/>
        <w:gridCol w:w="1367"/>
        <w:gridCol w:w="1025"/>
        <w:gridCol w:w="2392"/>
        <w:gridCol w:w="2394"/>
        <w:gridCol w:w="2392"/>
      </w:tblGrid>
      <w:tr>
        <w:tblPrEx>
          <w:tblCellMar>
            <w:top w:w="0" w:type="dxa"/>
            <w:left w:w="0" w:type="dxa"/>
            <w:bottom w:w="0" w:type="dxa"/>
            <w:right w:w="0" w:type="dxa"/>
          </w:tblCellMar>
        </w:tblPrEx>
        <w:trPr>
          <w:trHeight w:val="1034" w:hRule="atLeast"/>
        </w:trPr>
        <w:tc>
          <w:tcPr>
            <w:tcW w:w="9960" w:type="dxa"/>
            <w:gridSpan w:val="6"/>
            <w:tcMar>
              <w:top w:w="15" w:type="dxa"/>
              <w:left w:w="15" w:type="dxa"/>
              <w:bottom w:w="0" w:type="dxa"/>
              <w:right w:w="15" w:type="dxa"/>
            </w:tcMar>
            <w:vAlign w:val="center"/>
          </w:tcPr>
          <w:p>
            <w:pPr>
              <w:pStyle w:val="23"/>
              <w:widowControl/>
              <w:ind w:left="4313" w:leftChars="1368" w:hanging="1440" w:hangingChars="400"/>
              <w:textAlignment w:val="center"/>
              <w:rPr>
                <w:rFonts w:ascii="宋体" w:cs="宋体"/>
                <w:color w:val="000000"/>
                <w:sz w:val="36"/>
                <w:szCs w:val="36"/>
              </w:rPr>
            </w:pPr>
            <w:r>
              <w:rPr>
                <w:rFonts w:hint="eastAsia" w:ascii="黑体" w:hAnsi="黑体" w:eastAsia="黑体" w:cs="宋体"/>
                <w:bCs/>
                <w:color w:val="000000"/>
                <w:kern w:val="0"/>
                <w:sz w:val="36"/>
                <w:szCs w:val="36"/>
              </w:rPr>
              <w:t>项目支出绩效目标完成情况表</w:t>
            </w:r>
            <w:r>
              <w:rPr>
                <w:rFonts w:ascii="宋体" w:cs="宋体"/>
                <w:b/>
                <w:bCs/>
                <w:color w:val="000000"/>
                <w:kern w:val="0"/>
                <w:sz w:val="36"/>
                <w:szCs w:val="36"/>
              </w:rPr>
              <w:br w:type="textWrapping"/>
            </w:r>
            <w:r>
              <w:rPr>
                <w:rFonts w:ascii="宋体" w:hAnsi="宋体" w:cs="宋体"/>
                <w:color w:val="000000"/>
                <w:kern w:val="0"/>
                <w:sz w:val="36"/>
                <w:szCs w:val="36"/>
              </w:rPr>
              <w:t>(201</w:t>
            </w:r>
            <w:r>
              <w:rPr>
                <w:rFonts w:hint="eastAsia" w:ascii="宋体" w:hAnsi="宋体" w:cs="宋体"/>
                <w:color w:val="000000"/>
                <w:kern w:val="0"/>
                <w:sz w:val="36"/>
                <w:szCs w:val="36"/>
                <w:lang w:val="en-US" w:eastAsia="zh-CN"/>
              </w:rPr>
              <w:t>9</w:t>
            </w:r>
            <w:r>
              <w:rPr>
                <w:rFonts w:hint="eastAsia" w:ascii="宋体" w:hAnsi="宋体" w:cs="宋体"/>
                <w:color w:val="000000"/>
                <w:kern w:val="0"/>
                <w:sz w:val="36"/>
                <w:szCs w:val="36"/>
              </w:rPr>
              <w:t>年度</w:t>
            </w:r>
            <w:r>
              <w:rPr>
                <w:rFonts w:ascii="宋体" w:hAnsi="宋体" w:cs="宋体"/>
                <w:color w:val="000000"/>
                <w:kern w:val="0"/>
                <w:sz w:val="36"/>
                <w:szCs w:val="36"/>
              </w:rPr>
              <w:t>)</w:t>
            </w:r>
          </w:p>
        </w:tc>
      </w:tr>
      <w:tr>
        <w:tblPrEx>
          <w:tblCellMar>
            <w:top w:w="0" w:type="dxa"/>
            <w:left w:w="0" w:type="dxa"/>
            <w:bottom w:w="0" w:type="dxa"/>
            <w:right w:w="0" w:type="dxa"/>
          </w:tblCellMar>
        </w:tblPrEx>
        <w:trPr>
          <w:trHeight w:val="276" w:hRule="atLeast"/>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项目名称</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rPr>
              <w:t>教育质量提升奖补资金</w:t>
            </w:r>
          </w:p>
        </w:tc>
      </w:tr>
      <w:tr>
        <w:tblPrEx>
          <w:tblCellMar>
            <w:top w:w="0" w:type="dxa"/>
            <w:left w:w="0" w:type="dxa"/>
            <w:bottom w:w="0" w:type="dxa"/>
            <w:right w:w="0" w:type="dxa"/>
          </w:tblCellMar>
        </w:tblPrEx>
        <w:trPr>
          <w:trHeight w:val="276" w:hRule="atLeast"/>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预算单位</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eastAsia="宋体" w:cs="宋体"/>
                <w:sz w:val="24"/>
                <w:szCs w:val="24"/>
              </w:rPr>
            </w:pPr>
            <w:r>
              <w:rPr>
                <w:rFonts w:hint="eastAsia" w:ascii="宋体" w:hAnsi="宋体" w:eastAsia="宋体" w:cs="宋体"/>
                <w:sz w:val="24"/>
                <w:szCs w:val="24"/>
              </w:rPr>
              <w:t>遂宁一中</w:t>
            </w:r>
          </w:p>
        </w:tc>
      </w:tr>
      <w:tr>
        <w:tblPrEx>
          <w:tblCellMar>
            <w:top w:w="0" w:type="dxa"/>
            <w:left w:w="0" w:type="dxa"/>
            <w:bottom w:w="0" w:type="dxa"/>
            <w:right w:w="0" w:type="dxa"/>
          </w:tblCellMar>
        </w:tblPrEx>
        <w:trPr>
          <w:trHeight w:val="276" w:hRule="atLeast"/>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预算执行情况</w:t>
            </w:r>
            <w:r>
              <w:rPr>
                <w:rFonts w:ascii="宋体" w:hAnsi="宋体" w:cs="宋体"/>
                <w:color w:val="000000"/>
                <w:kern w:val="0"/>
                <w:sz w:val="24"/>
              </w:rPr>
              <w:t>(</w:t>
            </w:r>
            <w:r>
              <w:rPr>
                <w:rFonts w:hint="eastAsia" w:ascii="宋体" w:hAnsi="宋体" w:cs="宋体"/>
                <w:color w:val="000000"/>
                <w:kern w:val="0"/>
                <w:sz w:val="24"/>
              </w:rPr>
              <w:t>万元</w:t>
            </w:r>
            <w:r>
              <w:rPr>
                <w:rFonts w:ascii="宋体" w:hAnsi="宋体" w:cs="宋体"/>
                <w:color w:val="000000"/>
                <w:kern w:val="0"/>
                <w:sz w:val="24"/>
              </w:rPr>
              <w:t>)</w:t>
            </w: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预算数</w:t>
            </w:r>
            <w:r>
              <w:rPr>
                <w:rFonts w:ascii="宋体" w:hAnsi="宋体" w:cs="宋体"/>
                <w:color w:val="000000"/>
                <w:kern w:val="0"/>
                <w:sz w:val="24"/>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eastAsia="宋体" w:cs="宋体"/>
                <w:sz w:val="24"/>
                <w:szCs w:val="24"/>
              </w:rPr>
            </w:pPr>
            <w:r>
              <w:rPr>
                <w:rFonts w:ascii="宋体" w:hAnsi="宋体" w:eastAsia="宋体" w:cs="宋体"/>
                <w:sz w:val="24"/>
                <w:szCs w:val="24"/>
              </w:rPr>
              <w:t>804.59</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eastAsia="宋体" w:cs="宋体"/>
                <w:sz w:val="24"/>
                <w:szCs w:val="24"/>
              </w:rPr>
            </w:pPr>
            <w:r>
              <w:rPr>
                <w:rFonts w:hint="eastAsia" w:ascii="宋体" w:hAnsi="宋体" w:eastAsia="宋体" w:cs="宋体"/>
                <w:sz w:val="24"/>
                <w:szCs w:val="24"/>
              </w:rPr>
              <w:t>执行数</w:t>
            </w:r>
            <w:r>
              <w:rPr>
                <w:rFonts w:ascii="宋体" w:hAnsi="宋体" w:eastAsia="宋体" w:cs="宋体"/>
                <w:sz w:val="24"/>
                <w:szCs w:val="24"/>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eastAsia="宋体" w:cs="宋体"/>
                <w:sz w:val="24"/>
                <w:szCs w:val="24"/>
              </w:rPr>
            </w:pPr>
            <w:r>
              <w:rPr>
                <w:rFonts w:ascii="宋体" w:hAnsi="宋体" w:eastAsia="宋体" w:cs="宋体"/>
                <w:sz w:val="24"/>
                <w:szCs w:val="24"/>
              </w:rPr>
              <w:t>804.59</w:t>
            </w:r>
          </w:p>
        </w:tc>
      </w:tr>
      <w:tr>
        <w:tblPrEx>
          <w:tblCellMar>
            <w:top w:w="0" w:type="dxa"/>
            <w:left w:w="0" w:type="dxa"/>
            <w:bottom w:w="0" w:type="dxa"/>
            <w:right w:w="0" w:type="dxa"/>
          </w:tblCellMar>
        </w:tblPrEx>
        <w:trPr>
          <w:trHeight w:val="276"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cs="宋体"/>
                <w:color w:val="000000"/>
                <w:sz w:val="24"/>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其中</w:t>
            </w:r>
            <w:r>
              <w:rPr>
                <w:rFonts w:ascii="宋体" w:cs="宋体"/>
                <w:color w:val="000000"/>
                <w:kern w:val="0"/>
                <w:sz w:val="24"/>
              </w:rPr>
              <w:t>-</w:t>
            </w:r>
            <w:r>
              <w:rPr>
                <w:rFonts w:hint="eastAsia" w:ascii="宋体" w:hAnsi="宋体" w:cs="宋体"/>
                <w:color w:val="000000"/>
                <w:kern w:val="0"/>
                <w:sz w:val="24"/>
              </w:rPr>
              <w:t>财政拨款</w:t>
            </w:r>
            <w:r>
              <w:rPr>
                <w:rFonts w:ascii="宋体" w:hAnsi="宋体" w:cs="宋体"/>
                <w:color w:val="000000"/>
                <w:kern w:val="0"/>
                <w:sz w:val="24"/>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ascii="宋体" w:hAnsi="宋体" w:eastAsia="宋体" w:cs="宋体"/>
                <w:sz w:val="24"/>
                <w:szCs w:val="24"/>
              </w:rPr>
              <w:t>804.59</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其中</w:t>
            </w:r>
            <w:r>
              <w:rPr>
                <w:rFonts w:ascii="宋体" w:cs="宋体"/>
                <w:color w:val="000000"/>
                <w:kern w:val="0"/>
                <w:sz w:val="24"/>
              </w:rPr>
              <w:t>-</w:t>
            </w:r>
            <w:r>
              <w:rPr>
                <w:rFonts w:hint="eastAsia" w:ascii="宋体" w:hAnsi="宋体" w:cs="宋体"/>
                <w:color w:val="000000"/>
                <w:kern w:val="0"/>
                <w:sz w:val="24"/>
              </w:rPr>
              <w:t>财政拨款</w:t>
            </w:r>
            <w:r>
              <w:rPr>
                <w:rFonts w:ascii="宋体" w:hAnsi="宋体" w:cs="宋体"/>
                <w:color w:val="000000"/>
                <w:kern w:val="0"/>
                <w:sz w:val="24"/>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ascii="宋体" w:hAnsi="宋体" w:eastAsia="宋体" w:cs="宋体"/>
                <w:sz w:val="24"/>
                <w:szCs w:val="24"/>
              </w:rPr>
              <w:t>804.59</w:t>
            </w:r>
          </w:p>
        </w:tc>
      </w:tr>
      <w:tr>
        <w:tblPrEx>
          <w:tblCellMar>
            <w:top w:w="0" w:type="dxa"/>
            <w:left w:w="0" w:type="dxa"/>
            <w:bottom w:w="0" w:type="dxa"/>
            <w:right w:w="0" w:type="dxa"/>
          </w:tblCellMar>
        </w:tblPrEx>
        <w:trPr>
          <w:trHeight w:val="1511"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cs="宋体"/>
                <w:color w:val="000000"/>
                <w:sz w:val="24"/>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其它资金</w:t>
            </w:r>
            <w:r>
              <w:rPr>
                <w:rFonts w:ascii="宋体" w:hAnsi="宋体" w:cs="宋体"/>
                <w:color w:val="000000"/>
                <w:kern w:val="0"/>
                <w:sz w:val="24"/>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ascii="宋体" w:cs="宋体"/>
                <w:color w:val="000000"/>
                <w:kern w:val="0"/>
                <w:sz w:val="24"/>
              </w:rPr>
              <w:t>0</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其它资金</w:t>
            </w:r>
            <w:r>
              <w:rPr>
                <w:rFonts w:ascii="宋体" w:hAnsi="宋体" w:cs="宋体"/>
                <w:color w:val="000000"/>
                <w:kern w:val="0"/>
                <w:sz w:val="24"/>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rPr>
                <w:rFonts w:hint="eastAsia" w:ascii="宋体" w:eastAsia="宋体" w:cs="宋体"/>
                <w:color w:val="000000"/>
                <w:sz w:val="24"/>
                <w:lang w:val="en-US" w:eastAsia="zh-CN"/>
              </w:rPr>
            </w:pPr>
            <w:r>
              <w:rPr>
                <w:rFonts w:hint="eastAsia" w:ascii="宋体" w:cs="宋体"/>
                <w:color w:val="000000"/>
                <w:sz w:val="24"/>
                <w:lang w:val="en-US" w:eastAsia="zh-CN"/>
              </w:rPr>
              <w:t>0</w:t>
            </w:r>
          </w:p>
        </w:tc>
      </w:tr>
      <w:tr>
        <w:tblPrEx>
          <w:tblCellMar>
            <w:top w:w="0" w:type="dxa"/>
            <w:left w:w="0" w:type="dxa"/>
            <w:bottom w:w="0" w:type="dxa"/>
            <w:right w:w="0" w:type="dxa"/>
          </w:tblCellMar>
        </w:tblPrEx>
        <w:trPr>
          <w:trHeight w:val="276" w:hRule="atLeast"/>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年度目标完成情况</w:t>
            </w:r>
          </w:p>
        </w:tc>
        <w:tc>
          <w:tcPr>
            <w:tcW w:w="4784"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预期目标</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实际完成目标</w:t>
            </w:r>
          </w:p>
        </w:tc>
      </w:tr>
      <w:tr>
        <w:tblPrEx>
          <w:tblCellMar>
            <w:top w:w="0" w:type="dxa"/>
            <w:left w:w="0" w:type="dxa"/>
            <w:bottom w:w="0" w:type="dxa"/>
            <w:right w:w="0" w:type="dxa"/>
          </w:tblCellMar>
        </w:tblPrEx>
        <w:trPr>
          <w:trHeight w:val="1159"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cs="宋体"/>
                <w:color w:val="000000"/>
                <w:sz w:val="24"/>
              </w:rPr>
            </w:pPr>
          </w:p>
        </w:tc>
        <w:tc>
          <w:tcPr>
            <w:tcW w:w="4784"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hd w:val="clear" w:color="auto" w:fill="FFFFFF"/>
              <w:spacing w:line="480" w:lineRule="atLeast"/>
              <w:ind w:firstLine="315" w:firstLineChars="150"/>
              <w:jc w:val="left"/>
            </w:pPr>
            <w:r>
              <w:rPr>
                <w:rFonts w:hint="eastAsia"/>
              </w:rPr>
              <w:t>为规范市直公办学校教育质量提升考核工作，激发学校管理活力，提高教职工工作积极性，推动学校办学水平加快提升。</w:t>
            </w:r>
          </w:p>
          <w:p>
            <w:pPr>
              <w:widowControl/>
              <w:jc w:val="center"/>
              <w:textAlignment w:val="center"/>
              <w:rPr>
                <w:rFonts w:ascii="宋体" w:cs="宋体"/>
                <w:color w:val="000000"/>
                <w:sz w:val="24"/>
              </w:rPr>
            </w:pP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ind w:firstLine="420" w:firstLineChars="200"/>
              <w:rPr>
                <w:rFonts w:ascii="楷体_GB2312" w:eastAsia="楷体_GB2312"/>
              </w:rPr>
            </w:pPr>
            <w:r>
              <w:rPr>
                <w:rFonts w:hint="eastAsia" w:ascii="仿宋_GB2312" w:hAnsi="宋体" w:cs="宋体"/>
                <w:color w:val="000000"/>
                <w:kern w:val="0"/>
              </w:rPr>
              <w:t>在学校党总支的领导下，各项任务顺利推进，并经学校自评，达到预期目的。</w:t>
            </w:r>
          </w:p>
          <w:p>
            <w:pPr>
              <w:widowControl/>
              <w:jc w:val="center"/>
              <w:textAlignment w:val="center"/>
              <w:rPr>
                <w:rFonts w:ascii="宋体" w:cs="宋体"/>
                <w:color w:val="000000"/>
                <w:sz w:val="24"/>
              </w:rPr>
            </w:pPr>
          </w:p>
        </w:tc>
      </w:tr>
      <w:tr>
        <w:tblPrEx>
          <w:tblCellMar>
            <w:top w:w="0" w:type="dxa"/>
            <w:left w:w="0" w:type="dxa"/>
            <w:bottom w:w="0" w:type="dxa"/>
            <w:right w:w="0" w:type="dxa"/>
          </w:tblCellMar>
        </w:tblPrEx>
        <w:trPr>
          <w:trHeight w:val="1042" w:hRule="atLeast"/>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sz w:val="24"/>
              </w:rPr>
              <w:t>绩效指标完成情况</w:t>
            </w: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一级指标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二级指标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三级指标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预期指标值</w:t>
            </w:r>
            <w:r>
              <w:rPr>
                <w:rFonts w:ascii="宋体" w:hAnsi="宋体" w:cs="宋体"/>
                <w:color w:val="000000"/>
                <w:kern w:val="0"/>
                <w:sz w:val="24"/>
              </w:rPr>
              <w:t>(</w:t>
            </w:r>
            <w:r>
              <w:rPr>
                <w:rFonts w:hint="eastAsia" w:ascii="宋体" w:hAnsi="宋体" w:cs="宋体"/>
                <w:color w:val="000000"/>
                <w:kern w:val="0"/>
                <w:sz w:val="24"/>
              </w:rPr>
              <w:t>包含数字及文字描述</w:t>
            </w:r>
            <w:r>
              <w:rPr>
                <w:rFonts w:ascii="宋体" w:hAnsi="宋体" w:cs="宋体"/>
                <w:color w:val="000000"/>
                <w:kern w:val="0"/>
                <w:sz w:val="24"/>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实际完成指标值</w:t>
            </w:r>
            <w:r>
              <w:rPr>
                <w:rFonts w:ascii="宋体" w:hAnsi="宋体" w:cs="宋体"/>
                <w:color w:val="000000"/>
                <w:kern w:val="0"/>
                <w:sz w:val="24"/>
              </w:rPr>
              <w:t>(</w:t>
            </w:r>
            <w:r>
              <w:rPr>
                <w:rFonts w:hint="eastAsia" w:ascii="宋体" w:hAnsi="宋体" w:cs="宋体"/>
                <w:color w:val="000000"/>
                <w:kern w:val="0"/>
                <w:sz w:val="24"/>
              </w:rPr>
              <w:t>包含数字及文字描述</w:t>
            </w:r>
            <w:r>
              <w:rPr>
                <w:rFonts w:ascii="宋体" w:hAnsi="宋体" w:cs="宋体"/>
                <w:color w:val="000000"/>
                <w:kern w:val="0"/>
                <w:sz w:val="24"/>
              </w:rPr>
              <w:t>)</w:t>
            </w:r>
          </w:p>
        </w:tc>
      </w:tr>
      <w:tr>
        <w:tblPrEx>
          <w:tblCellMar>
            <w:top w:w="0" w:type="dxa"/>
            <w:left w:w="0" w:type="dxa"/>
            <w:bottom w:w="0" w:type="dxa"/>
            <w:right w:w="0" w:type="dxa"/>
          </w:tblCellMar>
        </w:tblPrEx>
        <w:trPr>
          <w:trHeight w:val="953"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质量指标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资金使用标准达标率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拨付资金</w:t>
            </w:r>
            <w:r>
              <w:rPr>
                <w:rFonts w:ascii="宋体" w:hAnsi="宋体" w:eastAsia="宋体" w:cs="宋体"/>
                <w:sz w:val="24"/>
                <w:szCs w:val="24"/>
              </w:rPr>
              <w:t>804.59</w:t>
            </w:r>
            <w:r>
              <w:rPr>
                <w:rFonts w:hint="eastAsia" w:ascii="宋体" w:cs="宋体"/>
                <w:color w:val="000000"/>
                <w:sz w:val="24"/>
              </w:rPr>
              <w:t>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ascii="宋体" w:hAnsi="宋体" w:eastAsia="宋体" w:cs="宋体"/>
                <w:sz w:val="24"/>
                <w:szCs w:val="24"/>
              </w:rPr>
              <w:t>804.59</w:t>
            </w:r>
            <w:r>
              <w:rPr>
                <w:rFonts w:hint="eastAsia" w:ascii="宋体" w:cs="宋体"/>
                <w:color w:val="000000"/>
                <w:sz w:val="24"/>
              </w:rPr>
              <w:t>万资金按时拨付完成并且已全部支付完成</w:t>
            </w:r>
          </w:p>
        </w:tc>
      </w:tr>
      <w:tr>
        <w:tblPrEx>
          <w:tblCellMar>
            <w:top w:w="0" w:type="dxa"/>
            <w:left w:w="0" w:type="dxa"/>
            <w:bottom w:w="0" w:type="dxa"/>
            <w:right w:w="0" w:type="dxa"/>
          </w:tblCellMar>
        </w:tblPrEx>
        <w:trPr>
          <w:trHeight w:val="1042"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效益指标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社会效益指标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textAlignment w:val="center"/>
              <w:rPr>
                <w:rFonts w:ascii="宋体" w:cs="宋体"/>
                <w:color w:val="000000"/>
                <w:sz w:val="24"/>
              </w:rPr>
            </w:pPr>
            <w:r>
              <w:rPr>
                <w:rFonts w:hint="eastAsia" w:ascii="宋体" w:cs="宋体"/>
                <w:color w:val="000000"/>
                <w:sz w:val="24"/>
              </w:rPr>
              <w:t>提高学校教育质量，激发学校管理活力，打造标准高规格公办学校</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资金拨付及时，学校按时按量完成任务，效率达95%以上</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各项任务顺利推进，达到预期目的，100%完成任务</w:t>
            </w:r>
          </w:p>
        </w:tc>
      </w:tr>
      <w:tr>
        <w:tblPrEx>
          <w:tblCellMar>
            <w:top w:w="0" w:type="dxa"/>
            <w:left w:w="0" w:type="dxa"/>
            <w:bottom w:w="0" w:type="dxa"/>
            <w:right w:w="0" w:type="dxa"/>
          </w:tblCellMar>
        </w:tblPrEx>
        <w:trPr>
          <w:trHeight w:val="1050"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满意度指标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可持续影响指标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教师对学校的满意度</w:t>
            </w:r>
          </w:p>
          <w:p>
            <w:pPr>
              <w:widowControl/>
              <w:jc w:val="center"/>
              <w:textAlignment w:val="center"/>
              <w:rPr>
                <w:rFonts w:ascii="宋体" w:cs="宋体"/>
                <w:color w:val="000000"/>
                <w:sz w:val="24"/>
              </w:rPr>
            </w:pPr>
            <w:r>
              <w:rPr>
                <w:rFonts w:hint="eastAsia" w:ascii="宋体" w:cs="宋体"/>
                <w:color w:val="000000"/>
                <w:sz w:val="24"/>
              </w:rPr>
              <w:t>社会对学校的满意度</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提高教师工作积极</w:t>
            </w:r>
          </w:p>
          <w:p>
            <w:pPr>
              <w:widowControl/>
              <w:jc w:val="center"/>
              <w:textAlignment w:val="center"/>
              <w:rPr>
                <w:rFonts w:ascii="宋体" w:cs="宋体"/>
                <w:color w:val="000000"/>
                <w:sz w:val="24"/>
              </w:rPr>
            </w:pPr>
            <w:r>
              <w:rPr>
                <w:rFonts w:hint="eastAsia" w:ascii="宋体" w:cs="宋体"/>
                <w:color w:val="000000"/>
                <w:sz w:val="24"/>
              </w:rPr>
              <w:t>满意度达95%</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保障了学校办学水平的提高，树立良好的教学形象，满意度达95%</w:t>
            </w:r>
          </w:p>
        </w:tc>
      </w:tr>
    </w:tbl>
    <w:p>
      <w:pPr>
        <w:spacing w:line="580" w:lineRule="exact"/>
        <w:rPr>
          <w:rFonts w:hint="eastAsia" w:ascii="楷体_GB2312" w:hAnsi="楷体_GB2312" w:eastAsia="楷体_GB2312" w:cs="楷体_GB2312"/>
          <w:sz w:val="32"/>
          <w:szCs w:val="32"/>
        </w:rPr>
      </w:pPr>
    </w:p>
    <w:p>
      <w:pPr>
        <w:spacing w:line="580" w:lineRule="exact"/>
        <w:ind w:left="630"/>
        <w:rPr>
          <w:rFonts w:hint="eastAsia" w:ascii="楷体_GB2312" w:hAnsi="楷体_GB2312" w:eastAsia="楷体_GB2312" w:cs="楷体_GB2312"/>
          <w:sz w:val="32"/>
          <w:szCs w:val="32"/>
        </w:rPr>
      </w:pPr>
    </w:p>
    <w:tbl>
      <w:tblPr>
        <w:tblStyle w:val="12"/>
        <w:tblpPr w:leftFromText="180" w:rightFromText="180" w:vertAnchor="text" w:horzAnchor="page" w:tblpXSpec="center" w:tblpY="423"/>
        <w:tblOverlap w:val="never"/>
        <w:tblW w:w="9960" w:type="dxa"/>
        <w:tblInd w:w="0" w:type="dxa"/>
        <w:tblLayout w:type="fixed"/>
        <w:tblCellMar>
          <w:top w:w="0" w:type="dxa"/>
          <w:left w:w="0" w:type="dxa"/>
          <w:bottom w:w="0" w:type="dxa"/>
          <w:right w:w="0" w:type="dxa"/>
        </w:tblCellMar>
      </w:tblPr>
      <w:tblGrid>
        <w:gridCol w:w="390"/>
        <w:gridCol w:w="1367"/>
        <w:gridCol w:w="1025"/>
        <w:gridCol w:w="2392"/>
        <w:gridCol w:w="2394"/>
        <w:gridCol w:w="2392"/>
      </w:tblGrid>
      <w:tr>
        <w:tblPrEx>
          <w:tblCellMar>
            <w:top w:w="0" w:type="dxa"/>
            <w:left w:w="0" w:type="dxa"/>
            <w:bottom w:w="0" w:type="dxa"/>
            <w:right w:w="0" w:type="dxa"/>
          </w:tblCellMar>
        </w:tblPrEx>
        <w:trPr>
          <w:trHeight w:val="1034" w:hRule="atLeast"/>
        </w:trPr>
        <w:tc>
          <w:tcPr>
            <w:tcW w:w="9960" w:type="dxa"/>
            <w:gridSpan w:val="6"/>
            <w:tcMar>
              <w:top w:w="15" w:type="dxa"/>
              <w:left w:w="15" w:type="dxa"/>
              <w:bottom w:w="0" w:type="dxa"/>
              <w:right w:w="15" w:type="dxa"/>
            </w:tcMar>
            <w:vAlign w:val="center"/>
          </w:tcPr>
          <w:p>
            <w:pPr>
              <w:pStyle w:val="23"/>
              <w:widowControl/>
              <w:ind w:left="3594" w:leftChars="1197" w:hanging="1080" w:hangingChars="300"/>
              <w:textAlignment w:val="center"/>
              <w:rPr>
                <w:rFonts w:ascii="宋体" w:cs="宋体"/>
                <w:color w:val="000000"/>
                <w:sz w:val="36"/>
                <w:szCs w:val="36"/>
              </w:rPr>
            </w:pPr>
            <w:r>
              <w:rPr>
                <w:rFonts w:hint="eastAsia" w:ascii="黑体" w:hAnsi="黑体" w:eastAsia="黑体" w:cs="宋体"/>
                <w:bCs/>
                <w:color w:val="000000"/>
                <w:kern w:val="0"/>
                <w:sz w:val="36"/>
                <w:szCs w:val="36"/>
              </w:rPr>
              <w:t>项目支出绩效目标完成情况表</w:t>
            </w:r>
            <w:r>
              <w:rPr>
                <w:rFonts w:ascii="宋体" w:cs="宋体"/>
                <w:b/>
                <w:bCs/>
                <w:color w:val="000000"/>
                <w:kern w:val="0"/>
                <w:sz w:val="36"/>
                <w:szCs w:val="36"/>
              </w:rPr>
              <w:br w:type="textWrapping"/>
            </w:r>
            <w:r>
              <w:rPr>
                <w:rFonts w:ascii="宋体" w:hAnsi="宋体" w:cs="宋体"/>
                <w:color w:val="000000"/>
                <w:kern w:val="0"/>
                <w:sz w:val="36"/>
                <w:szCs w:val="36"/>
              </w:rPr>
              <w:t>(201</w:t>
            </w:r>
            <w:r>
              <w:rPr>
                <w:rFonts w:hint="eastAsia" w:ascii="宋体" w:hAnsi="宋体" w:cs="宋体"/>
                <w:color w:val="000000"/>
                <w:kern w:val="0"/>
                <w:sz w:val="36"/>
                <w:szCs w:val="36"/>
                <w:lang w:val="en-US" w:eastAsia="zh-CN"/>
              </w:rPr>
              <w:t>9</w:t>
            </w:r>
            <w:r>
              <w:rPr>
                <w:rFonts w:hint="eastAsia" w:ascii="宋体" w:hAnsi="宋体" w:cs="宋体"/>
                <w:color w:val="000000"/>
                <w:kern w:val="0"/>
                <w:sz w:val="36"/>
                <w:szCs w:val="36"/>
              </w:rPr>
              <w:t>年度</w:t>
            </w:r>
            <w:r>
              <w:rPr>
                <w:rFonts w:ascii="宋体" w:hAnsi="宋体" w:cs="宋体"/>
                <w:color w:val="000000"/>
                <w:kern w:val="0"/>
                <w:sz w:val="36"/>
                <w:szCs w:val="36"/>
              </w:rPr>
              <w:t>)</w:t>
            </w:r>
          </w:p>
        </w:tc>
      </w:tr>
      <w:tr>
        <w:tblPrEx>
          <w:tblCellMar>
            <w:top w:w="0" w:type="dxa"/>
            <w:left w:w="0" w:type="dxa"/>
            <w:bottom w:w="0" w:type="dxa"/>
            <w:right w:w="0" w:type="dxa"/>
          </w:tblCellMar>
        </w:tblPrEx>
        <w:trPr>
          <w:trHeight w:val="276" w:hRule="atLeast"/>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项目名称</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rPr>
              <w:t>地方教育附加安排教育专项资金</w:t>
            </w:r>
          </w:p>
        </w:tc>
      </w:tr>
      <w:tr>
        <w:tblPrEx>
          <w:tblCellMar>
            <w:top w:w="0" w:type="dxa"/>
            <w:left w:w="0" w:type="dxa"/>
            <w:bottom w:w="0" w:type="dxa"/>
            <w:right w:w="0" w:type="dxa"/>
          </w:tblCellMar>
        </w:tblPrEx>
        <w:trPr>
          <w:trHeight w:val="276" w:hRule="atLeast"/>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预算单位</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ind w:firstLine="2880" w:firstLineChars="1200"/>
              <w:jc w:val="both"/>
              <w:textAlignment w:val="center"/>
              <w:rPr>
                <w:rFonts w:ascii="宋体" w:cs="宋体"/>
                <w:color w:val="000000"/>
                <w:sz w:val="24"/>
              </w:rPr>
            </w:pPr>
            <w:r>
              <w:rPr>
                <w:rFonts w:hint="eastAsia" w:ascii="宋体" w:cs="宋体"/>
                <w:color w:val="000000"/>
                <w:sz w:val="24"/>
              </w:rPr>
              <w:t>遂宁</w:t>
            </w:r>
            <w:r>
              <w:rPr>
                <w:rFonts w:hint="eastAsia" w:ascii="宋体" w:cs="宋体"/>
                <w:color w:val="000000"/>
                <w:sz w:val="24"/>
                <w:lang w:eastAsia="zh-CN"/>
              </w:rPr>
              <w:t>二</w:t>
            </w:r>
            <w:r>
              <w:rPr>
                <w:rFonts w:hint="eastAsia" w:ascii="宋体" w:cs="宋体"/>
                <w:color w:val="000000"/>
                <w:sz w:val="24"/>
              </w:rPr>
              <w:t>中</w:t>
            </w:r>
          </w:p>
        </w:tc>
      </w:tr>
      <w:tr>
        <w:tblPrEx>
          <w:tblCellMar>
            <w:top w:w="0" w:type="dxa"/>
            <w:left w:w="0" w:type="dxa"/>
            <w:bottom w:w="0" w:type="dxa"/>
            <w:right w:w="0" w:type="dxa"/>
          </w:tblCellMar>
        </w:tblPrEx>
        <w:trPr>
          <w:trHeight w:val="276" w:hRule="atLeast"/>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预算执行情况</w:t>
            </w:r>
            <w:r>
              <w:rPr>
                <w:rFonts w:ascii="宋体" w:hAnsi="宋体" w:cs="宋体"/>
                <w:color w:val="000000"/>
                <w:kern w:val="0"/>
                <w:sz w:val="24"/>
              </w:rPr>
              <w:t>(</w:t>
            </w:r>
            <w:r>
              <w:rPr>
                <w:rFonts w:hint="eastAsia" w:ascii="宋体" w:hAnsi="宋体" w:cs="宋体"/>
                <w:color w:val="000000"/>
                <w:kern w:val="0"/>
                <w:sz w:val="24"/>
              </w:rPr>
              <w:t>万元</w:t>
            </w:r>
            <w:r>
              <w:rPr>
                <w:rFonts w:ascii="宋体" w:hAnsi="宋体" w:cs="宋体"/>
                <w:color w:val="000000"/>
                <w:kern w:val="0"/>
                <w:sz w:val="24"/>
              </w:rPr>
              <w:t>)</w:t>
            </w: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预算数</w:t>
            </w:r>
            <w:r>
              <w:rPr>
                <w:rFonts w:ascii="宋体" w:hAnsi="宋体" w:cs="宋体"/>
                <w:color w:val="000000"/>
                <w:kern w:val="0"/>
                <w:sz w:val="24"/>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default" w:ascii="宋体" w:eastAsia="宋体" w:cs="宋体"/>
                <w:color w:val="000000"/>
                <w:sz w:val="24"/>
                <w:lang w:val="en-US" w:eastAsia="zh-CN"/>
              </w:rPr>
            </w:pPr>
            <w:r>
              <w:rPr>
                <w:rFonts w:hint="eastAsia" w:ascii="宋体" w:cs="宋体"/>
                <w:color w:val="000000"/>
                <w:sz w:val="24"/>
                <w:lang w:val="en-US" w:eastAsia="zh-CN"/>
              </w:rPr>
              <w:t>209.78</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执行数</w:t>
            </w:r>
            <w:r>
              <w:rPr>
                <w:rFonts w:ascii="宋体" w:hAnsi="宋体" w:cs="宋体"/>
                <w:color w:val="000000"/>
                <w:kern w:val="0"/>
                <w:sz w:val="24"/>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ind w:firstLine="720" w:firstLineChars="300"/>
              <w:jc w:val="both"/>
              <w:textAlignment w:val="center"/>
              <w:rPr>
                <w:rFonts w:hint="default" w:ascii="宋体" w:eastAsia="宋体" w:cs="宋体"/>
                <w:color w:val="000000"/>
                <w:sz w:val="24"/>
                <w:lang w:val="en-US" w:eastAsia="zh-CN"/>
              </w:rPr>
            </w:pPr>
            <w:r>
              <w:rPr>
                <w:rFonts w:hint="eastAsia" w:ascii="宋体" w:cs="宋体"/>
                <w:color w:val="000000"/>
                <w:sz w:val="24"/>
                <w:lang w:val="en-US" w:eastAsia="zh-CN"/>
              </w:rPr>
              <w:t>209.78</w:t>
            </w:r>
          </w:p>
        </w:tc>
      </w:tr>
      <w:tr>
        <w:tblPrEx>
          <w:tblCellMar>
            <w:top w:w="0" w:type="dxa"/>
            <w:left w:w="0" w:type="dxa"/>
            <w:bottom w:w="0" w:type="dxa"/>
            <w:right w:w="0" w:type="dxa"/>
          </w:tblCellMar>
        </w:tblPrEx>
        <w:trPr>
          <w:trHeight w:val="276"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cs="宋体"/>
                <w:color w:val="000000"/>
                <w:sz w:val="24"/>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其中</w:t>
            </w:r>
            <w:r>
              <w:rPr>
                <w:rFonts w:ascii="宋体" w:cs="宋体"/>
                <w:color w:val="000000"/>
                <w:kern w:val="0"/>
                <w:sz w:val="24"/>
              </w:rPr>
              <w:t>-</w:t>
            </w:r>
            <w:r>
              <w:rPr>
                <w:rFonts w:hint="eastAsia" w:ascii="宋体" w:hAnsi="宋体" w:cs="宋体"/>
                <w:color w:val="000000"/>
                <w:kern w:val="0"/>
                <w:sz w:val="24"/>
              </w:rPr>
              <w:t>财政拨款</w:t>
            </w:r>
            <w:r>
              <w:rPr>
                <w:rFonts w:ascii="宋体" w:hAnsi="宋体" w:cs="宋体"/>
                <w:color w:val="000000"/>
                <w:kern w:val="0"/>
                <w:sz w:val="24"/>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default" w:ascii="宋体" w:eastAsia="宋体" w:cs="宋体"/>
                <w:color w:val="000000"/>
                <w:sz w:val="24"/>
                <w:lang w:val="en-US" w:eastAsia="zh-CN"/>
              </w:rPr>
            </w:pPr>
            <w:r>
              <w:rPr>
                <w:rFonts w:hint="eastAsia" w:ascii="宋体" w:cs="宋体"/>
                <w:color w:val="000000"/>
                <w:sz w:val="24"/>
                <w:lang w:val="en-US" w:eastAsia="zh-CN"/>
              </w:rPr>
              <w:t>209.78</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其中</w:t>
            </w:r>
            <w:r>
              <w:rPr>
                <w:rFonts w:ascii="宋体" w:cs="宋体"/>
                <w:color w:val="000000"/>
                <w:kern w:val="0"/>
                <w:sz w:val="24"/>
              </w:rPr>
              <w:t>-</w:t>
            </w:r>
            <w:r>
              <w:rPr>
                <w:rFonts w:hint="eastAsia" w:ascii="宋体" w:hAnsi="宋体" w:cs="宋体"/>
                <w:color w:val="000000"/>
                <w:kern w:val="0"/>
                <w:sz w:val="24"/>
              </w:rPr>
              <w:t>财政拨款</w:t>
            </w:r>
            <w:r>
              <w:rPr>
                <w:rFonts w:ascii="宋体" w:hAnsi="宋体" w:cs="宋体"/>
                <w:color w:val="000000"/>
                <w:kern w:val="0"/>
                <w:sz w:val="24"/>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ind w:firstLine="720" w:firstLineChars="300"/>
              <w:jc w:val="both"/>
              <w:textAlignment w:val="center"/>
              <w:rPr>
                <w:rFonts w:hint="default" w:ascii="宋体" w:eastAsia="宋体" w:cs="宋体"/>
                <w:color w:val="000000"/>
                <w:sz w:val="24"/>
                <w:lang w:val="en-US" w:eastAsia="zh-CN"/>
              </w:rPr>
            </w:pPr>
            <w:r>
              <w:rPr>
                <w:rFonts w:hint="eastAsia" w:ascii="宋体" w:cs="宋体"/>
                <w:color w:val="000000"/>
                <w:sz w:val="24"/>
                <w:lang w:val="en-US" w:eastAsia="zh-CN"/>
              </w:rPr>
              <w:t>209.78</w:t>
            </w:r>
          </w:p>
        </w:tc>
      </w:tr>
      <w:tr>
        <w:tblPrEx>
          <w:tblCellMar>
            <w:top w:w="0" w:type="dxa"/>
            <w:left w:w="0" w:type="dxa"/>
            <w:bottom w:w="0" w:type="dxa"/>
            <w:right w:w="0" w:type="dxa"/>
          </w:tblCellMar>
        </w:tblPrEx>
        <w:trPr>
          <w:trHeight w:val="1511"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cs="宋体"/>
                <w:color w:val="000000"/>
                <w:sz w:val="24"/>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其它资金</w:t>
            </w:r>
            <w:r>
              <w:rPr>
                <w:rFonts w:ascii="宋体" w:hAnsi="宋体" w:cs="宋体"/>
                <w:color w:val="000000"/>
                <w:kern w:val="0"/>
                <w:sz w:val="24"/>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ascii="宋体" w:cs="宋体"/>
                <w:color w:val="000000"/>
                <w:kern w:val="0"/>
                <w:sz w:val="24"/>
              </w:rPr>
              <w:t>0</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其它资金</w:t>
            </w:r>
            <w:r>
              <w:rPr>
                <w:rFonts w:ascii="宋体" w:hAnsi="宋体" w:cs="宋体"/>
                <w:color w:val="000000"/>
                <w:kern w:val="0"/>
                <w:sz w:val="24"/>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rPr>
                <w:rFonts w:hint="eastAsia" w:ascii="宋体" w:eastAsia="宋体" w:cs="宋体"/>
                <w:color w:val="000000"/>
                <w:sz w:val="24"/>
                <w:lang w:val="en-US" w:eastAsia="zh-CN"/>
              </w:rPr>
            </w:pPr>
            <w:r>
              <w:rPr>
                <w:rFonts w:hint="eastAsia" w:ascii="宋体" w:cs="宋体"/>
                <w:color w:val="000000"/>
                <w:sz w:val="24"/>
                <w:lang w:val="en-US" w:eastAsia="zh-CN"/>
              </w:rPr>
              <w:t>0</w:t>
            </w:r>
          </w:p>
        </w:tc>
      </w:tr>
      <w:tr>
        <w:tblPrEx>
          <w:tblCellMar>
            <w:top w:w="0" w:type="dxa"/>
            <w:left w:w="0" w:type="dxa"/>
            <w:bottom w:w="0" w:type="dxa"/>
            <w:right w:w="0" w:type="dxa"/>
          </w:tblCellMar>
        </w:tblPrEx>
        <w:trPr>
          <w:trHeight w:val="276" w:hRule="atLeast"/>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年度目标完成情况</w:t>
            </w:r>
          </w:p>
        </w:tc>
        <w:tc>
          <w:tcPr>
            <w:tcW w:w="4784"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预期目标</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实际完成目标</w:t>
            </w:r>
          </w:p>
        </w:tc>
      </w:tr>
      <w:tr>
        <w:tblPrEx>
          <w:tblCellMar>
            <w:top w:w="0" w:type="dxa"/>
            <w:left w:w="0" w:type="dxa"/>
            <w:bottom w:w="0" w:type="dxa"/>
            <w:right w:w="0" w:type="dxa"/>
          </w:tblCellMar>
        </w:tblPrEx>
        <w:trPr>
          <w:trHeight w:val="1159"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cs="宋体"/>
                <w:color w:val="000000"/>
                <w:sz w:val="24"/>
              </w:rPr>
            </w:pPr>
          </w:p>
        </w:tc>
        <w:tc>
          <w:tcPr>
            <w:tcW w:w="4784"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textAlignment w:val="center"/>
              <w:rPr>
                <w:rFonts w:ascii="宋体" w:cs="宋体"/>
                <w:color w:val="000000"/>
                <w:sz w:val="24"/>
              </w:rPr>
            </w:pPr>
            <w:r>
              <w:rPr>
                <w:rFonts w:hint="eastAsia" w:ascii="宋体" w:cs="宋体"/>
                <w:color w:val="000000"/>
                <w:sz w:val="24"/>
                <w:lang w:val="zh-CN"/>
              </w:rPr>
              <w:t>该资金主要用于学校教室及教职工办公区域安装健康照明节能灯。</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宋体" w:eastAsia="宋体" w:cs="宋体"/>
                <w:color w:val="000000"/>
                <w:sz w:val="24"/>
                <w:lang w:eastAsia="zh-CN"/>
              </w:rPr>
            </w:pPr>
            <w:r>
              <w:rPr>
                <w:rFonts w:hint="eastAsia" w:ascii="宋体" w:cs="宋体"/>
                <w:color w:val="000000"/>
                <w:sz w:val="24"/>
              </w:rPr>
              <w:t>按进度已经支付了</w:t>
            </w:r>
            <w:r>
              <w:rPr>
                <w:rFonts w:hint="eastAsia" w:ascii="宋体" w:cs="宋体"/>
                <w:color w:val="000000"/>
                <w:sz w:val="24"/>
                <w:lang w:val="en-US" w:eastAsia="zh-CN"/>
              </w:rPr>
              <w:t>209.78</w:t>
            </w:r>
            <w:r>
              <w:rPr>
                <w:rFonts w:hint="eastAsia" w:ascii="宋体" w:cs="宋体"/>
                <w:color w:val="000000"/>
                <w:sz w:val="24"/>
              </w:rPr>
              <w:t>万元</w:t>
            </w:r>
            <w:r>
              <w:rPr>
                <w:rFonts w:hint="eastAsia" w:ascii="宋体" w:cs="宋体"/>
                <w:color w:val="000000"/>
                <w:sz w:val="24"/>
                <w:lang w:eastAsia="zh-CN"/>
              </w:rPr>
              <w:t>，完成</w:t>
            </w:r>
            <w:r>
              <w:rPr>
                <w:rFonts w:hint="eastAsia" w:ascii="宋体" w:cs="宋体"/>
                <w:color w:val="000000"/>
                <w:sz w:val="24"/>
              </w:rPr>
              <w:t>计划指标</w:t>
            </w:r>
            <w:r>
              <w:rPr>
                <w:rFonts w:hint="eastAsia" w:ascii="宋体" w:cs="宋体"/>
                <w:color w:val="000000"/>
                <w:sz w:val="24"/>
                <w:lang w:val="en-US" w:eastAsia="zh-CN"/>
              </w:rPr>
              <w:t>100</w:t>
            </w:r>
            <w:r>
              <w:rPr>
                <w:rFonts w:hint="eastAsia" w:ascii="宋体" w:cs="宋体"/>
                <w:color w:val="000000"/>
                <w:sz w:val="24"/>
              </w:rPr>
              <w:t>%</w:t>
            </w:r>
          </w:p>
        </w:tc>
      </w:tr>
      <w:tr>
        <w:tblPrEx>
          <w:tblCellMar>
            <w:top w:w="0" w:type="dxa"/>
            <w:left w:w="0" w:type="dxa"/>
            <w:bottom w:w="0" w:type="dxa"/>
            <w:right w:w="0" w:type="dxa"/>
          </w:tblCellMar>
        </w:tblPrEx>
        <w:trPr>
          <w:trHeight w:val="1042" w:hRule="atLeast"/>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sz w:val="24"/>
              </w:rPr>
              <w:t>绩效指标完成情况</w:t>
            </w: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一级指标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二级指标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三级指标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预期指标值</w:t>
            </w:r>
            <w:r>
              <w:rPr>
                <w:rFonts w:ascii="宋体" w:hAnsi="宋体" w:cs="宋体"/>
                <w:color w:val="000000"/>
                <w:kern w:val="0"/>
                <w:sz w:val="24"/>
              </w:rPr>
              <w:t>(</w:t>
            </w:r>
            <w:r>
              <w:rPr>
                <w:rFonts w:hint="eastAsia" w:ascii="宋体" w:hAnsi="宋体" w:cs="宋体"/>
                <w:color w:val="000000"/>
                <w:kern w:val="0"/>
                <w:sz w:val="24"/>
              </w:rPr>
              <w:t>包含数字及文字描述</w:t>
            </w:r>
            <w:r>
              <w:rPr>
                <w:rFonts w:ascii="宋体" w:hAnsi="宋体" w:cs="宋体"/>
                <w:color w:val="000000"/>
                <w:kern w:val="0"/>
                <w:sz w:val="24"/>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实际完成指标值</w:t>
            </w:r>
            <w:r>
              <w:rPr>
                <w:rFonts w:ascii="宋体" w:hAnsi="宋体" w:cs="宋体"/>
                <w:color w:val="000000"/>
                <w:kern w:val="0"/>
                <w:sz w:val="24"/>
              </w:rPr>
              <w:t>(</w:t>
            </w:r>
            <w:r>
              <w:rPr>
                <w:rFonts w:hint="eastAsia" w:ascii="宋体" w:hAnsi="宋体" w:cs="宋体"/>
                <w:color w:val="000000"/>
                <w:kern w:val="0"/>
                <w:sz w:val="24"/>
              </w:rPr>
              <w:t>包含数字及文字描述</w:t>
            </w:r>
            <w:r>
              <w:rPr>
                <w:rFonts w:ascii="宋体" w:hAnsi="宋体" w:cs="宋体"/>
                <w:color w:val="000000"/>
                <w:kern w:val="0"/>
                <w:sz w:val="24"/>
              </w:rPr>
              <w:t>)</w:t>
            </w:r>
          </w:p>
        </w:tc>
      </w:tr>
      <w:tr>
        <w:tblPrEx>
          <w:tblCellMar>
            <w:top w:w="0" w:type="dxa"/>
            <w:left w:w="0" w:type="dxa"/>
            <w:bottom w:w="0" w:type="dxa"/>
            <w:right w:w="0" w:type="dxa"/>
          </w:tblCellMar>
        </w:tblPrEx>
        <w:trPr>
          <w:trHeight w:val="953"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质量指标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资金使用标准达标率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拨付资金</w:t>
            </w:r>
            <w:r>
              <w:rPr>
                <w:rFonts w:hint="eastAsia" w:ascii="宋体" w:cs="宋体"/>
                <w:color w:val="000000"/>
                <w:sz w:val="24"/>
                <w:lang w:val="en-US" w:eastAsia="zh-CN"/>
              </w:rPr>
              <w:t>209.78</w:t>
            </w:r>
            <w:r>
              <w:rPr>
                <w:rFonts w:hint="eastAsia" w:ascii="宋体" w:cs="宋体"/>
                <w:color w:val="000000"/>
                <w:sz w:val="24"/>
              </w:rPr>
              <w:t>万元</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宋体" w:eastAsia="宋体" w:cs="宋体"/>
                <w:color w:val="000000"/>
                <w:sz w:val="24"/>
                <w:lang w:val="en-US" w:eastAsia="zh-CN"/>
              </w:rPr>
            </w:pPr>
            <w:r>
              <w:rPr>
                <w:rFonts w:hint="eastAsia" w:ascii="宋体" w:cs="宋体"/>
                <w:color w:val="000000"/>
                <w:sz w:val="24"/>
              </w:rPr>
              <w:t>拨付资金到位，目前支付</w:t>
            </w:r>
            <w:r>
              <w:rPr>
                <w:rFonts w:hint="eastAsia" w:ascii="宋体" w:cs="宋体"/>
                <w:color w:val="000000"/>
                <w:sz w:val="24"/>
                <w:lang w:val="en-US" w:eastAsia="zh-CN"/>
              </w:rPr>
              <w:t>209.78</w:t>
            </w:r>
            <w:r>
              <w:rPr>
                <w:rFonts w:hint="eastAsia" w:ascii="宋体" w:cs="宋体"/>
                <w:color w:val="000000"/>
                <w:sz w:val="24"/>
              </w:rPr>
              <w:t>万元</w:t>
            </w:r>
          </w:p>
        </w:tc>
      </w:tr>
      <w:tr>
        <w:tblPrEx>
          <w:tblCellMar>
            <w:top w:w="0" w:type="dxa"/>
            <w:left w:w="0" w:type="dxa"/>
            <w:bottom w:w="0" w:type="dxa"/>
            <w:right w:w="0" w:type="dxa"/>
          </w:tblCellMar>
        </w:tblPrEx>
        <w:trPr>
          <w:trHeight w:val="1042"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效益指标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社会效益指标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hd w:val="clear" w:color="auto" w:fill="FFFFFF"/>
              <w:spacing w:line="480" w:lineRule="atLeast"/>
              <w:jc w:val="left"/>
            </w:pPr>
            <w:r>
              <w:rPr>
                <w:rFonts w:hint="eastAsia" w:ascii="宋体" w:cs="宋体"/>
                <w:color w:val="000000"/>
                <w:sz w:val="24"/>
              </w:rPr>
              <w:t>完善学校硬件设备，提高学校教育环境水平，保障学校高水平发展</w:t>
            </w:r>
            <w:r>
              <w:rPr>
                <w:rFonts w:hint="eastAsia"/>
              </w:rPr>
              <w:t>。</w:t>
            </w:r>
          </w:p>
          <w:p>
            <w:pPr>
              <w:widowControl/>
              <w:jc w:val="center"/>
              <w:textAlignment w:val="center"/>
              <w:rPr>
                <w:rFonts w:ascii="宋体" w:cs="宋体"/>
                <w:color w:val="000000"/>
                <w:sz w:val="24"/>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资金拨付及时，学校按时按量完成任务，效率达95%以上</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各项任务顺利推进，达到预期目的。</w:t>
            </w:r>
          </w:p>
        </w:tc>
      </w:tr>
      <w:tr>
        <w:tblPrEx>
          <w:tblCellMar>
            <w:top w:w="0" w:type="dxa"/>
            <w:left w:w="0" w:type="dxa"/>
            <w:bottom w:w="0" w:type="dxa"/>
            <w:right w:w="0" w:type="dxa"/>
          </w:tblCellMar>
        </w:tblPrEx>
        <w:trPr>
          <w:trHeight w:val="1050"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满意度指标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可持续性影响指标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教师对学校的满意度</w:t>
            </w:r>
          </w:p>
          <w:p>
            <w:pPr>
              <w:widowControl/>
              <w:jc w:val="center"/>
              <w:textAlignment w:val="center"/>
              <w:rPr>
                <w:rFonts w:ascii="宋体" w:cs="宋体"/>
                <w:color w:val="000000"/>
                <w:sz w:val="24"/>
              </w:rPr>
            </w:pPr>
            <w:r>
              <w:rPr>
                <w:rFonts w:hint="eastAsia" w:ascii="宋体" w:cs="宋体"/>
                <w:color w:val="000000"/>
                <w:sz w:val="24"/>
              </w:rPr>
              <w:t>社会对学校的满意度</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完善学校硬件设施，建立良好的办学条件，满意度达95%</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保障了学校办学水平的提高，树立良好的教学形象，满意度达95%</w:t>
            </w:r>
          </w:p>
        </w:tc>
      </w:tr>
    </w:tbl>
    <w:p>
      <w:pPr>
        <w:spacing w:line="580" w:lineRule="exact"/>
        <w:ind w:left="630"/>
        <w:rPr>
          <w:rFonts w:hint="eastAsia" w:ascii="楷体_GB2312" w:hAnsi="楷体_GB2312" w:eastAsia="楷体_GB2312" w:cs="楷体_GB2312"/>
          <w:sz w:val="32"/>
          <w:szCs w:val="32"/>
          <w:lang w:eastAsia="zh-CN"/>
        </w:rPr>
      </w:pPr>
    </w:p>
    <w:p>
      <w:pPr>
        <w:spacing w:line="580" w:lineRule="exact"/>
        <w:ind w:left="630"/>
        <w:rPr>
          <w:rFonts w:hint="eastAsia" w:ascii="楷体_GB2312" w:hAnsi="楷体_GB2312" w:eastAsia="楷体_GB2312" w:cs="楷体_GB2312"/>
          <w:sz w:val="32"/>
          <w:szCs w:val="32"/>
          <w:lang w:eastAsia="zh-CN"/>
        </w:rPr>
      </w:pPr>
    </w:p>
    <w:p>
      <w:pPr>
        <w:spacing w:line="580" w:lineRule="exact"/>
        <w:rPr>
          <w:rFonts w:hint="eastAsia" w:ascii="楷体_GB2312" w:hAnsi="楷体_GB2312" w:eastAsia="楷体_GB2312" w:cs="楷体_GB2312"/>
          <w:sz w:val="32"/>
          <w:szCs w:val="32"/>
          <w:lang w:eastAsia="zh-CN"/>
        </w:rPr>
      </w:pPr>
    </w:p>
    <w:tbl>
      <w:tblPr>
        <w:tblStyle w:val="12"/>
        <w:tblpPr w:leftFromText="180" w:rightFromText="180" w:vertAnchor="text" w:horzAnchor="page" w:tblpXSpec="center" w:tblpY="423"/>
        <w:tblOverlap w:val="never"/>
        <w:tblW w:w="9960" w:type="dxa"/>
        <w:tblInd w:w="0" w:type="dxa"/>
        <w:tblLayout w:type="fixed"/>
        <w:tblCellMar>
          <w:top w:w="0" w:type="dxa"/>
          <w:left w:w="0" w:type="dxa"/>
          <w:bottom w:w="0" w:type="dxa"/>
          <w:right w:w="0" w:type="dxa"/>
        </w:tblCellMar>
      </w:tblPr>
      <w:tblGrid>
        <w:gridCol w:w="390"/>
        <w:gridCol w:w="1367"/>
        <w:gridCol w:w="1025"/>
        <w:gridCol w:w="2392"/>
        <w:gridCol w:w="2394"/>
        <w:gridCol w:w="2392"/>
      </w:tblGrid>
      <w:tr>
        <w:tblPrEx>
          <w:tblCellMar>
            <w:top w:w="0" w:type="dxa"/>
            <w:left w:w="0" w:type="dxa"/>
            <w:bottom w:w="0" w:type="dxa"/>
            <w:right w:w="0" w:type="dxa"/>
          </w:tblCellMar>
        </w:tblPrEx>
        <w:trPr>
          <w:trHeight w:val="1034" w:hRule="atLeast"/>
        </w:trPr>
        <w:tc>
          <w:tcPr>
            <w:tcW w:w="9960" w:type="dxa"/>
            <w:gridSpan w:val="6"/>
            <w:tcMar>
              <w:top w:w="15" w:type="dxa"/>
              <w:left w:w="15" w:type="dxa"/>
              <w:bottom w:w="0" w:type="dxa"/>
              <w:right w:w="15" w:type="dxa"/>
            </w:tcMar>
            <w:vAlign w:val="center"/>
          </w:tcPr>
          <w:p>
            <w:pPr>
              <w:pStyle w:val="23"/>
              <w:widowControl/>
              <w:ind w:left="3954" w:leftChars="1197" w:hanging="1440" w:hangingChars="400"/>
              <w:textAlignment w:val="center"/>
              <w:rPr>
                <w:rFonts w:ascii="宋体" w:cs="宋体"/>
                <w:color w:val="000000"/>
                <w:sz w:val="36"/>
                <w:szCs w:val="36"/>
              </w:rPr>
            </w:pPr>
            <w:r>
              <w:rPr>
                <w:rFonts w:hint="eastAsia" w:ascii="黑体" w:hAnsi="黑体" w:eastAsia="黑体" w:cs="宋体"/>
                <w:bCs/>
                <w:color w:val="000000"/>
                <w:kern w:val="0"/>
                <w:sz w:val="36"/>
                <w:szCs w:val="36"/>
              </w:rPr>
              <w:t>项目支出绩效目标完成情况表</w:t>
            </w:r>
            <w:r>
              <w:rPr>
                <w:rFonts w:ascii="宋体" w:cs="宋体"/>
                <w:b/>
                <w:bCs/>
                <w:color w:val="000000"/>
                <w:kern w:val="0"/>
                <w:sz w:val="36"/>
                <w:szCs w:val="36"/>
              </w:rPr>
              <w:br w:type="textWrapping"/>
            </w:r>
            <w:r>
              <w:rPr>
                <w:rFonts w:ascii="宋体" w:hAnsi="宋体" w:cs="宋体"/>
                <w:color w:val="000000"/>
                <w:kern w:val="0"/>
                <w:sz w:val="36"/>
                <w:szCs w:val="36"/>
              </w:rPr>
              <w:t>(201</w:t>
            </w:r>
            <w:r>
              <w:rPr>
                <w:rFonts w:hint="eastAsia" w:ascii="宋体" w:hAnsi="宋体" w:cs="宋体"/>
                <w:color w:val="000000"/>
                <w:kern w:val="0"/>
                <w:sz w:val="36"/>
                <w:szCs w:val="36"/>
                <w:lang w:val="en-US" w:eastAsia="zh-CN"/>
              </w:rPr>
              <w:t>9</w:t>
            </w:r>
            <w:r>
              <w:rPr>
                <w:rFonts w:hint="eastAsia" w:ascii="宋体" w:hAnsi="宋体" w:cs="宋体"/>
                <w:color w:val="000000"/>
                <w:kern w:val="0"/>
                <w:sz w:val="36"/>
                <w:szCs w:val="36"/>
              </w:rPr>
              <w:t>年度</w:t>
            </w:r>
            <w:r>
              <w:rPr>
                <w:rFonts w:ascii="宋体" w:hAnsi="宋体" w:cs="宋体"/>
                <w:color w:val="000000"/>
                <w:kern w:val="0"/>
                <w:sz w:val="36"/>
                <w:szCs w:val="36"/>
              </w:rPr>
              <w:t>)</w:t>
            </w:r>
          </w:p>
        </w:tc>
      </w:tr>
      <w:tr>
        <w:tblPrEx>
          <w:tblCellMar>
            <w:top w:w="0" w:type="dxa"/>
            <w:left w:w="0" w:type="dxa"/>
            <w:bottom w:w="0" w:type="dxa"/>
            <w:right w:w="0" w:type="dxa"/>
          </w:tblCellMar>
        </w:tblPrEx>
        <w:trPr>
          <w:trHeight w:val="276" w:hRule="atLeast"/>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项目名称</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rPr>
              <w:t>教育质量提升奖补资金</w:t>
            </w:r>
          </w:p>
        </w:tc>
      </w:tr>
      <w:tr>
        <w:tblPrEx>
          <w:tblCellMar>
            <w:top w:w="0" w:type="dxa"/>
            <w:left w:w="0" w:type="dxa"/>
            <w:bottom w:w="0" w:type="dxa"/>
            <w:right w:w="0" w:type="dxa"/>
          </w:tblCellMar>
        </w:tblPrEx>
        <w:trPr>
          <w:trHeight w:val="276" w:hRule="atLeast"/>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预算单位</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遂宁</w:t>
            </w:r>
            <w:r>
              <w:rPr>
                <w:rFonts w:hint="eastAsia" w:ascii="宋体" w:cs="宋体"/>
                <w:color w:val="000000"/>
                <w:sz w:val="24"/>
                <w:lang w:eastAsia="zh-CN"/>
              </w:rPr>
              <w:t>二</w:t>
            </w:r>
            <w:r>
              <w:rPr>
                <w:rFonts w:hint="eastAsia" w:ascii="宋体" w:cs="宋体"/>
                <w:color w:val="000000"/>
                <w:sz w:val="24"/>
              </w:rPr>
              <w:t>中</w:t>
            </w:r>
          </w:p>
        </w:tc>
      </w:tr>
      <w:tr>
        <w:tblPrEx>
          <w:tblCellMar>
            <w:top w:w="0" w:type="dxa"/>
            <w:left w:w="0" w:type="dxa"/>
            <w:bottom w:w="0" w:type="dxa"/>
            <w:right w:w="0" w:type="dxa"/>
          </w:tblCellMar>
        </w:tblPrEx>
        <w:trPr>
          <w:trHeight w:val="339" w:hRule="atLeast"/>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预算执行情况</w:t>
            </w:r>
            <w:r>
              <w:rPr>
                <w:rFonts w:ascii="宋体" w:hAnsi="宋体" w:cs="宋体"/>
                <w:color w:val="000000"/>
                <w:kern w:val="0"/>
                <w:sz w:val="24"/>
              </w:rPr>
              <w:t>(</w:t>
            </w:r>
            <w:r>
              <w:rPr>
                <w:rFonts w:hint="eastAsia" w:ascii="宋体" w:hAnsi="宋体" w:cs="宋体"/>
                <w:color w:val="000000"/>
                <w:kern w:val="0"/>
                <w:sz w:val="24"/>
              </w:rPr>
              <w:t>万元</w:t>
            </w:r>
            <w:r>
              <w:rPr>
                <w:rFonts w:ascii="宋体" w:hAnsi="宋体" w:cs="宋体"/>
                <w:color w:val="000000"/>
                <w:kern w:val="0"/>
                <w:sz w:val="24"/>
              </w:rPr>
              <w:t>)</w:t>
            </w: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预算数</w:t>
            </w:r>
            <w:r>
              <w:rPr>
                <w:rFonts w:ascii="宋体" w:hAnsi="宋体" w:cs="宋体"/>
                <w:color w:val="000000"/>
                <w:kern w:val="0"/>
                <w:sz w:val="24"/>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1052.77</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执行数</w:t>
            </w:r>
            <w:r>
              <w:rPr>
                <w:rFonts w:ascii="宋体" w:hAnsi="宋体" w:cs="宋体"/>
                <w:color w:val="000000"/>
                <w:kern w:val="0"/>
                <w:sz w:val="24"/>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1052.77</w:t>
            </w:r>
          </w:p>
        </w:tc>
      </w:tr>
      <w:tr>
        <w:tblPrEx>
          <w:tblCellMar>
            <w:top w:w="0" w:type="dxa"/>
            <w:left w:w="0" w:type="dxa"/>
            <w:bottom w:w="0" w:type="dxa"/>
            <w:right w:w="0" w:type="dxa"/>
          </w:tblCellMar>
        </w:tblPrEx>
        <w:trPr>
          <w:trHeight w:val="276"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cs="宋体"/>
                <w:color w:val="000000"/>
                <w:sz w:val="24"/>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其中</w:t>
            </w:r>
            <w:r>
              <w:rPr>
                <w:rFonts w:ascii="宋体" w:cs="宋体"/>
                <w:color w:val="000000"/>
                <w:kern w:val="0"/>
                <w:sz w:val="24"/>
              </w:rPr>
              <w:t>-</w:t>
            </w:r>
            <w:r>
              <w:rPr>
                <w:rFonts w:hint="eastAsia" w:ascii="宋体" w:hAnsi="宋体" w:cs="宋体"/>
                <w:color w:val="000000"/>
                <w:kern w:val="0"/>
                <w:sz w:val="24"/>
              </w:rPr>
              <w:t>财政拨款</w:t>
            </w:r>
            <w:r>
              <w:rPr>
                <w:rFonts w:ascii="宋体" w:hAnsi="宋体" w:cs="宋体"/>
                <w:color w:val="000000"/>
                <w:kern w:val="0"/>
                <w:sz w:val="24"/>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1052.77</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其中</w:t>
            </w:r>
            <w:r>
              <w:rPr>
                <w:rFonts w:ascii="宋体" w:cs="宋体"/>
                <w:color w:val="000000"/>
                <w:kern w:val="0"/>
                <w:sz w:val="24"/>
              </w:rPr>
              <w:t>-</w:t>
            </w:r>
            <w:r>
              <w:rPr>
                <w:rFonts w:hint="eastAsia" w:ascii="宋体" w:hAnsi="宋体" w:cs="宋体"/>
                <w:color w:val="000000"/>
                <w:kern w:val="0"/>
                <w:sz w:val="24"/>
              </w:rPr>
              <w:t>财政拨款</w:t>
            </w:r>
            <w:r>
              <w:rPr>
                <w:rFonts w:ascii="宋体" w:hAnsi="宋体" w:cs="宋体"/>
                <w:color w:val="000000"/>
                <w:kern w:val="0"/>
                <w:sz w:val="24"/>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1052.77</w:t>
            </w:r>
          </w:p>
        </w:tc>
      </w:tr>
      <w:tr>
        <w:tblPrEx>
          <w:tblCellMar>
            <w:top w:w="0" w:type="dxa"/>
            <w:left w:w="0" w:type="dxa"/>
            <w:bottom w:w="0" w:type="dxa"/>
            <w:right w:w="0" w:type="dxa"/>
          </w:tblCellMar>
        </w:tblPrEx>
        <w:trPr>
          <w:trHeight w:val="1511"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cs="宋体"/>
                <w:color w:val="000000"/>
                <w:sz w:val="24"/>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其它资金</w:t>
            </w:r>
            <w:r>
              <w:rPr>
                <w:rFonts w:ascii="宋体" w:hAnsi="宋体" w:cs="宋体"/>
                <w:color w:val="000000"/>
                <w:kern w:val="0"/>
                <w:sz w:val="24"/>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ascii="宋体" w:cs="宋体"/>
                <w:color w:val="000000"/>
                <w:kern w:val="0"/>
                <w:sz w:val="24"/>
              </w:rPr>
              <w:t>0</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其它资金</w:t>
            </w:r>
            <w:r>
              <w:rPr>
                <w:rFonts w:ascii="宋体" w:hAnsi="宋体" w:cs="宋体"/>
                <w:color w:val="000000"/>
                <w:kern w:val="0"/>
                <w:sz w:val="24"/>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rPr>
                <w:rFonts w:hint="eastAsia" w:ascii="宋体" w:eastAsia="宋体" w:cs="宋体"/>
                <w:color w:val="000000"/>
                <w:sz w:val="24"/>
                <w:lang w:val="en-US" w:eastAsia="zh-CN"/>
              </w:rPr>
            </w:pPr>
            <w:r>
              <w:rPr>
                <w:rFonts w:hint="eastAsia" w:ascii="宋体" w:cs="宋体"/>
                <w:color w:val="000000"/>
                <w:sz w:val="24"/>
                <w:lang w:val="en-US" w:eastAsia="zh-CN"/>
              </w:rPr>
              <w:t>0</w:t>
            </w:r>
          </w:p>
        </w:tc>
      </w:tr>
      <w:tr>
        <w:tblPrEx>
          <w:tblCellMar>
            <w:top w:w="0" w:type="dxa"/>
            <w:left w:w="0" w:type="dxa"/>
            <w:bottom w:w="0" w:type="dxa"/>
            <w:right w:w="0" w:type="dxa"/>
          </w:tblCellMar>
        </w:tblPrEx>
        <w:trPr>
          <w:trHeight w:val="276" w:hRule="atLeast"/>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年度目标完成情况</w:t>
            </w:r>
          </w:p>
        </w:tc>
        <w:tc>
          <w:tcPr>
            <w:tcW w:w="4784"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预期目标</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实际完成目标</w:t>
            </w:r>
          </w:p>
        </w:tc>
      </w:tr>
      <w:tr>
        <w:tblPrEx>
          <w:tblCellMar>
            <w:top w:w="0" w:type="dxa"/>
            <w:left w:w="0" w:type="dxa"/>
            <w:bottom w:w="0" w:type="dxa"/>
            <w:right w:w="0" w:type="dxa"/>
          </w:tblCellMar>
        </w:tblPrEx>
        <w:trPr>
          <w:trHeight w:val="1159"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cs="宋体"/>
                <w:color w:val="000000"/>
                <w:sz w:val="24"/>
              </w:rPr>
            </w:pPr>
          </w:p>
        </w:tc>
        <w:tc>
          <w:tcPr>
            <w:tcW w:w="4784"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ind w:firstLine="420" w:firstLineChars="200"/>
            </w:pPr>
            <w:r>
              <w:rPr>
                <w:rFonts w:hint="eastAsia"/>
              </w:rPr>
              <w:t>极大的提高了学校教师教学积极性，对完成学校全年的教育教学任务、提高学校的教学质量提供了经费保障。</w:t>
            </w:r>
          </w:p>
          <w:p>
            <w:pPr>
              <w:widowControl/>
              <w:jc w:val="center"/>
              <w:textAlignment w:val="center"/>
              <w:rPr>
                <w:rFonts w:ascii="宋体" w:cs="宋体"/>
                <w:color w:val="000000"/>
                <w:sz w:val="24"/>
              </w:rPr>
            </w:pP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r>
              <w:rPr>
                <w:rFonts w:hint="eastAsia"/>
              </w:rPr>
              <w:t>该项目由学校统一管理，按分配方案逐步实施</w:t>
            </w:r>
            <w:r>
              <w:rPr>
                <w:rFonts w:hint="eastAsia" w:eastAsia="宋体"/>
                <w:lang w:eastAsia="zh-CN"/>
              </w:rPr>
              <w:t>，现已经拨付了</w:t>
            </w:r>
            <w:r>
              <w:rPr>
                <w:rFonts w:hint="eastAsia" w:ascii="Times New Roman" w:eastAsia="宋体"/>
                <w:lang w:val="en-US" w:eastAsia="zh-CN"/>
              </w:rPr>
              <w:t>1123.26资金用于提升学校教育质量</w:t>
            </w:r>
            <w:r>
              <w:rPr>
                <w:rFonts w:hint="eastAsia"/>
              </w:rPr>
              <w:t>。</w:t>
            </w:r>
          </w:p>
          <w:p>
            <w:pPr>
              <w:ind w:firstLine="420" w:firstLineChars="200"/>
              <w:rPr>
                <w:rFonts w:ascii="楷体_GB2312" w:eastAsia="楷体_GB2312"/>
              </w:rPr>
            </w:pPr>
          </w:p>
          <w:p>
            <w:pPr>
              <w:widowControl/>
              <w:jc w:val="center"/>
              <w:textAlignment w:val="center"/>
              <w:rPr>
                <w:rFonts w:ascii="宋体" w:cs="宋体"/>
                <w:color w:val="000000"/>
                <w:sz w:val="24"/>
              </w:rPr>
            </w:pPr>
          </w:p>
        </w:tc>
      </w:tr>
      <w:tr>
        <w:tblPrEx>
          <w:tblCellMar>
            <w:top w:w="0" w:type="dxa"/>
            <w:left w:w="0" w:type="dxa"/>
            <w:bottom w:w="0" w:type="dxa"/>
            <w:right w:w="0" w:type="dxa"/>
          </w:tblCellMar>
        </w:tblPrEx>
        <w:trPr>
          <w:trHeight w:val="1042" w:hRule="atLeast"/>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sz w:val="24"/>
              </w:rPr>
              <w:t>绩效指标完成情况</w:t>
            </w: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一级指标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二级指标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三级指标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预期指标值</w:t>
            </w:r>
            <w:r>
              <w:rPr>
                <w:rFonts w:ascii="宋体" w:hAnsi="宋体" w:cs="宋体"/>
                <w:color w:val="000000"/>
                <w:kern w:val="0"/>
                <w:sz w:val="24"/>
              </w:rPr>
              <w:t>(</w:t>
            </w:r>
            <w:r>
              <w:rPr>
                <w:rFonts w:hint="eastAsia" w:ascii="宋体" w:hAnsi="宋体" w:cs="宋体"/>
                <w:color w:val="000000"/>
                <w:kern w:val="0"/>
                <w:sz w:val="24"/>
              </w:rPr>
              <w:t>包含数字及文字描述</w:t>
            </w:r>
            <w:r>
              <w:rPr>
                <w:rFonts w:ascii="宋体" w:hAnsi="宋体" w:cs="宋体"/>
                <w:color w:val="000000"/>
                <w:kern w:val="0"/>
                <w:sz w:val="24"/>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实际完成指标值</w:t>
            </w:r>
            <w:r>
              <w:rPr>
                <w:rFonts w:ascii="宋体" w:hAnsi="宋体" w:cs="宋体"/>
                <w:color w:val="000000"/>
                <w:kern w:val="0"/>
                <w:sz w:val="24"/>
              </w:rPr>
              <w:t>(</w:t>
            </w:r>
            <w:r>
              <w:rPr>
                <w:rFonts w:hint="eastAsia" w:ascii="宋体" w:hAnsi="宋体" w:cs="宋体"/>
                <w:color w:val="000000"/>
                <w:kern w:val="0"/>
                <w:sz w:val="24"/>
              </w:rPr>
              <w:t>包含数字及文字描述</w:t>
            </w:r>
            <w:r>
              <w:rPr>
                <w:rFonts w:ascii="宋体" w:hAnsi="宋体" w:cs="宋体"/>
                <w:color w:val="000000"/>
                <w:kern w:val="0"/>
                <w:sz w:val="24"/>
              </w:rPr>
              <w:t>)</w:t>
            </w:r>
          </w:p>
        </w:tc>
      </w:tr>
      <w:tr>
        <w:tblPrEx>
          <w:tblCellMar>
            <w:top w:w="0" w:type="dxa"/>
            <w:left w:w="0" w:type="dxa"/>
            <w:bottom w:w="0" w:type="dxa"/>
            <w:right w:w="0" w:type="dxa"/>
          </w:tblCellMar>
        </w:tblPrEx>
        <w:trPr>
          <w:trHeight w:val="953"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质量指标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资金使用标准达标率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拨付资金</w:t>
            </w:r>
            <w:r>
              <w:rPr>
                <w:rFonts w:hint="eastAsia" w:ascii="宋体" w:cs="宋体"/>
                <w:color w:val="000000"/>
                <w:sz w:val="24"/>
                <w:lang w:val="en-US" w:eastAsia="zh-CN"/>
              </w:rPr>
              <w:t>1174.12</w:t>
            </w:r>
            <w:r>
              <w:rPr>
                <w:rFonts w:hint="eastAsia" w:ascii="宋体" w:cs="宋体"/>
                <w:color w:val="000000"/>
                <w:sz w:val="24"/>
              </w:rPr>
              <w:t>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default" w:ascii="宋体" w:cs="宋体"/>
                <w:color w:val="000000"/>
                <w:sz w:val="24"/>
                <w:lang w:val="en-US"/>
              </w:rPr>
            </w:pPr>
            <w:r>
              <w:rPr>
                <w:rFonts w:hint="eastAsia" w:ascii="宋体" w:cs="宋体"/>
                <w:color w:val="000000"/>
                <w:sz w:val="24"/>
                <w:lang w:val="en-US" w:eastAsia="zh-CN"/>
              </w:rPr>
              <w:t>1174.12</w:t>
            </w:r>
            <w:r>
              <w:rPr>
                <w:rFonts w:hint="eastAsia" w:ascii="宋体" w:cs="宋体"/>
                <w:color w:val="000000"/>
                <w:sz w:val="24"/>
              </w:rPr>
              <w:t>万资金按时拨付完成</w:t>
            </w:r>
            <w:r>
              <w:rPr>
                <w:rFonts w:hint="eastAsia" w:ascii="宋体" w:cs="宋体"/>
                <w:color w:val="000000"/>
                <w:sz w:val="24"/>
                <w:lang w:eastAsia="zh-CN"/>
              </w:rPr>
              <w:t>，现已经支出</w:t>
            </w:r>
            <w:r>
              <w:rPr>
                <w:rFonts w:hint="eastAsia" w:ascii="宋体" w:cs="宋体"/>
                <w:color w:val="000000"/>
                <w:sz w:val="24"/>
                <w:lang w:val="en-US" w:eastAsia="zh-CN"/>
              </w:rPr>
              <w:t>1123.26万元用于学校提高教育质量。</w:t>
            </w:r>
          </w:p>
        </w:tc>
      </w:tr>
      <w:tr>
        <w:tblPrEx>
          <w:tblCellMar>
            <w:top w:w="0" w:type="dxa"/>
            <w:left w:w="0" w:type="dxa"/>
            <w:bottom w:w="0" w:type="dxa"/>
            <w:right w:w="0" w:type="dxa"/>
          </w:tblCellMar>
        </w:tblPrEx>
        <w:trPr>
          <w:trHeight w:val="1042"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效益指标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社会效益指标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textAlignment w:val="center"/>
              <w:rPr>
                <w:rFonts w:ascii="宋体" w:cs="宋体"/>
                <w:color w:val="000000"/>
                <w:sz w:val="24"/>
              </w:rPr>
            </w:pPr>
            <w:r>
              <w:rPr>
                <w:rFonts w:hint="eastAsia" w:ascii="宋体" w:cs="宋体"/>
                <w:color w:val="000000"/>
                <w:sz w:val="24"/>
              </w:rPr>
              <w:t>提高学校教育质量，激发学校管理活力，打造标准高规格公办学校</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资金拨付及时，学校按时按量完成任务，效率达95%以上</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各项任务顺利推进，达到预期目的</w:t>
            </w:r>
          </w:p>
        </w:tc>
      </w:tr>
      <w:tr>
        <w:tblPrEx>
          <w:tblCellMar>
            <w:top w:w="0" w:type="dxa"/>
            <w:left w:w="0" w:type="dxa"/>
            <w:bottom w:w="0" w:type="dxa"/>
            <w:right w:w="0" w:type="dxa"/>
          </w:tblCellMar>
        </w:tblPrEx>
        <w:trPr>
          <w:trHeight w:val="1050"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满意度指标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可持续影响指标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教师对学校的满意度</w:t>
            </w:r>
          </w:p>
          <w:p>
            <w:pPr>
              <w:widowControl/>
              <w:jc w:val="center"/>
              <w:textAlignment w:val="center"/>
              <w:rPr>
                <w:rFonts w:ascii="宋体" w:cs="宋体"/>
                <w:color w:val="000000"/>
                <w:sz w:val="24"/>
              </w:rPr>
            </w:pPr>
            <w:r>
              <w:rPr>
                <w:rFonts w:hint="eastAsia" w:ascii="宋体" w:cs="宋体"/>
                <w:color w:val="000000"/>
                <w:sz w:val="24"/>
              </w:rPr>
              <w:t>社会对学校的满意度</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提高教师工作积极</w:t>
            </w:r>
          </w:p>
          <w:p>
            <w:pPr>
              <w:widowControl/>
              <w:jc w:val="center"/>
              <w:textAlignment w:val="center"/>
              <w:rPr>
                <w:rFonts w:ascii="宋体" w:cs="宋体"/>
                <w:color w:val="000000"/>
                <w:sz w:val="24"/>
              </w:rPr>
            </w:pPr>
            <w:r>
              <w:rPr>
                <w:rFonts w:hint="eastAsia" w:ascii="宋体" w:cs="宋体"/>
                <w:color w:val="000000"/>
                <w:sz w:val="24"/>
              </w:rPr>
              <w:t>满意度达95%</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保障了学校办学水平的提高，树立良好的教学形象，满意度达95%</w:t>
            </w:r>
          </w:p>
        </w:tc>
      </w:tr>
    </w:tbl>
    <w:p>
      <w:pPr>
        <w:spacing w:line="580" w:lineRule="exact"/>
        <w:rPr>
          <w:rFonts w:hint="eastAsia" w:ascii="楷体_GB2312" w:hAnsi="楷体_GB2312" w:eastAsia="楷体_GB2312" w:cs="楷体_GB2312"/>
          <w:sz w:val="32"/>
          <w:szCs w:val="32"/>
        </w:rPr>
      </w:pPr>
    </w:p>
    <w:p>
      <w:pPr>
        <w:spacing w:line="580" w:lineRule="exact"/>
        <w:ind w:left="630"/>
        <w:rPr>
          <w:rFonts w:hint="eastAsia" w:ascii="楷体_GB2312" w:hAnsi="楷体_GB2312" w:eastAsia="楷体_GB2312" w:cs="楷体_GB2312"/>
          <w:sz w:val="32"/>
          <w:szCs w:val="32"/>
        </w:rPr>
      </w:pPr>
    </w:p>
    <w:p>
      <w:pPr>
        <w:widowControl/>
        <w:jc w:val="left"/>
        <w:rPr>
          <w:rFonts w:ascii="仿宋_GB2312" w:eastAsia="仿宋_GB2312"/>
          <w:b/>
          <w:color w:val="000000"/>
          <w:sz w:val="32"/>
          <w:szCs w:val="32"/>
        </w:rPr>
      </w:pPr>
      <w:r>
        <w:rPr>
          <w:rFonts w:ascii="仿宋_GB2312" w:eastAsia="仿宋_GB2312"/>
          <w:b/>
          <w:color w:val="000000"/>
          <w:sz w:val="32"/>
          <w:szCs w:val="32"/>
        </w:rPr>
        <w:br w:type="page"/>
      </w:r>
    </w:p>
    <w:p>
      <w:pPr>
        <w:numPr>
          <w:ilvl w:val="0"/>
          <w:numId w:val="5"/>
        </w:numPr>
        <w:spacing w:line="600" w:lineRule="exact"/>
        <w:ind w:firstLine="660" w:firstLineChars="150"/>
        <w:jc w:val="center"/>
        <w:outlineLvl w:val="0"/>
        <w:rPr>
          <w:rFonts w:hint="eastAsia" w:ascii="仿宋_GB2312" w:hAnsi="仿宋_GB2312" w:eastAsia="仿宋_GB2312" w:cs="仿宋_GB2312"/>
          <w:color w:val="auto"/>
          <w:sz w:val="32"/>
          <w:szCs w:val="32"/>
        </w:rPr>
      </w:pPr>
      <w:bookmarkStart w:id="51" w:name="_Toc15396613"/>
      <w:bookmarkStart w:id="52" w:name="_Toc15377225"/>
      <w:r>
        <w:rPr>
          <w:rFonts w:hint="eastAsia" w:ascii="黑体" w:hAnsi="黑体" w:eastAsia="黑体"/>
          <w:color w:val="000000"/>
          <w:sz w:val="44"/>
          <w:szCs w:val="44"/>
        </w:rPr>
        <w:t>名</w:t>
      </w:r>
      <w:r>
        <w:rPr>
          <w:rStyle w:val="24"/>
          <w:rFonts w:hint="eastAsia" w:ascii="黑体" w:hAnsi="黑体" w:eastAsia="黑体"/>
          <w:b w:val="0"/>
        </w:rPr>
        <w:t>词解释</w:t>
      </w:r>
      <w:bookmarkEnd w:id="51"/>
      <w:bookmarkEnd w:id="52"/>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outlineLvl w:val="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1.财政拨款收入：指单位从同级财政部门取得的财政预算资金。</w:t>
      </w:r>
    </w:p>
    <w:p>
      <w:pPr>
        <w:keepNext w:val="0"/>
        <w:keepLines w:val="0"/>
        <w:pageBreakBefore w:val="0"/>
        <w:widowControl w:val="0"/>
        <w:kinsoku/>
        <w:wordWrap/>
        <w:overflowPunct/>
        <w:topLinePunct w:val="0"/>
        <w:autoSpaceDE/>
        <w:autoSpaceDN/>
        <w:bidi w:val="0"/>
        <w:adjustRightInd/>
        <w:snapToGrid/>
        <w:spacing w:line="588"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2.事业收入：指事业单位开展专业业务活动及辅助活动取得的收入。</w:t>
      </w:r>
    </w:p>
    <w:p>
      <w:pPr>
        <w:keepNext w:val="0"/>
        <w:keepLines w:val="0"/>
        <w:pageBreakBefore w:val="0"/>
        <w:widowControl w:val="0"/>
        <w:kinsoku/>
        <w:wordWrap/>
        <w:overflowPunct/>
        <w:topLinePunct w:val="0"/>
        <w:autoSpaceDE/>
        <w:autoSpaceDN/>
        <w:bidi w:val="0"/>
        <w:adjustRightInd/>
        <w:snapToGrid/>
        <w:spacing w:line="588"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3.经营收入：指事业单位在专业业务活动及其辅助活动之外开展非独立核算经营活动取得的收入。</w:t>
      </w:r>
    </w:p>
    <w:p>
      <w:pPr>
        <w:keepNext w:val="0"/>
        <w:keepLines w:val="0"/>
        <w:pageBreakBefore w:val="0"/>
        <w:widowControl w:val="0"/>
        <w:kinsoku/>
        <w:wordWrap/>
        <w:overflowPunct/>
        <w:topLinePunct w:val="0"/>
        <w:autoSpaceDE/>
        <w:autoSpaceDN/>
        <w:bidi w:val="0"/>
        <w:adjustRightInd/>
        <w:snapToGrid/>
        <w:spacing w:line="588"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4.其他收入：指单位取得的除上述收入以外的各项收入。主要是主要是存款利息收入等。</w:t>
      </w:r>
    </w:p>
    <w:p>
      <w:pPr>
        <w:keepNext w:val="0"/>
        <w:keepLines w:val="0"/>
        <w:pageBreakBefore w:val="0"/>
        <w:widowControl w:val="0"/>
        <w:kinsoku/>
        <w:wordWrap/>
        <w:overflowPunct/>
        <w:topLinePunct w:val="0"/>
        <w:autoSpaceDE/>
        <w:autoSpaceDN/>
        <w:bidi w:val="0"/>
        <w:adjustRightInd/>
        <w:snapToGrid/>
        <w:spacing w:line="588"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用事业基金弥补收支差额：指事业单位在当年的财政拨款收入、事业收入、经营收入、其他收入不足以安排当年支出的情况下，使用以前年度积累的事业基金（事业单位当年收支相抵后按国家规定提取、用于弥补以后年度收支差额的基金）弥补本年度收支缺口的资金。</w:t>
      </w:r>
    </w:p>
    <w:p>
      <w:pPr>
        <w:keepNext w:val="0"/>
        <w:keepLines w:val="0"/>
        <w:pageBreakBefore w:val="0"/>
        <w:widowControl w:val="0"/>
        <w:kinsoku/>
        <w:wordWrap/>
        <w:overflowPunct/>
        <w:topLinePunct w:val="0"/>
        <w:autoSpaceDE/>
        <w:autoSpaceDN/>
        <w:bidi w:val="0"/>
        <w:adjustRightInd/>
        <w:snapToGrid/>
        <w:spacing w:line="588"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6.年初结转和结余：指以前年度尚未完成、结转到本年按有关规定继续使用的资金。</w:t>
      </w:r>
    </w:p>
    <w:p>
      <w:pPr>
        <w:keepNext w:val="0"/>
        <w:keepLines w:val="0"/>
        <w:pageBreakBefore w:val="0"/>
        <w:widowControl w:val="0"/>
        <w:kinsoku/>
        <w:wordWrap/>
        <w:overflowPunct/>
        <w:topLinePunct w:val="0"/>
        <w:autoSpaceDE/>
        <w:autoSpaceDN/>
        <w:bidi w:val="0"/>
        <w:adjustRightInd/>
        <w:snapToGrid/>
        <w:spacing w:line="588"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7.结余分配：指事业单位按照事业单位会计制度的规定从非财政补助结余中分配的事业基金和职工福利基金等。</w:t>
      </w:r>
    </w:p>
    <w:p>
      <w:pPr>
        <w:keepNext w:val="0"/>
        <w:keepLines w:val="0"/>
        <w:pageBreakBefore w:val="0"/>
        <w:widowControl w:val="0"/>
        <w:kinsoku/>
        <w:wordWrap/>
        <w:overflowPunct/>
        <w:topLinePunct w:val="0"/>
        <w:autoSpaceDE/>
        <w:autoSpaceDN/>
        <w:bidi w:val="0"/>
        <w:adjustRightInd/>
        <w:snapToGrid/>
        <w:spacing w:line="588"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8、年末结转和结余：指单位按有关规定结转到下年或以后年度继续使用的资金。</w:t>
      </w:r>
    </w:p>
    <w:p>
      <w:pPr>
        <w:keepNext w:val="0"/>
        <w:keepLines w:val="0"/>
        <w:pageBreakBefore w:val="0"/>
        <w:widowControl w:val="0"/>
        <w:kinsoku/>
        <w:wordWrap/>
        <w:overflowPunct/>
        <w:topLinePunct w:val="0"/>
        <w:autoSpaceDE/>
        <w:autoSpaceDN/>
        <w:bidi w:val="0"/>
        <w:adjustRightInd/>
        <w:snapToGrid/>
        <w:spacing w:line="588"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9.教育（类）教育管理事务（款）行政运行（项）是指反映行政单位（包括实行公务员管理的事业单位）的基本支出</w:t>
      </w:r>
      <w:r>
        <w:rPr>
          <w:rFonts w:hint="eastAsia" w:ascii="仿宋_GB2312" w:hAnsi="仿宋_GB2312" w:eastAsia="仿宋_GB2312" w:cs="仿宋_GB2312"/>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88"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10.教育（类）教育管理事务（款）一般行政管理事务（项）是指行政单位（包括实行公务员管理的事业单位）增减单独设置荐级科目的其他项目支出。</w:t>
      </w:r>
    </w:p>
    <w:p>
      <w:pPr>
        <w:keepNext w:val="0"/>
        <w:keepLines w:val="0"/>
        <w:pageBreakBefore w:val="0"/>
        <w:widowControl w:val="0"/>
        <w:kinsoku/>
        <w:wordWrap/>
        <w:overflowPunct/>
        <w:topLinePunct w:val="0"/>
        <w:autoSpaceDE/>
        <w:autoSpaceDN/>
        <w:bidi w:val="0"/>
        <w:adjustRightInd/>
        <w:snapToGrid/>
        <w:spacing w:line="588"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11.教育（类）普通教育（款）初中教育（项）是指反映各部门举办的初中教育支出。</w:t>
      </w:r>
    </w:p>
    <w:p>
      <w:pPr>
        <w:keepNext w:val="0"/>
        <w:keepLines w:val="0"/>
        <w:pageBreakBefore w:val="0"/>
        <w:widowControl w:val="0"/>
        <w:kinsoku/>
        <w:wordWrap/>
        <w:overflowPunct/>
        <w:topLinePunct w:val="0"/>
        <w:autoSpaceDE/>
        <w:autoSpaceDN/>
        <w:bidi w:val="0"/>
        <w:adjustRightInd/>
        <w:snapToGrid/>
        <w:spacing w:line="588"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12.教育（类）普通教育（款）高中教育（项）是指反映各部门举办的高级中学教育支出。</w:t>
      </w:r>
    </w:p>
    <w:p>
      <w:pPr>
        <w:keepNext w:val="0"/>
        <w:keepLines w:val="0"/>
        <w:pageBreakBefore w:val="0"/>
        <w:widowControl w:val="0"/>
        <w:kinsoku/>
        <w:wordWrap/>
        <w:overflowPunct/>
        <w:topLinePunct w:val="0"/>
        <w:autoSpaceDE/>
        <w:autoSpaceDN/>
        <w:bidi w:val="0"/>
        <w:adjustRightInd/>
        <w:snapToGrid/>
        <w:spacing w:line="588"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13.教育（类）职业教育（款）中专教育（项）是指反映各部门举办的中等专业学校的支出。</w:t>
      </w:r>
    </w:p>
    <w:p>
      <w:pPr>
        <w:keepNext w:val="0"/>
        <w:keepLines w:val="0"/>
        <w:pageBreakBefore w:val="0"/>
        <w:widowControl w:val="0"/>
        <w:kinsoku/>
        <w:wordWrap/>
        <w:overflowPunct/>
        <w:topLinePunct w:val="0"/>
        <w:autoSpaceDE/>
        <w:autoSpaceDN/>
        <w:bidi w:val="0"/>
        <w:adjustRightInd/>
        <w:snapToGrid/>
        <w:spacing w:line="588"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14.教育（类）成人教育（款）成人广播电视教育（项）是反映各部门举办的成人广播电视教育的支出</w:t>
      </w:r>
    </w:p>
    <w:p>
      <w:pPr>
        <w:keepNext w:val="0"/>
        <w:keepLines w:val="0"/>
        <w:pageBreakBefore w:val="0"/>
        <w:widowControl w:val="0"/>
        <w:kinsoku/>
        <w:wordWrap/>
        <w:overflowPunct/>
        <w:topLinePunct w:val="0"/>
        <w:autoSpaceDE/>
        <w:autoSpaceDN/>
        <w:bidi w:val="0"/>
        <w:adjustRightInd/>
        <w:snapToGrid/>
        <w:spacing w:line="588"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rPr>
        <w:t>5.社会保障和就业（类）行政事业单位离退休（款）事业单位离退休（项）：指反映实行归口管理的事业单位开支的离退休经费。</w:t>
      </w:r>
    </w:p>
    <w:p>
      <w:pPr>
        <w:keepNext w:val="0"/>
        <w:keepLines w:val="0"/>
        <w:pageBreakBefore w:val="0"/>
        <w:widowControl w:val="0"/>
        <w:kinsoku/>
        <w:wordWrap/>
        <w:overflowPunct/>
        <w:topLinePunct w:val="0"/>
        <w:autoSpaceDE/>
        <w:autoSpaceDN/>
        <w:bidi w:val="0"/>
        <w:adjustRightInd/>
        <w:snapToGrid/>
        <w:spacing w:line="588"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16.社会保障和就业（类）行政事业单位离退休（款）未归口管理的行政单位离退休（项）：指反映未实行归口管理的行政单位（包括实行公务员管理的事业单位）开支的离退休支出。</w:t>
      </w:r>
    </w:p>
    <w:p>
      <w:pPr>
        <w:keepNext w:val="0"/>
        <w:keepLines w:val="0"/>
        <w:pageBreakBefore w:val="0"/>
        <w:widowControl w:val="0"/>
        <w:kinsoku/>
        <w:wordWrap/>
        <w:overflowPunct/>
        <w:topLinePunct w:val="0"/>
        <w:autoSpaceDE/>
        <w:autoSpaceDN/>
        <w:bidi w:val="0"/>
        <w:adjustRightInd/>
        <w:snapToGrid/>
        <w:spacing w:line="588"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17.社会保障和就业（类）行政事业单位离退休（款）机关事业单位基本养老保险缴费支出（项）：指反映机关事业单位实施养老保险制度由单位缴纳的基本养老保险费支出。</w:t>
      </w:r>
    </w:p>
    <w:p>
      <w:pPr>
        <w:keepNext w:val="0"/>
        <w:keepLines w:val="0"/>
        <w:pageBreakBefore w:val="0"/>
        <w:widowControl w:val="0"/>
        <w:kinsoku/>
        <w:wordWrap/>
        <w:overflowPunct/>
        <w:topLinePunct w:val="0"/>
        <w:autoSpaceDE/>
        <w:autoSpaceDN/>
        <w:bidi w:val="0"/>
        <w:adjustRightInd/>
        <w:snapToGrid/>
        <w:spacing w:line="588"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18.社会保障和就业（类）行政事业单位离退休（款）机关事业单位职业年金缴费支出（项）：指反映机关事业单位实施养老保险制度由单位实际缴纳的职业年金支出。</w:t>
      </w:r>
    </w:p>
    <w:p>
      <w:pPr>
        <w:keepNext w:val="0"/>
        <w:keepLines w:val="0"/>
        <w:pageBreakBefore w:val="0"/>
        <w:widowControl w:val="0"/>
        <w:kinsoku/>
        <w:wordWrap/>
        <w:overflowPunct/>
        <w:topLinePunct w:val="0"/>
        <w:autoSpaceDE/>
        <w:autoSpaceDN/>
        <w:bidi w:val="0"/>
        <w:adjustRightInd/>
        <w:snapToGrid/>
        <w:spacing w:line="588"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19.社会保障和就业（类）其他社会保障和就业支出（款）其他社会保障和就业支出（项）：反映其他用于社会保障和就业方面的支出。</w:t>
      </w:r>
    </w:p>
    <w:p>
      <w:pPr>
        <w:keepNext w:val="0"/>
        <w:keepLines w:val="0"/>
        <w:pageBreakBefore w:val="0"/>
        <w:widowControl w:val="0"/>
        <w:kinsoku/>
        <w:wordWrap/>
        <w:overflowPunct/>
        <w:topLinePunct w:val="0"/>
        <w:autoSpaceDE/>
        <w:autoSpaceDN/>
        <w:bidi w:val="0"/>
        <w:adjustRightInd/>
        <w:snapToGrid/>
        <w:spacing w:line="588"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20.医疗卫生与计划生育（类）医疗保障（款）行政单位医疗（项）：指反映财政部门集中安排的行政单位基本医疗保险缴费经费，未参加医疗保险的行政单位的公费医疗经费，按国家规定享受离休人员、红军老战士待遇人员的医疗经费。</w:t>
      </w:r>
    </w:p>
    <w:p>
      <w:pPr>
        <w:keepNext w:val="0"/>
        <w:keepLines w:val="0"/>
        <w:pageBreakBefore w:val="0"/>
        <w:widowControl w:val="0"/>
        <w:kinsoku/>
        <w:wordWrap/>
        <w:overflowPunct/>
        <w:topLinePunct w:val="0"/>
        <w:autoSpaceDE/>
        <w:autoSpaceDN/>
        <w:bidi w:val="0"/>
        <w:adjustRightInd/>
        <w:snapToGrid/>
        <w:spacing w:line="588"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21.医疗卫生与计划生育（类）医疗保障（款）事业单位医疗（项）：指反映财政部门集中安排的事业单位基本医疗保险缴费经费，未参加医疗保险的事业单位的公费医疗经费，按国家规定享受离休人员待遇人员的医疗经费。</w:t>
      </w:r>
    </w:p>
    <w:p>
      <w:pPr>
        <w:keepNext w:val="0"/>
        <w:keepLines w:val="0"/>
        <w:pageBreakBefore w:val="0"/>
        <w:widowControl w:val="0"/>
        <w:kinsoku/>
        <w:wordWrap/>
        <w:overflowPunct/>
        <w:topLinePunct w:val="0"/>
        <w:autoSpaceDE/>
        <w:autoSpaceDN/>
        <w:bidi w:val="0"/>
        <w:adjustRightInd/>
        <w:snapToGrid/>
        <w:spacing w:line="588"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22.医疗卫生与计划生育（类）医疗保障（款）公务员医疗补助（项）：指反映财政部门集中安排的公务员医疗补助经费。</w:t>
      </w:r>
    </w:p>
    <w:p>
      <w:pPr>
        <w:keepNext w:val="0"/>
        <w:keepLines w:val="0"/>
        <w:pageBreakBefore w:val="0"/>
        <w:widowControl w:val="0"/>
        <w:kinsoku/>
        <w:wordWrap/>
        <w:overflowPunct/>
        <w:topLinePunct w:val="0"/>
        <w:autoSpaceDE/>
        <w:autoSpaceDN/>
        <w:bidi w:val="0"/>
        <w:adjustRightInd/>
        <w:snapToGrid/>
        <w:spacing w:line="588"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23.医疗卫生与计划生育（类）医疗保障（款）其他医疗保障支出（项）：反应其他用于医疗保障方面的支出。</w:t>
      </w:r>
    </w:p>
    <w:p>
      <w:pPr>
        <w:keepNext w:val="0"/>
        <w:keepLines w:val="0"/>
        <w:pageBreakBefore w:val="0"/>
        <w:widowControl w:val="0"/>
        <w:kinsoku/>
        <w:wordWrap/>
        <w:overflowPunct/>
        <w:topLinePunct w:val="0"/>
        <w:autoSpaceDE/>
        <w:autoSpaceDN/>
        <w:bidi w:val="0"/>
        <w:adjustRightInd/>
        <w:snapToGrid/>
        <w:spacing w:line="588"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24.住房保障支出（类）住房改革支出（款）住房公积金（项）：指反映行政事业单位按人力资源和社会保障部、财政部规定的基本工资和津补贴以及规定比例为职工缴纳的住房公积金。</w:t>
      </w:r>
    </w:p>
    <w:p>
      <w:pPr>
        <w:keepNext w:val="0"/>
        <w:keepLines w:val="0"/>
        <w:pageBreakBefore w:val="0"/>
        <w:widowControl w:val="0"/>
        <w:kinsoku/>
        <w:wordWrap/>
        <w:overflowPunct/>
        <w:topLinePunct w:val="0"/>
        <w:autoSpaceDE/>
        <w:autoSpaceDN/>
        <w:bidi w:val="0"/>
        <w:adjustRightInd/>
        <w:snapToGrid/>
        <w:spacing w:line="588"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25.住房保障支出（类）住房改革支出（款）购房补贴（项）：指反映按房改政策规定，行政事业单位向符合条件职工（含离退休人员）、军队（含武警）向转役复员离退休人员发放的用于购买住房的补贴。</w:t>
      </w:r>
    </w:p>
    <w:p>
      <w:pPr>
        <w:keepNext w:val="0"/>
        <w:keepLines w:val="0"/>
        <w:pageBreakBefore w:val="0"/>
        <w:widowControl w:val="0"/>
        <w:kinsoku/>
        <w:wordWrap/>
        <w:overflowPunct/>
        <w:topLinePunct w:val="0"/>
        <w:autoSpaceDE/>
        <w:autoSpaceDN/>
        <w:bidi w:val="0"/>
        <w:adjustRightInd/>
        <w:snapToGrid/>
        <w:spacing w:line="588"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（解释本部门决算报表中全部功能分类科目至项级，请参照《201</w:t>
      </w:r>
      <w:r>
        <w:rPr>
          <w:rFonts w:hint="eastAsia" w:ascii="仿宋_GB2312" w:hAnsi="仿宋_GB2312" w:eastAsia="仿宋_GB2312" w:cs="仿宋_GB2312"/>
          <w:color w:val="auto"/>
          <w:sz w:val="32"/>
          <w:szCs w:val="32"/>
          <w:lang w:val="en-US" w:eastAsia="zh-CN"/>
        </w:rPr>
        <w:t>9</w:t>
      </w:r>
      <w:r>
        <w:rPr>
          <w:rFonts w:hint="eastAsia" w:ascii="仿宋_GB2312" w:hAnsi="仿宋_GB2312" w:eastAsia="仿宋_GB2312" w:cs="仿宋_GB2312"/>
          <w:color w:val="auto"/>
          <w:sz w:val="32"/>
          <w:szCs w:val="32"/>
        </w:rPr>
        <w:t>年政府收支分类科目》增减内容。）</w:t>
      </w:r>
    </w:p>
    <w:p>
      <w:pPr>
        <w:keepNext w:val="0"/>
        <w:keepLines w:val="0"/>
        <w:pageBreakBefore w:val="0"/>
        <w:widowControl w:val="0"/>
        <w:kinsoku/>
        <w:wordWrap/>
        <w:overflowPunct/>
        <w:topLinePunct w:val="0"/>
        <w:autoSpaceDE/>
        <w:autoSpaceDN/>
        <w:bidi w:val="0"/>
        <w:adjustRightInd/>
        <w:snapToGrid/>
        <w:spacing w:line="588"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w:t>
      </w:r>
      <w:r>
        <w:rPr>
          <w:rFonts w:hint="eastAsia" w:ascii="仿宋_GB2312" w:hAnsi="仿宋_GB2312" w:eastAsia="仿宋_GB2312" w:cs="仿宋_GB2312"/>
          <w:color w:val="auto"/>
          <w:sz w:val="32"/>
          <w:szCs w:val="32"/>
          <w:lang w:val="en-US" w:eastAsia="zh-CN"/>
        </w:rPr>
        <w:t>6</w:t>
      </w:r>
      <w:r>
        <w:rPr>
          <w:rFonts w:hint="eastAsia" w:ascii="仿宋_GB2312" w:hAnsi="仿宋_GB2312" w:eastAsia="仿宋_GB2312" w:cs="仿宋_GB2312"/>
          <w:color w:val="auto"/>
          <w:sz w:val="32"/>
          <w:szCs w:val="32"/>
        </w:rPr>
        <w:t>.基本支出：指为保障机构正常运转、完成日常工作任务而发生的人员支出和公用支出。</w:t>
      </w:r>
    </w:p>
    <w:p>
      <w:pPr>
        <w:keepNext w:val="0"/>
        <w:keepLines w:val="0"/>
        <w:pageBreakBefore w:val="0"/>
        <w:widowControl w:val="0"/>
        <w:kinsoku/>
        <w:wordWrap/>
        <w:overflowPunct/>
        <w:topLinePunct w:val="0"/>
        <w:autoSpaceDE/>
        <w:autoSpaceDN/>
        <w:bidi w:val="0"/>
        <w:adjustRightInd/>
        <w:snapToGrid/>
        <w:spacing w:line="588"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w:t>
      </w:r>
      <w:r>
        <w:rPr>
          <w:rFonts w:hint="eastAsia" w:ascii="仿宋_GB2312" w:hAnsi="仿宋_GB2312" w:eastAsia="仿宋_GB2312" w:cs="仿宋_GB2312"/>
          <w:color w:val="auto"/>
          <w:sz w:val="32"/>
          <w:szCs w:val="32"/>
          <w:lang w:val="en-US" w:eastAsia="zh-CN"/>
        </w:rPr>
        <w:t>7</w:t>
      </w:r>
      <w:r>
        <w:rPr>
          <w:rFonts w:hint="eastAsia" w:ascii="仿宋_GB2312" w:hAnsi="仿宋_GB2312" w:eastAsia="仿宋_GB2312" w:cs="仿宋_GB2312"/>
          <w:color w:val="auto"/>
          <w:sz w:val="32"/>
          <w:szCs w:val="32"/>
        </w:rPr>
        <w:t>.项目支出：指在基本支出之外为完成特定行政任务和事业发展目标所发生的支出。</w:t>
      </w:r>
    </w:p>
    <w:p>
      <w:pPr>
        <w:keepNext w:val="0"/>
        <w:keepLines w:val="0"/>
        <w:pageBreakBefore w:val="0"/>
        <w:widowControl w:val="0"/>
        <w:kinsoku/>
        <w:wordWrap/>
        <w:overflowPunct/>
        <w:topLinePunct w:val="0"/>
        <w:autoSpaceDE/>
        <w:autoSpaceDN/>
        <w:bidi w:val="0"/>
        <w:adjustRightInd/>
        <w:snapToGrid/>
        <w:spacing w:line="588"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w:t>
      </w:r>
      <w:r>
        <w:rPr>
          <w:rFonts w:hint="eastAsia" w:ascii="仿宋_GB2312" w:hAnsi="仿宋_GB2312" w:eastAsia="仿宋_GB2312" w:cs="仿宋_GB2312"/>
          <w:color w:val="auto"/>
          <w:sz w:val="32"/>
          <w:szCs w:val="32"/>
          <w:lang w:val="en-US" w:eastAsia="zh-CN"/>
        </w:rPr>
        <w:t>8</w:t>
      </w:r>
      <w:r>
        <w:rPr>
          <w:rFonts w:hint="eastAsia" w:ascii="仿宋_GB2312" w:hAnsi="仿宋_GB2312" w:eastAsia="仿宋_GB2312" w:cs="仿宋_GB2312"/>
          <w:color w:val="auto"/>
          <w:sz w:val="32"/>
          <w:szCs w:val="32"/>
        </w:rPr>
        <w:t>.经营支出：指事业单位在专业业务活动及其辅助活动之外开展非独立核算经营活动发生的支出。</w:t>
      </w:r>
    </w:p>
    <w:p>
      <w:pPr>
        <w:keepNext w:val="0"/>
        <w:keepLines w:val="0"/>
        <w:pageBreakBefore w:val="0"/>
        <w:widowControl w:val="0"/>
        <w:kinsoku/>
        <w:wordWrap/>
        <w:overflowPunct/>
        <w:topLinePunct w:val="0"/>
        <w:autoSpaceDE/>
        <w:autoSpaceDN/>
        <w:bidi w:val="0"/>
        <w:adjustRightInd/>
        <w:snapToGrid/>
        <w:spacing w:line="588"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29</w:t>
      </w:r>
      <w:r>
        <w:rPr>
          <w:rFonts w:hint="eastAsia" w:ascii="仿宋_GB2312" w:hAnsi="仿宋_GB2312" w:eastAsia="仿宋_GB2312" w:cs="仿宋_GB2312"/>
          <w:color w:val="auto"/>
          <w:sz w:val="32"/>
          <w:szCs w:val="32"/>
        </w:rPr>
        <w:t>.“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keepNext w:val="0"/>
        <w:keepLines w:val="0"/>
        <w:pageBreakBefore w:val="0"/>
        <w:widowControl w:val="0"/>
        <w:kinsoku/>
        <w:wordWrap/>
        <w:overflowPunct/>
        <w:topLinePunct w:val="0"/>
        <w:autoSpaceDE/>
        <w:autoSpaceDN/>
        <w:bidi w:val="0"/>
        <w:adjustRightInd/>
        <w:snapToGrid/>
        <w:spacing w:line="588"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w:t>
      </w:r>
      <w:r>
        <w:rPr>
          <w:rFonts w:hint="eastAsia" w:ascii="仿宋_GB2312" w:hAnsi="仿宋_GB2312" w:eastAsia="仿宋_GB2312" w:cs="仿宋_GB2312"/>
          <w:color w:val="auto"/>
          <w:sz w:val="32"/>
          <w:szCs w:val="32"/>
          <w:lang w:val="en-US" w:eastAsia="zh-CN"/>
        </w:rPr>
        <w:t>0</w:t>
      </w:r>
      <w:r>
        <w:rPr>
          <w:rFonts w:hint="eastAsia" w:ascii="仿宋_GB2312" w:hAnsi="仿宋_GB2312" w:eastAsia="仿宋_GB2312" w:cs="仿宋_GB2312"/>
          <w:color w:val="auto"/>
          <w:sz w:val="32"/>
          <w:szCs w:val="32"/>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keepNext w:val="0"/>
        <w:keepLines w:val="0"/>
        <w:pageBreakBefore w:val="0"/>
        <w:widowControl w:val="0"/>
        <w:kinsoku/>
        <w:wordWrap/>
        <w:overflowPunct/>
        <w:topLinePunct w:val="0"/>
        <w:autoSpaceDE/>
        <w:autoSpaceDN/>
        <w:bidi w:val="0"/>
        <w:adjustRightInd/>
        <w:snapToGrid/>
        <w:spacing w:line="588" w:lineRule="exact"/>
        <w:ind w:firstLine="640" w:firstLineChars="200"/>
        <w:textAlignment w:val="auto"/>
        <w:rPr>
          <w:rStyle w:val="24"/>
          <w:rFonts w:ascii="黑体" w:hAnsi="黑体" w:eastAsia="黑体"/>
          <w:b w:val="0"/>
        </w:rPr>
      </w:pPr>
      <w:r>
        <w:rPr>
          <w:rFonts w:hint="eastAsia" w:ascii="仿宋_GB2312" w:hAnsi="仿宋_GB2312" w:eastAsia="仿宋_GB2312" w:cs="仿宋_GB2312"/>
          <w:color w:val="auto"/>
          <w:sz w:val="32"/>
          <w:szCs w:val="32"/>
        </w:rPr>
        <w:t>（名词解释部分请根据各部门实际列支情况罗列，并根据本部门职责职能增减名词解释内容。）</w:t>
      </w:r>
    </w:p>
    <w:p>
      <w:pPr>
        <w:spacing w:line="600" w:lineRule="exact"/>
        <w:jc w:val="left"/>
        <w:rPr>
          <w:rFonts w:ascii="宋体"/>
          <w:b/>
          <w:color w:val="000000"/>
          <w:sz w:val="44"/>
          <w:szCs w:val="44"/>
        </w:rPr>
      </w:pPr>
    </w:p>
    <w:p>
      <w:pPr>
        <w:spacing w:line="600" w:lineRule="exact"/>
        <w:jc w:val="center"/>
        <w:outlineLvl w:val="0"/>
        <w:rPr>
          <w:rStyle w:val="24"/>
          <w:rFonts w:ascii="黑体" w:hAnsi="黑体" w:eastAsia="黑体"/>
          <w:b w:val="0"/>
        </w:rPr>
      </w:pPr>
      <w:bookmarkStart w:id="53" w:name="_Toc15396614"/>
      <w:bookmarkStart w:id="54" w:name="_Toc15377226"/>
      <w:r>
        <w:rPr>
          <w:rFonts w:hint="eastAsia" w:ascii="黑体" w:hAnsi="黑体" w:eastAsia="黑体"/>
          <w:color w:val="000000"/>
          <w:sz w:val="44"/>
          <w:szCs w:val="44"/>
        </w:rPr>
        <w:t>第</w:t>
      </w:r>
      <w:r>
        <w:rPr>
          <w:rStyle w:val="24"/>
          <w:rFonts w:hint="eastAsia" w:ascii="黑体" w:hAnsi="黑体" w:eastAsia="黑体"/>
          <w:b w:val="0"/>
        </w:rPr>
        <w:t>四部分附件</w:t>
      </w:r>
      <w:bookmarkEnd w:id="53"/>
    </w:p>
    <w:p>
      <w:pPr>
        <w:spacing w:line="600" w:lineRule="exact"/>
        <w:jc w:val="left"/>
        <w:outlineLvl w:val="0"/>
        <w:rPr>
          <w:rFonts w:ascii="方正小标宋简体" w:hAnsi="方正小标宋简体" w:eastAsia="方正小标宋简体" w:cs="方正小标宋简体"/>
          <w:sz w:val="32"/>
          <w:szCs w:val="32"/>
        </w:rPr>
      </w:pPr>
      <w:r>
        <w:rPr>
          <w:rFonts w:hint="eastAsia" w:ascii="黑体" w:hAnsi="黑体" w:eastAsia="黑体" w:cs="黑体"/>
          <w:sz w:val="32"/>
          <w:szCs w:val="32"/>
        </w:rPr>
        <w:t>附件1</w:t>
      </w:r>
    </w:p>
    <w:p>
      <w:pPr>
        <w:spacing w:line="580" w:lineRule="exact"/>
        <w:jc w:val="center"/>
        <w:rPr>
          <w:rFonts w:ascii="方正小标宋简体" w:hAnsi="方正小标宋简体" w:eastAsia="方正小标宋简体" w:cs="方正小标宋简体"/>
          <w:sz w:val="44"/>
          <w:szCs w:val="44"/>
        </w:rPr>
      </w:pPr>
    </w:p>
    <w:p>
      <w:pPr>
        <w:spacing w:line="600" w:lineRule="exact"/>
        <w:jc w:val="center"/>
        <w:rPr>
          <w:rFonts w:ascii="方正小标宋简体" w:hAnsi="宋体" w:eastAsia="方正小标宋简体"/>
          <w:color w:val="000000"/>
          <w:kern w:val="0"/>
          <w:sz w:val="40"/>
          <w:szCs w:val="44"/>
          <w:lang w:val="zh-CN"/>
        </w:rPr>
      </w:pPr>
      <w:r>
        <w:rPr>
          <w:rFonts w:hint="eastAsia" w:ascii="方正小标宋简体" w:hAnsi="宋体" w:eastAsia="方正小标宋简体"/>
          <w:color w:val="000000"/>
          <w:kern w:val="0"/>
          <w:sz w:val="40"/>
          <w:szCs w:val="44"/>
          <w:lang w:eastAsia="zh-CN"/>
        </w:rPr>
        <w:t>遂宁市教育和体育局</w:t>
      </w:r>
      <w:r>
        <w:rPr>
          <w:rFonts w:ascii="方正小标宋简体" w:hAnsi="宋体" w:eastAsia="方正小标宋简体"/>
          <w:color w:val="000000"/>
          <w:kern w:val="0"/>
          <w:sz w:val="40"/>
          <w:szCs w:val="44"/>
        </w:rPr>
        <w:t>2019年部门</w:t>
      </w:r>
      <w:r>
        <w:rPr>
          <w:rFonts w:hint="eastAsia" w:ascii="方正小标宋简体" w:hAnsi="宋体" w:eastAsia="方正小标宋简体"/>
          <w:color w:val="000000"/>
          <w:kern w:val="0"/>
          <w:sz w:val="40"/>
          <w:szCs w:val="44"/>
          <w:lang w:val="zh-CN"/>
        </w:rPr>
        <w:t>整体支出绩效评价报告</w:t>
      </w:r>
    </w:p>
    <w:p>
      <w:pPr>
        <w:widowControl/>
        <w:spacing w:line="580" w:lineRule="exact"/>
        <w:ind w:firstLine="640" w:firstLineChars="200"/>
        <w:contextualSpacing/>
        <w:jc w:val="center"/>
        <w:rPr>
          <w:rFonts w:ascii="仿宋_GB2312" w:hAnsi="宋体" w:eastAsia="仿宋_GB2312"/>
          <w:sz w:val="32"/>
          <w:szCs w:val="32"/>
          <w:shd w:val="clear" w:color="auto" w:fill="FFFFFF"/>
        </w:rPr>
      </w:pPr>
      <w:r>
        <w:rPr>
          <w:rFonts w:hint="eastAsia" w:ascii="仿宋_GB2312" w:hAnsi="宋体" w:eastAsia="仿宋_GB2312"/>
          <w:sz w:val="32"/>
          <w:szCs w:val="32"/>
          <w:shd w:val="clear" w:color="auto" w:fill="FFFFFF"/>
        </w:rPr>
        <w:t>（报告范围包括机关和下属单位）</w:t>
      </w:r>
    </w:p>
    <w:p>
      <w:pPr>
        <w:widowControl/>
        <w:adjustRightInd w:val="0"/>
        <w:snapToGrid w:val="0"/>
        <w:spacing w:line="580" w:lineRule="exact"/>
        <w:ind w:firstLine="480" w:firstLineChars="200"/>
        <w:contextualSpacing/>
        <w:jc w:val="left"/>
        <w:rPr>
          <w:rFonts w:ascii="黑体" w:hAnsi="宋体" w:eastAsia="黑体" w:cs="宋体"/>
          <w:color w:val="000000"/>
          <w:kern w:val="0"/>
          <w:sz w:val="24"/>
          <w:szCs w:val="32"/>
          <w:shd w:val="clear" w:color="auto" w:fill="FFFFFF"/>
        </w:rPr>
      </w:pPr>
    </w:p>
    <w:p>
      <w:pPr>
        <w:widowControl/>
        <w:adjustRightInd w:val="0"/>
        <w:snapToGrid w:val="0"/>
        <w:spacing w:line="580" w:lineRule="exact"/>
        <w:ind w:firstLine="640" w:firstLineChars="200"/>
        <w:contextualSpacing/>
        <w:jc w:val="left"/>
        <w:rPr>
          <w:rFonts w:ascii="黑体" w:hAnsi="宋体" w:eastAsia="黑体" w:cs="宋体"/>
          <w:color w:val="000000"/>
          <w:kern w:val="0"/>
          <w:sz w:val="32"/>
          <w:szCs w:val="32"/>
          <w:shd w:val="clear" w:color="auto" w:fill="FFFFFF"/>
          <w:lang w:val="zh-CN"/>
        </w:rPr>
      </w:pPr>
      <w:r>
        <w:rPr>
          <w:rFonts w:hint="eastAsia" w:ascii="黑体" w:hAnsi="宋体" w:eastAsia="黑体" w:cs="宋体"/>
          <w:color w:val="000000"/>
          <w:kern w:val="0"/>
          <w:sz w:val="32"/>
          <w:szCs w:val="32"/>
          <w:shd w:val="clear" w:color="auto" w:fill="FFFFFF"/>
        </w:rPr>
        <w:t>一、</w:t>
      </w:r>
      <w:r>
        <w:rPr>
          <w:rFonts w:hint="eastAsia" w:ascii="黑体" w:hAnsi="宋体" w:eastAsia="黑体" w:cs="宋体"/>
          <w:color w:val="000000"/>
          <w:kern w:val="0"/>
          <w:sz w:val="32"/>
          <w:szCs w:val="32"/>
          <w:shd w:val="clear" w:color="auto" w:fill="FFFFFF"/>
          <w:lang w:val="zh-CN"/>
        </w:rPr>
        <w:t>部门（单位）概况</w:t>
      </w:r>
    </w:p>
    <w:p>
      <w:pPr>
        <w:widowControl/>
        <w:adjustRightInd w:val="0"/>
        <w:snapToGrid w:val="0"/>
        <w:spacing w:line="580" w:lineRule="exact"/>
        <w:ind w:firstLine="640" w:firstLineChars="200"/>
        <w:contextualSpacing/>
        <w:jc w:val="left"/>
        <w:rPr>
          <w:rFonts w:hint="eastAsia"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（一）机构组成。</w:t>
      </w:r>
    </w:p>
    <w:p>
      <w:pPr>
        <w:spacing w:line="58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遂宁市教育</w:t>
      </w:r>
      <w:r>
        <w:rPr>
          <w:rFonts w:hint="eastAsia" w:ascii="仿宋" w:hAnsi="仿宋" w:eastAsia="仿宋" w:cs="仿宋_GB2312"/>
          <w:sz w:val="32"/>
          <w:szCs w:val="32"/>
          <w:lang w:eastAsia="zh-CN"/>
        </w:rPr>
        <w:t>和体育</w:t>
      </w:r>
      <w:r>
        <w:rPr>
          <w:rFonts w:hint="eastAsia" w:ascii="仿宋" w:hAnsi="仿宋" w:eastAsia="仿宋" w:cs="仿宋_GB2312"/>
          <w:sz w:val="32"/>
          <w:szCs w:val="32"/>
        </w:rPr>
        <w:t>局下属预算单位1</w:t>
      </w:r>
      <w:r>
        <w:rPr>
          <w:rFonts w:hint="eastAsia" w:ascii="仿宋" w:hAnsi="仿宋" w:eastAsia="仿宋" w:cs="仿宋_GB2312"/>
          <w:sz w:val="32"/>
          <w:szCs w:val="32"/>
          <w:lang w:val="en-US" w:eastAsia="zh-CN"/>
        </w:rPr>
        <w:t>2</w:t>
      </w:r>
      <w:r>
        <w:rPr>
          <w:rFonts w:hint="eastAsia" w:ascii="仿宋" w:hAnsi="仿宋" w:eastAsia="仿宋" w:cs="仿宋_GB2312"/>
          <w:sz w:val="32"/>
          <w:szCs w:val="32"/>
        </w:rPr>
        <w:t>个，其中行政单位1个，参照公务员法管理的事业单位1个（遂宁市大学中专招生委员会办公室），其他事业单位2个（遂宁市电教教仪站、遂宁市教育科学研究所），</w:t>
      </w:r>
      <w:r>
        <w:rPr>
          <w:rFonts w:hint="eastAsia" w:ascii="仿宋" w:hAnsi="仿宋" w:eastAsia="仿宋" w:cs="仿宋_GB2312"/>
          <w:sz w:val="32"/>
          <w:szCs w:val="32"/>
          <w:lang w:eastAsia="zh-CN"/>
        </w:rPr>
        <w:t>八</w:t>
      </w:r>
      <w:r>
        <w:rPr>
          <w:rFonts w:hint="eastAsia" w:ascii="仿宋" w:hAnsi="仿宋" w:eastAsia="仿宋" w:cs="仿宋_GB2312"/>
          <w:sz w:val="32"/>
          <w:szCs w:val="32"/>
        </w:rPr>
        <w:t>所学校（遂宁中学、遂宁一中、遂宁二中、遂宁四中、遂宁市职业技术学校、遂宁电大</w:t>
      </w:r>
      <w:r>
        <w:rPr>
          <w:rFonts w:hint="eastAsia" w:ascii="仿宋" w:hAnsi="仿宋" w:eastAsia="仿宋" w:cs="仿宋_GB2312"/>
          <w:sz w:val="32"/>
          <w:szCs w:val="32"/>
          <w:lang w:eastAsia="zh-CN"/>
        </w:rPr>
        <w:t>、</w:t>
      </w:r>
      <w:r>
        <w:rPr>
          <w:rFonts w:hint="eastAsia" w:ascii="仿宋" w:hAnsi="仿宋" w:eastAsia="仿宋" w:cs="仿宋"/>
          <w:bCs/>
          <w:sz w:val="32"/>
          <w:szCs w:val="32"/>
        </w:rPr>
        <w:t>遂宁市少年儿童业余体育学校、遂宁市水上运动学校</w:t>
      </w:r>
      <w:r>
        <w:rPr>
          <w:rFonts w:hint="eastAsia" w:ascii="仿宋" w:hAnsi="仿宋" w:eastAsia="仿宋" w:cs="仿宋_GB2312"/>
          <w:sz w:val="32"/>
          <w:szCs w:val="32"/>
        </w:rPr>
        <w:t>），本年机构无变动情况。</w:t>
      </w:r>
    </w:p>
    <w:p>
      <w:pPr>
        <w:widowControl/>
        <w:numPr>
          <w:ilvl w:val="0"/>
          <w:numId w:val="0"/>
        </w:numPr>
        <w:adjustRightInd w:val="0"/>
        <w:snapToGrid w:val="0"/>
        <w:spacing w:line="580" w:lineRule="exact"/>
        <w:ind w:firstLine="640" w:firstLineChars="200"/>
        <w:contextualSpacing/>
        <w:jc w:val="left"/>
        <w:rPr>
          <w:rFonts w:hint="eastAsia"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（二）机构职能。</w:t>
      </w:r>
    </w:p>
    <w:p>
      <w:pPr>
        <w:spacing w:line="58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拟订全市教育体制改革政策和教育事业发展规划，负责各级各类教育的统筹规划和协调管理，指导各级各类学校的教育教学改革和中小学布局结构的调整；负责义务教育、普通高中教育、幼儿教育和特殊教育宏观指导工作；统筹和指导全市教育督导工作；指导以就业为导向的职业教育的发展与改革；负责本部门教育经费的统筹管理和教育资助政策落实，参与拟订筹措教育经费、教育拨款、教育基建投资的政策和措施；统筹规划、综合管理全市民办教育；主管全市教师工作；指导各级各类学校的思想政治、德育、体育卫生与艺术教育、国防教育、安全、文明校园建设、社会治安综合治理和稳定工作；贯彻执行国家和省有关招生和毕业生就业方针、政策；承担市语言文字工作委员会的具体工作；指导全市各级各类学校的教育科研工作；指导全市教育系统国际、国内交流与合作有关管理工作；负责全市教育工会工作，指导教育系统的学会、基金会等社团组织工作。</w:t>
      </w:r>
    </w:p>
    <w:p>
      <w:pPr>
        <w:widowControl/>
        <w:numPr>
          <w:ilvl w:val="0"/>
          <w:numId w:val="6"/>
        </w:numPr>
        <w:adjustRightInd w:val="0"/>
        <w:snapToGrid w:val="0"/>
        <w:spacing w:line="580" w:lineRule="exact"/>
        <w:ind w:firstLine="640" w:firstLineChars="200"/>
        <w:contextualSpacing/>
        <w:jc w:val="left"/>
        <w:rPr>
          <w:rFonts w:hint="eastAsia"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人员概况。</w:t>
      </w:r>
    </w:p>
    <w:p>
      <w:pPr>
        <w:spacing w:line="588"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我局机关及下属事业单位本级纳入了财政预算，2017年年初预算，编制人数为1</w:t>
      </w:r>
      <w:r>
        <w:rPr>
          <w:rFonts w:hint="eastAsia" w:ascii="仿宋_GB2312" w:hAnsi="仿宋_GB2312" w:eastAsia="仿宋_GB2312" w:cs="仿宋_GB2312"/>
          <w:color w:val="auto"/>
          <w:sz w:val="32"/>
          <w:szCs w:val="32"/>
          <w:lang w:val="en-US" w:eastAsia="zh-CN"/>
        </w:rPr>
        <w:t>710</w:t>
      </w:r>
      <w:r>
        <w:rPr>
          <w:rFonts w:hint="eastAsia" w:ascii="仿宋_GB2312" w:hAnsi="仿宋_GB2312" w:eastAsia="仿宋_GB2312" w:cs="仿宋_GB2312"/>
          <w:color w:val="auto"/>
          <w:sz w:val="32"/>
          <w:szCs w:val="32"/>
        </w:rPr>
        <w:t>人，其中行政编制</w:t>
      </w:r>
      <w:r>
        <w:rPr>
          <w:rFonts w:hint="eastAsia" w:ascii="仿宋_GB2312" w:hAnsi="仿宋_GB2312" w:eastAsia="仿宋_GB2312" w:cs="仿宋_GB2312"/>
          <w:color w:val="auto"/>
          <w:sz w:val="32"/>
          <w:szCs w:val="32"/>
          <w:lang w:val="en-US" w:eastAsia="zh-CN"/>
        </w:rPr>
        <w:t>45</w:t>
      </w:r>
      <w:r>
        <w:rPr>
          <w:rFonts w:hint="eastAsia" w:ascii="仿宋_GB2312" w:hAnsi="仿宋_GB2312" w:eastAsia="仿宋_GB2312" w:cs="仿宋_GB2312"/>
          <w:color w:val="auto"/>
          <w:sz w:val="32"/>
          <w:szCs w:val="32"/>
        </w:rPr>
        <w:t>人，</w:t>
      </w:r>
      <w:r>
        <w:rPr>
          <w:rFonts w:hint="eastAsia" w:ascii="仿宋_GB2312" w:hAnsi="仿宋_GB2312" w:eastAsia="仿宋_GB2312" w:cs="仿宋_GB2312"/>
          <w:color w:val="auto"/>
          <w:sz w:val="32"/>
          <w:szCs w:val="32"/>
          <w:lang w:eastAsia="zh-CN"/>
        </w:rPr>
        <w:t>行政工勤编制</w:t>
      </w:r>
      <w:r>
        <w:rPr>
          <w:rFonts w:hint="eastAsia" w:ascii="仿宋_GB2312" w:hAnsi="仿宋_GB2312" w:eastAsia="仿宋_GB2312" w:cs="仿宋_GB2312"/>
          <w:color w:val="auto"/>
          <w:sz w:val="32"/>
          <w:szCs w:val="32"/>
          <w:lang w:val="en-US" w:eastAsia="zh-CN"/>
        </w:rPr>
        <w:t>2人，</w:t>
      </w:r>
      <w:r>
        <w:rPr>
          <w:rFonts w:hint="eastAsia" w:ascii="仿宋_GB2312" w:hAnsi="仿宋_GB2312" w:eastAsia="仿宋_GB2312" w:cs="仿宋_GB2312"/>
          <w:color w:val="auto"/>
          <w:sz w:val="32"/>
          <w:szCs w:val="32"/>
        </w:rPr>
        <w:t>事业编制16</w:t>
      </w:r>
      <w:r>
        <w:rPr>
          <w:rFonts w:hint="eastAsia" w:ascii="仿宋_GB2312" w:hAnsi="仿宋_GB2312" w:eastAsia="仿宋_GB2312" w:cs="仿宋_GB2312"/>
          <w:color w:val="auto"/>
          <w:sz w:val="32"/>
          <w:szCs w:val="32"/>
          <w:lang w:val="en-US" w:eastAsia="zh-CN"/>
        </w:rPr>
        <w:t>63</w:t>
      </w:r>
      <w:r>
        <w:rPr>
          <w:rFonts w:hint="eastAsia" w:ascii="仿宋_GB2312" w:hAnsi="仿宋_GB2312" w:eastAsia="仿宋_GB2312" w:cs="仿宋_GB2312"/>
          <w:color w:val="auto"/>
          <w:sz w:val="32"/>
          <w:szCs w:val="32"/>
        </w:rPr>
        <w:t>人；年初预算实有在职人员</w:t>
      </w:r>
      <w:r>
        <w:rPr>
          <w:rFonts w:hint="eastAsia" w:ascii="仿宋_GB2312" w:hAnsi="仿宋_GB2312" w:eastAsia="仿宋_GB2312" w:cs="仿宋_GB2312"/>
          <w:color w:val="auto"/>
          <w:sz w:val="32"/>
          <w:szCs w:val="32"/>
          <w:lang w:val="en-US" w:eastAsia="zh-CN"/>
        </w:rPr>
        <w:t>1567</w:t>
      </w:r>
      <w:r>
        <w:rPr>
          <w:rFonts w:hint="eastAsia" w:ascii="仿宋_GB2312" w:hAnsi="仿宋_GB2312" w:eastAsia="仿宋_GB2312" w:cs="仿宋_GB2312"/>
          <w:color w:val="auto"/>
          <w:sz w:val="32"/>
          <w:szCs w:val="32"/>
        </w:rPr>
        <w:t>人，其中公务员</w:t>
      </w: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rPr>
        <w:t>7人，</w:t>
      </w:r>
      <w:r>
        <w:rPr>
          <w:rFonts w:hint="eastAsia" w:ascii="仿宋_GB2312" w:hAnsi="仿宋_GB2312" w:eastAsia="仿宋_GB2312" w:cs="仿宋_GB2312"/>
          <w:color w:val="auto"/>
          <w:sz w:val="32"/>
          <w:szCs w:val="32"/>
          <w:lang w:eastAsia="zh-CN"/>
        </w:rPr>
        <w:t>工勤人员</w:t>
      </w:r>
      <w:r>
        <w:rPr>
          <w:rFonts w:hint="eastAsia" w:ascii="仿宋_GB2312" w:hAnsi="仿宋_GB2312" w:eastAsia="仿宋_GB2312" w:cs="仿宋_GB2312"/>
          <w:color w:val="auto"/>
          <w:sz w:val="32"/>
          <w:szCs w:val="32"/>
          <w:lang w:val="en-US" w:eastAsia="zh-CN"/>
        </w:rPr>
        <w:t>2人，</w:t>
      </w:r>
      <w:r>
        <w:rPr>
          <w:rFonts w:hint="eastAsia" w:ascii="仿宋_GB2312" w:hAnsi="仿宋_GB2312" w:eastAsia="仿宋_GB2312" w:cs="仿宋_GB2312"/>
          <w:color w:val="auto"/>
          <w:sz w:val="32"/>
          <w:szCs w:val="32"/>
        </w:rPr>
        <w:t>事业人员15</w:t>
      </w:r>
      <w:r>
        <w:rPr>
          <w:rFonts w:hint="eastAsia" w:ascii="仿宋_GB2312" w:hAnsi="仿宋_GB2312" w:eastAsia="仿宋_GB2312" w:cs="仿宋_GB2312"/>
          <w:color w:val="auto"/>
          <w:sz w:val="32"/>
          <w:szCs w:val="32"/>
          <w:lang w:val="en-US" w:eastAsia="zh-CN"/>
        </w:rPr>
        <w:t>28</w:t>
      </w:r>
      <w:r>
        <w:rPr>
          <w:rFonts w:hint="eastAsia" w:ascii="仿宋_GB2312" w:hAnsi="仿宋_GB2312" w:eastAsia="仿宋_GB2312" w:cs="仿宋_GB2312"/>
          <w:color w:val="auto"/>
          <w:sz w:val="32"/>
          <w:szCs w:val="32"/>
        </w:rPr>
        <w:t>人，其他人员43人，遗属人员40人。我局另有退休人员</w:t>
      </w:r>
      <w:r>
        <w:rPr>
          <w:rFonts w:hint="eastAsia" w:ascii="仿宋_GB2312" w:hAnsi="仿宋_GB2312" w:eastAsia="仿宋_GB2312" w:cs="仿宋_GB2312"/>
          <w:color w:val="auto"/>
          <w:sz w:val="32"/>
          <w:szCs w:val="32"/>
          <w:lang w:val="en-US" w:eastAsia="zh-CN"/>
        </w:rPr>
        <w:t>15</w:t>
      </w:r>
      <w:r>
        <w:rPr>
          <w:rFonts w:hint="eastAsia" w:ascii="仿宋_GB2312" w:hAnsi="仿宋_GB2312" w:eastAsia="仿宋_GB2312" w:cs="仿宋_GB2312"/>
          <w:color w:val="auto"/>
          <w:sz w:val="32"/>
          <w:szCs w:val="32"/>
        </w:rPr>
        <w:t>人。</w:t>
      </w:r>
    </w:p>
    <w:p>
      <w:pPr>
        <w:widowControl/>
        <w:adjustRightInd w:val="0"/>
        <w:snapToGrid w:val="0"/>
        <w:spacing w:line="580" w:lineRule="exact"/>
        <w:ind w:firstLine="640" w:firstLineChars="200"/>
        <w:contextualSpacing/>
        <w:jc w:val="left"/>
        <w:rPr>
          <w:rFonts w:ascii="黑体" w:hAnsi="宋体" w:eastAsia="黑体" w:cs="宋体"/>
          <w:color w:val="000000"/>
          <w:kern w:val="0"/>
          <w:sz w:val="32"/>
          <w:szCs w:val="32"/>
          <w:shd w:val="clear" w:color="auto" w:fill="FFFFFF"/>
        </w:rPr>
      </w:pPr>
      <w:r>
        <w:rPr>
          <w:rFonts w:hint="eastAsia" w:ascii="黑体" w:hAnsi="宋体" w:eastAsia="黑体" w:cs="宋体"/>
          <w:color w:val="000000"/>
          <w:kern w:val="0"/>
          <w:sz w:val="32"/>
          <w:szCs w:val="32"/>
          <w:shd w:val="clear" w:color="auto" w:fill="FFFFFF"/>
        </w:rPr>
        <w:t>二、部门财政资金收支情况</w:t>
      </w:r>
    </w:p>
    <w:p>
      <w:pPr>
        <w:spacing w:line="588"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我局201</w:t>
      </w:r>
      <w:r>
        <w:rPr>
          <w:rFonts w:hint="eastAsia" w:ascii="仿宋_GB2312" w:hAnsi="仿宋_GB2312" w:eastAsia="仿宋_GB2312" w:cs="仿宋_GB2312"/>
          <w:color w:val="000000"/>
          <w:sz w:val="32"/>
          <w:szCs w:val="32"/>
          <w:lang w:val="en-US" w:eastAsia="zh-CN"/>
        </w:rPr>
        <w:t>9</w:t>
      </w:r>
      <w:r>
        <w:rPr>
          <w:rFonts w:hint="eastAsia" w:ascii="仿宋_GB2312" w:hAnsi="仿宋_GB2312" w:eastAsia="仿宋_GB2312" w:cs="仿宋_GB2312"/>
          <w:color w:val="000000"/>
          <w:sz w:val="32"/>
          <w:szCs w:val="32"/>
        </w:rPr>
        <w:t>年预算收支情况如下：</w:t>
      </w:r>
    </w:p>
    <w:p>
      <w:pPr>
        <w:widowControl/>
        <w:adjustRightInd w:val="0"/>
        <w:snapToGrid w:val="0"/>
        <w:spacing w:line="580" w:lineRule="exact"/>
        <w:ind w:firstLine="640" w:firstLineChars="200"/>
        <w:contextualSpacing/>
        <w:jc w:val="left"/>
        <w:rPr>
          <w:rFonts w:hint="eastAsia" w:ascii="仿宋_GB2312" w:hAnsi="宋体" w:eastAsia="仿宋_GB2312" w:cs="宋体"/>
          <w:color w:val="000000"/>
          <w:kern w:val="0"/>
          <w:sz w:val="32"/>
          <w:szCs w:val="32"/>
          <w:shd w:val="clear" w:color="auto" w:fill="FFFFFF"/>
          <w:lang w:val="zh-CN"/>
        </w:rPr>
      </w:pPr>
    </w:p>
    <w:tbl>
      <w:tblPr>
        <w:tblStyle w:val="12"/>
        <w:tblW w:w="9240" w:type="dxa"/>
        <w:jc w:val="center"/>
        <w:tblLayout w:type="fixed"/>
        <w:tblCellMar>
          <w:top w:w="0" w:type="dxa"/>
          <w:left w:w="0" w:type="dxa"/>
          <w:bottom w:w="0" w:type="dxa"/>
          <w:right w:w="0" w:type="dxa"/>
        </w:tblCellMar>
      </w:tblPr>
      <w:tblGrid>
        <w:gridCol w:w="4738"/>
        <w:gridCol w:w="4502"/>
      </w:tblGrid>
      <w:tr>
        <w:tblPrEx>
          <w:tblCellMar>
            <w:top w:w="0" w:type="dxa"/>
            <w:left w:w="0" w:type="dxa"/>
            <w:bottom w:w="0" w:type="dxa"/>
            <w:right w:w="0" w:type="dxa"/>
          </w:tblCellMar>
        </w:tblPrEx>
        <w:trPr>
          <w:trHeight w:val="648" w:hRule="atLeast"/>
          <w:jc w:val="center"/>
        </w:trPr>
        <w:tc>
          <w:tcPr>
            <w:tcW w:w="4738" w:type="dxa"/>
            <w:tcBorders>
              <w:top w:val="single" w:color="000000" w:sz="8" w:space="0"/>
              <w:left w:val="single" w:color="000000" w:sz="8" w:space="0"/>
              <w:bottom w:val="single" w:color="000000" w:sz="8" w:space="0"/>
              <w:right w:val="single" w:color="000000" w:sz="8" w:space="0"/>
            </w:tcBorders>
            <w:noWrap/>
            <w:tcMar>
              <w:top w:w="0" w:type="dxa"/>
              <w:left w:w="108" w:type="dxa"/>
              <w:bottom w:w="0" w:type="dxa"/>
              <w:right w:w="108" w:type="dxa"/>
            </w:tcMar>
            <w:vAlign w:val="center"/>
          </w:tcPr>
          <w:p>
            <w:pPr>
              <w:widowControl/>
              <w:jc w:val="center"/>
              <w:rPr>
                <w:rFonts w:ascii="仿宋_GB2312" w:hAnsi="仿宋_GB2312" w:eastAsia="仿宋_GB2312" w:cs="仿宋_GB2312"/>
                <w:color w:val="auto"/>
                <w:kern w:val="0"/>
                <w:sz w:val="28"/>
                <w:szCs w:val="28"/>
              </w:rPr>
            </w:pPr>
            <w:r>
              <w:rPr>
                <w:rFonts w:hint="eastAsia" w:ascii="仿宋_GB2312" w:hAnsi="仿宋_GB2312" w:eastAsia="仿宋_GB2312" w:cs="仿宋_GB2312"/>
                <w:b/>
                <w:bCs/>
                <w:color w:val="auto"/>
                <w:kern w:val="0"/>
                <w:sz w:val="28"/>
                <w:szCs w:val="28"/>
              </w:rPr>
              <w:t>预算项目</w:t>
            </w:r>
          </w:p>
        </w:tc>
        <w:tc>
          <w:tcPr>
            <w:tcW w:w="4502" w:type="dxa"/>
            <w:tcBorders>
              <w:top w:val="single" w:color="000000" w:sz="8" w:space="0"/>
              <w:left w:val="nil"/>
              <w:bottom w:val="single" w:color="000000" w:sz="8" w:space="0"/>
              <w:right w:val="single" w:color="000000" w:sz="8" w:space="0"/>
            </w:tcBorders>
            <w:noWrap/>
            <w:tcMar>
              <w:top w:w="0" w:type="dxa"/>
              <w:left w:w="108" w:type="dxa"/>
              <w:bottom w:w="0" w:type="dxa"/>
              <w:right w:w="108" w:type="dxa"/>
            </w:tcMar>
            <w:vAlign w:val="center"/>
          </w:tcPr>
          <w:p>
            <w:pPr>
              <w:widowControl/>
              <w:jc w:val="center"/>
              <w:rPr>
                <w:rFonts w:ascii="仿宋_GB2312" w:hAnsi="仿宋_GB2312" w:eastAsia="仿宋_GB2312" w:cs="仿宋_GB2312"/>
                <w:color w:val="auto"/>
                <w:kern w:val="0"/>
                <w:sz w:val="28"/>
                <w:szCs w:val="28"/>
              </w:rPr>
            </w:pPr>
            <w:r>
              <w:rPr>
                <w:rFonts w:hint="eastAsia" w:ascii="仿宋_GB2312" w:hAnsi="仿宋_GB2312" w:eastAsia="仿宋_GB2312" w:cs="仿宋_GB2312"/>
                <w:b/>
                <w:bCs/>
                <w:color w:val="auto"/>
                <w:kern w:val="0"/>
                <w:sz w:val="28"/>
                <w:szCs w:val="28"/>
              </w:rPr>
              <w:t>合计</w:t>
            </w:r>
            <w:r>
              <w:rPr>
                <w:rFonts w:hint="eastAsia" w:ascii="仿宋_GB2312" w:hAnsi="仿宋_GB2312" w:eastAsia="仿宋_GB2312" w:cs="仿宋_GB2312"/>
                <w:color w:val="auto"/>
                <w:kern w:val="0"/>
                <w:sz w:val="28"/>
                <w:szCs w:val="28"/>
              </w:rPr>
              <w:t>（单位：万元）</w:t>
            </w:r>
          </w:p>
        </w:tc>
      </w:tr>
      <w:tr>
        <w:tblPrEx>
          <w:tblCellMar>
            <w:top w:w="0" w:type="dxa"/>
            <w:left w:w="0" w:type="dxa"/>
            <w:bottom w:w="0" w:type="dxa"/>
            <w:right w:w="0" w:type="dxa"/>
          </w:tblCellMar>
        </w:tblPrEx>
        <w:trPr>
          <w:trHeight w:val="648" w:hRule="atLeast"/>
          <w:jc w:val="center"/>
        </w:trPr>
        <w:tc>
          <w:tcPr>
            <w:tcW w:w="4738" w:type="dxa"/>
            <w:tcBorders>
              <w:top w:val="nil"/>
              <w:left w:val="single" w:color="000000" w:sz="8" w:space="0"/>
              <w:bottom w:val="single" w:color="000000" w:sz="8" w:space="0"/>
              <w:right w:val="single" w:color="000000" w:sz="8" w:space="0"/>
            </w:tcBorders>
            <w:noWrap/>
            <w:tcMar>
              <w:top w:w="0" w:type="dxa"/>
              <w:left w:w="108" w:type="dxa"/>
              <w:bottom w:w="0" w:type="dxa"/>
              <w:right w:w="108" w:type="dxa"/>
            </w:tcMar>
            <w:vAlign w:val="center"/>
          </w:tcPr>
          <w:p>
            <w:pPr>
              <w:widowControl/>
              <w:jc w:val="center"/>
              <w:rPr>
                <w:rFonts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财政拨款</w:t>
            </w:r>
          </w:p>
        </w:tc>
        <w:tc>
          <w:tcPr>
            <w:tcW w:w="4502" w:type="dxa"/>
            <w:tcBorders>
              <w:top w:val="nil"/>
              <w:left w:val="nil"/>
              <w:bottom w:val="single" w:color="000000" w:sz="8" w:space="0"/>
              <w:right w:val="single" w:color="000000" w:sz="8" w:space="0"/>
            </w:tcBorders>
            <w:noWrap/>
            <w:tcMar>
              <w:top w:w="0" w:type="dxa"/>
              <w:left w:w="108" w:type="dxa"/>
              <w:bottom w:w="0" w:type="dxa"/>
              <w:right w:w="108" w:type="dxa"/>
            </w:tcMar>
            <w:vAlign w:val="center"/>
          </w:tcPr>
          <w:p>
            <w:pPr>
              <w:widowControl/>
              <w:jc w:val="center"/>
              <w:rPr>
                <w:rFonts w:hint="default" w:ascii="仿宋_GB2312" w:hAnsi="仿宋_GB2312" w:eastAsia="仿宋_GB2312" w:cs="仿宋_GB2312"/>
                <w:color w:val="auto"/>
                <w:kern w:val="0"/>
                <w:sz w:val="28"/>
                <w:szCs w:val="28"/>
                <w:lang w:val="en-US" w:eastAsia="zh-CN"/>
              </w:rPr>
            </w:pPr>
            <w:r>
              <w:rPr>
                <w:rFonts w:hint="eastAsia" w:ascii="仿宋_GB2312" w:hAnsi="仿宋_GB2312" w:eastAsia="仿宋_GB2312" w:cs="仿宋_GB2312"/>
                <w:color w:val="auto"/>
                <w:kern w:val="0"/>
                <w:sz w:val="28"/>
                <w:szCs w:val="28"/>
                <w:lang w:val="en-US" w:eastAsia="zh-CN"/>
              </w:rPr>
              <w:t>43173.14</w:t>
            </w:r>
          </w:p>
        </w:tc>
      </w:tr>
      <w:tr>
        <w:tblPrEx>
          <w:tblCellMar>
            <w:top w:w="0" w:type="dxa"/>
            <w:left w:w="0" w:type="dxa"/>
            <w:bottom w:w="0" w:type="dxa"/>
            <w:right w:w="0" w:type="dxa"/>
          </w:tblCellMar>
        </w:tblPrEx>
        <w:trPr>
          <w:trHeight w:val="648" w:hRule="atLeast"/>
          <w:jc w:val="center"/>
        </w:trPr>
        <w:tc>
          <w:tcPr>
            <w:tcW w:w="4738" w:type="dxa"/>
            <w:tcBorders>
              <w:top w:val="nil"/>
              <w:left w:val="single" w:color="000000" w:sz="8" w:space="0"/>
              <w:bottom w:val="single" w:color="000000" w:sz="8" w:space="0"/>
              <w:right w:val="single" w:color="000000" w:sz="8" w:space="0"/>
            </w:tcBorders>
            <w:noWrap/>
            <w:tcMar>
              <w:top w:w="0" w:type="dxa"/>
              <w:left w:w="108" w:type="dxa"/>
              <w:bottom w:w="0" w:type="dxa"/>
              <w:right w:w="108" w:type="dxa"/>
            </w:tcMar>
            <w:vAlign w:val="center"/>
          </w:tcPr>
          <w:p>
            <w:pPr>
              <w:widowControl/>
              <w:jc w:val="center"/>
              <w:rPr>
                <w:rFonts w:ascii="仿宋_GB2312" w:hAnsi="仿宋_GB2312" w:eastAsia="仿宋_GB2312" w:cs="仿宋_GB2312"/>
                <w:color w:val="auto"/>
                <w:kern w:val="0"/>
                <w:sz w:val="28"/>
                <w:szCs w:val="28"/>
              </w:rPr>
            </w:pPr>
            <w:r>
              <w:rPr>
                <w:rFonts w:hint="eastAsia" w:ascii="仿宋_GB2312" w:hAnsi="仿宋_GB2312" w:eastAsia="仿宋_GB2312" w:cs="仿宋_GB2312"/>
                <w:b/>
                <w:bCs/>
                <w:color w:val="auto"/>
                <w:kern w:val="0"/>
                <w:sz w:val="28"/>
                <w:szCs w:val="28"/>
              </w:rPr>
              <w:t>收入预算合计</w:t>
            </w:r>
          </w:p>
        </w:tc>
        <w:tc>
          <w:tcPr>
            <w:tcW w:w="4502" w:type="dxa"/>
            <w:tcBorders>
              <w:top w:val="nil"/>
              <w:left w:val="nil"/>
              <w:bottom w:val="single" w:color="000000" w:sz="8" w:space="0"/>
              <w:right w:val="single" w:color="000000" w:sz="8" w:space="0"/>
            </w:tcBorders>
            <w:noWrap/>
            <w:tcMar>
              <w:top w:w="0" w:type="dxa"/>
              <w:left w:w="108" w:type="dxa"/>
              <w:bottom w:w="0" w:type="dxa"/>
              <w:right w:w="108" w:type="dxa"/>
            </w:tcMar>
            <w:vAlign w:val="center"/>
          </w:tcPr>
          <w:p>
            <w:pPr>
              <w:widowControl/>
              <w:jc w:val="center"/>
              <w:rPr>
                <w:rFonts w:hint="default" w:ascii="仿宋_GB2312" w:hAnsi="仿宋_GB2312" w:eastAsia="仿宋_GB2312" w:cs="仿宋_GB2312"/>
                <w:color w:val="auto"/>
                <w:kern w:val="0"/>
                <w:sz w:val="28"/>
                <w:szCs w:val="28"/>
                <w:lang w:val="en-US" w:eastAsia="zh-CN"/>
              </w:rPr>
            </w:pPr>
            <w:r>
              <w:rPr>
                <w:rFonts w:hint="eastAsia" w:ascii="仿宋_GB2312" w:hAnsi="仿宋_GB2312" w:eastAsia="仿宋_GB2312" w:cs="仿宋_GB2312"/>
                <w:color w:val="auto"/>
                <w:kern w:val="0"/>
                <w:sz w:val="28"/>
                <w:szCs w:val="28"/>
                <w:lang w:val="en-US" w:eastAsia="zh-CN"/>
              </w:rPr>
              <w:t>42331.52</w:t>
            </w:r>
          </w:p>
        </w:tc>
      </w:tr>
      <w:tr>
        <w:tblPrEx>
          <w:tblCellMar>
            <w:top w:w="0" w:type="dxa"/>
            <w:left w:w="0" w:type="dxa"/>
            <w:bottom w:w="0" w:type="dxa"/>
            <w:right w:w="0" w:type="dxa"/>
          </w:tblCellMar>
        </w:tblPrEx>
        <w:trPr>
          <w:trHeight w:val="648" w:hRule="atLeast"/>
          <w:jc w:val="center"/>
        </w:trPr>
        <w:tc>
          <w:tcPr>
            <w:tcW w:w="4738" w:type="dxa"/>
            <w:tcBorders>
              <w:top w:val="nil"/>
              <w:left w:val="single" w:color="000000" w:sz="8" w:space="0"/>
              <w:bottom w:val="single" w:color="000000" w:sz="8" w:space="0"/>
              <w:right w:val="single" w:color="000000" w:sz="8" w:space="0"/>
            </w:tcBorders>
            <w:noWrap/>
            <w:tcMar>
              <w:top w:w="0" w:type="dxa"/>
              <w:left w:w="108" w:type="dxa"/>
              <w:bottom w:w="0" w:type="dxa"/>
              <w:right w:w="108" w:type="dxa"/>
            </w:tcMar>
            <w:vAlign w:val="center"/>
          </w:tcPr>
          <w:p>
            <w:pPr>
              <w:widowControl/>
              <w:jc w:val="center"/>
              <w:rPr>
                <w:rFonts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基本支出</w:t>
            </w:r>
          </w:p>
        </w:tc>
        <w:tc>
          <w:tcPr>
            <w:tcW w:w="4502" w:type="dxa"/>
            <w:tcBorders>
              <w:top w:val="nil"/>
              <w:left w:val="nil"/>
              <w:bottom w:val="single" w:color="000000" w:sz="8" w:space="0"/>
              <w:right w:val="single" w:color="000000" w:sz="8" w:space="0"/>
            </w:tcBorders>
            <w:noWrap/>
            <w:tcMar>
              <w:top w:w="0" w:type="dxa"/>
              <w:left w:w="108" w:type="dxa"/>
              <w:bottom w:w="0" w:type="dxa"/>
              <w:right w:w="108" w:type="dxa"/>
            </w:tcMar>
            <w:vAlign w:val="center"/>
          </w:tcPr>
          <w:p>
            <w:pPr>
              <w:widowControl/>
              <w:jc w:val="center"/>
              <w:rPr>
                <w:rFonts w:hint="default" w:ascii="仿宋_GB2312" w:hAnsi="仿宋_GB2312" w:eastAsia="仿宋_GB2312" w:cs="仿宋_GB2312"/>
                <w:color w:val="auto"/>
                <w:kern w:val="0"/>
                <w:sz w:val="28"/>
                <w:szCs w:val="28"/>
                <w:lang w:val="en-US" w:eastAsia="zh-CN"/>
              </w:rPr>
            </w:pPr>
            <w:r>
              <w:rPr>
                <w:rFonts w:hint="eastAsia" w:ascii="仿宋_GB2312" w:hAnsi="仿宋_GB2312" w:eastAsia="仿宋_GB2312" w:cs="仿宋_GB2312"/>
                <w:color w:val="auto"/>
                <w:kern w:val="0"/>
                <w:sz w:val="28"/>
                <w:szCs w:val="28"/>
                <w:lang w:val="en-US" w:eastAsia="zh-CN"/>
              </w:rPr>
              <w:t>19955.63</w:t>
            </w:r>
          </w:p>
        </w:tc>
      </w:tr>
      <w:tr>
        <w:tblPrEx>
          <w:tblCellMar>
            <w:top w:w="0" w:type="dxa"/>
            <w:left w:w="0" w:type="dxa"/>
            <w:bottom w:w="0" w:type="dxa"/>
            <w:right w:w="0" w:type="dxa"/>
          </w:tblCellMar>
        </w:tblPrEx>
        <w:trPr>
          <w:trHeight w:val="648" w:hRule="atLeast"/>
          <w:jc w:val="center"/>
        </w:trPr>
        <w:tc>
          <w:tcPr>
            <w:tcW w:w="4738" w:type="dxa"/>
            <w:tcBorders>
              <w:top w:val="nil"/>
              <w:left w:val="single" w:color="000000" w:sz="8" w:space="0"/>
              <w:bottom w:val="single" w:color="000000" w:sz="8" w:space="0"/>
              <w:right w:val="single" w:color="000000" w:sz="8" w:space="0"/>
            </w:tcBorders>
            <w:noWrap/>
            <w:tcMar>
              <w:top w:w="0" w:type="dxa"/>
              <w:left w:w="108" w:type="dxa"/>
              <w:bottom w:w="0" w:type="dxa"/>
              <w:right w:w="108" w:type="dxa"/>
            </w:tcMar>
            <w:vAlign w:val="center"/>
          </w:tcPr>
          <w:p>
            <w:pPr>
              <w:widowControl/>
              <w:jc w:val="center"/>
              <w:rPr>
                <w:rFonts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其中：财政拨款支出</w:t>
            </w:r>
          </w:p>
        </w:tc>
        <w:tc>
          <w:tcPr>
            <w:tcW w:w="4502" w:type="dxa"/>
            <w:tcBorders>
              <w:top w:val="nil"/>
              <w:left w:val="nil"/>
              <w:bottom w:val="single" w:color="000000" w:sz="8" w:space="0"/>
              <w:right w:val="single" w:color="000000" w:sz="8" w:space="0"/>
            </w:tcBorders>
            <w:noWrap/>
            <w:tcMar>
              <w:top w:w="0" w:type="dxa"/>
              <w:left w:w="108" w:type="dxa"/>
              <w:bottom w:w="0" w:type="dxa"/>
              <w:right w:w="108" w:type="dxa"/>
            </w:tcMar>
            <w:vAlign w:val="center"/>
          </w:tcPr>
          <w:p>
            <w:pPr>
              <w:widowControl/>
              <w:jc w:val="center"/>
              <w:rPr>
                <w:rFonts w:hint="default" w:ascii="仿宋_GB2312" w:hAnsi="仿宋_GB2312" w:eastAsia="仿宋_GB2312" w:cs="仿宋_GB2312"/>
                <w:color w:val="auto"/>
                <w:kern w:val="0"/>
                <w:sz w:val="28"/>
                <w:szCs w:val="28"/>
                <w:lang w:val="en-US" w:eastAsia="zh-CN"/>
              </w:rPr>
            </w:pPr>
            <w:r>
              <w:rPr>
                <w:rFonts w:hint="eastAsia" w:ascii="仿宋_GB2312" w:hAnsi="仿宋_GB2312" w:eastAsia="仿宋_GB2312" w:cs="仿宋_GB2312"/>
                <w:color w:val="auto"/>
                <w:kern w:val="0"/>
                <w:sz w:val="28"/>
                <w:szCs w:val="28"/>
                <w:lang w:val="en-US" w:eastAsia="zh-CN"/>
              </w:rPr>
              <w:t>19529.34</w:t>
            </w:r>
          </w:p>
        </w:tc>
      </w:tr>
      <w:tr>
        <w:tblPrEx>
          <w:tblCellMar>
            <w:top w:w="0" w:type="dxa"/>
            <w:left w:w="0" w:type="dxa"/>
            <w:bottom w:w="0" w:type="dxa"/>
            <w:right w:w="0" w:type="dxa"/>
          </w:tblCellMar>
        </w:tblPrEx>
        <w:trPr>
          <w:trHeight w:val="648" w:hRule="atLeast"/>
          <w:jc w:val="center"/>
        </w:trPr>
        <w:tc>
          <w:tcPr>
            <w:tcW w:w="4738" w:type="dxa"/>
            <w:tcBorders>
              <w:top w:val="nil"/>
              <w:left w:val="single" w:color="000000" w:sz="8" w:space="0"/>
              <w:bottom w:val="single" w:color="000000" w:sz="8" w:space="0"/>
              <w:right w:val="single" w:color="000000" w:sz="8" w:space="0"/>
            </w:tcBorders>
            <w:noWrap/>
            <w:tcMar>
              <w:top w:w="0" w:type="dxa"/>
              <w:left w:w="108" w:type="dxa"/>
              <w:bottom w:w="0" w:type="dxa"/>
              <w:right w:w="108" w:type="dxa"/>
            </w:tcMar>
            <w:vAlign w:val="center"/>
          </w:tcPr>
          <w:p>
            <w:pPr>
              <w:widowControl/>
              <w:jc w:val="center"/>
              <w:rPr>
                <w:rFonts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项目支出</w:t>
            </w:r>
          </w:p>
        </w:tc>
        <w:tc>
          <w:tcPr>
            <w:tcW w:w="4502" w:type="dxa"/>
            <w:tcBorders>
              <w:top w:val="nil"/>
              <w:left w:val="nil"/>
              <w:bottom w:val="single" w:color="000000" w:sz="8" w:space="0"/>
              <w:right w:val="single" w:color="000000" w:sz="8" w:space="0"/>
            </w:tcBorders>
            <w:noWrap/>
            <w:tcMar>
              <w:top w:w="0" w:type="dxa"/>
              <w:left w:w="108" w:type="dxa"/>
              <w:bottom w:w="0" w:type="dxa"/>
              <w:right w:w="108" w:type="dxa"/>
            </w:tcMar>
            <w:vAlign w:val="center"/>
          </w:tcPr>
          <w:p>
            <w:pPr>
              <w:widowControl/>
              <w:jc w:val="center"/>
              <w:rPr>
                <w:rFonts w:hint="default" w:ascii="仿宋_GB2312" w:hAnsi="仿宋_GB2312" w:eastAsia="仿宋_GB2312" w:cs="仿宋_GB2312"/>
                <w:color w:val="auto"/>
                <w:kern w:val="0"/>
                <w:sz w:val="28"/>
                <w:szCs w:val="28"/>
                <w:lang w:val="en-US" w:eastAsia="zh-CN"/>
              </w:rPr>
            </w:pPr>
            <w:r>
              <w:rPr>
                <w:rFonts w:hint="eastAsia" w:ascii="仿宋_GB2312" w:hAnsi="仿宋_GB2312" w:eastAsia="仿宋_GB2312" w:cs="仿宋_GB2312"/>
                <w:color w:val="auto"/>
                <w:kern w:val="0"/>
                <w:sz w:val="28"/>
                <w:szCs w:val="28"/>
                <w:lang w:val="en-US" w:eastAsia="zh-CN"/>
              </w:rPr>
              <w:t>9635.94</w:t>
            </w:r>
          </w:p>
        </w:tc>
      </w:tr>
      <w:tr>
        <w:tblPrEx>
          <w:tblCellMar>
            <w:top w:w="0" w:type="dxa"/>
            <w:left w:w="0" w:type="dxa"/>
            <w:bottom w:w="0" w:type="dxa"/>
            <w:right w:w="0" w:type="dxa"/>
          </w:tblCellMar>
        </w:tblPrEx>
        <w:trPr>
          <w:trHeight w:val="648" w:hRule="atLeast"/>
          <w:jc w:val="center"/>
        </w:trPr>
        <w:tc>
          <w:tcPr>
            <w:tcW w:w="4738" w:type="dxa"/>
            <w:tcBorders>
              <w:top w:val="nil"/>
              <w:left w:val="single" w:color="000000" w:sz="8" w:space="0"/>
              <w:bottom w:val="single" w:color="000000" w:sz="8" w:space="0"/>
              <w:right w:val="single" w:color="000000" w:sz="8" w:space="0"/>
            </w:tcBorders>
            <w:noWrap/>
            <w:tcMar>
              <w:top w:w="0" w:type="dxa"/>
              <w:left w:w="108" w:type="dxa"/>
              <w:bottom w:w="0" w:type="dxa"/>
              <w:right w:w="108" w:type="dxa"/>
            </w:tcMar>
            <w:vAlign w:val="center"/>
          </w:tcPr>
          <w:p>
            <w:pPr>
              <w:widowControl/>
              <w:jc w:val="center"/>
              <w:rPr>
                <w:rFonts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其中：财政拨款支出</w:t>
            </w:r>
          </w:p>
        </w:tc>
        <w:tc>
          <w:tcPr>
            <w:tcW w:w="4502" w:type="dxa"/>
            <w:tcBorders>
              <w:top w:val="nil"/>
              <w:left w:val="nil"/>
              <w:bottom w:val="single" w:color="000000" w:sz="8" w:space="0"/>
              <w:right w:val="single" w:color="000000" w:sz="8" w:space="0"/>
            </w:tcBorders>
            <w:noWrap/>
            <w:tcMar>
              <w:top w:w="0" w:type="dxa"/>
              <w:left w:w="108" w:type="dxa"/>
              <w:bottom w:w="0" w:type="dxa"/>
              <w:right w:w="108" w:type="dxa"/>
            </w:tcMar>
            <w:vAlign w:val="center"/>
          </w:tcPr>
          <w:p>
            <w:pPr>
              <w:widowControl/>
              <w:jc w:val="center"/>
              <w:rPr>
                <w:rFonts w:hint="default" w:ascii="仿宋_GB2312" w:hAnsi="仿宋_GB2312" w:eastAsia="仿宋_GB2312" w:cs="仿宋_GB2312"/>
                <w:color w:val="auto"/>
                <w:kern w:val="0"/>
                <w:sz w:val="28"/>
                <w:szCs w:val="28"/>
                <w:lang w:val="en-US" w:eastAsia="zh-CN"/>
              </w:rPr>
            </w:pPr>
            <w:r>
              <w:rPr>
                <w:rFonts w:hint="eastAsia" w:ascii="仿宋_GB2312" w:hAnsi="仿宋_GB2312" w:eastAsia="仿宋_GB2312" w:cs="仿宋_GB2312"/>
                <w:color w:val="auto"/>
                <w:kern w:val="0"/>
                <w:sz w:val="28"/>
                <w:szCs w:val="28"/>
                <w:lang w:val="en-US" w:eastAsia="zh-CN"/>
              </w:rPr>
              <w:t>8031.75</w:t>
            </w:r>
          </w:p>
        </w:tc>
      </w:tr>
      <w:tr>
        <w:tblPrEx>
          <w:tblCellMar>
            <w:top w:w="0" w:type="dxa"/>
            <w:left w:w="0" w:type="dxa"/>
            <w:bottom w:w="0" w:type="dxa"/>
            <w:right w:w="0" w:type="dxa"/>
          </w:tblCellMar>
        </w:tblPrEx>
        <w:trPr>
          <w:trHeight w:val="669" w:hRule="atLeast"/>
          <w:jc w:val="center"/>
        </w:trPr>
        <w:tc>
          <w:tcPr>
            <w:tcW w:w="4738" w:type="dxa"/>
            <w:tcBorders>
              <w:top w:val="nil"/>
              <w:left w:val="single" w:color="000000" w:sz="8" w:space="0"/>
              <w:bottom w:val="single" w:color="000000" w:sz="8" w:space="0"/>
              <w:right w:val="single" w:color="000000" w:sz="8" w:space="0"/>
            </w:tcBorders>
            <w:noWrap/>
            <w:tcMar>
              <w:top w:w="0" w:type="dxa"/>
              <w:left w:w="108" w:type="dxa"/>
              <w:bottom w:w="0" w:type="dxa"/>
              <w:right w:w="108" w:type="dxa"/>
            </w:tcMar>
            <w:vAlign w:val="center"/>
          </w:tcPr>
          <w:p>
            <w:pPr>
              <w:widowControl/>
              <w:jc w:val="center"/>
              <w:rPr>
                <w:rFonts w:ascii="仿宋_GB2312" w:hAnsi="仿宋_GB2312" w:eastAsia="仿宋_GB2312" w:cs="仿宋_GB2312"/>
                <w:color w:val="auto"/>
                <w:kern w:val="0"/>
                <w:sz w:val="28"/>
                <w:szCs w:val="28"/>
              </w:rPr>
            </w:pPr>
            <w:r>
              <w:rPr>
                <w:rFonts w:hint="eastAsia" w:ascii="仿宋_GB2312" w:hAnsi="仿宋_GB2312" w:eastAsia="仿宋_GB2312" w:cs="仿宋_GB2312"/>
                <w:b/>
                <w:bCs/>
                <w:color w:val="auto"/>
                <w:kern w:val="0"/>
                <w:sz w:val="28"/>
                <w:szCs w:val="28"/>
              </w:rPr>
              <w:t>支出预算合计</w:t>
            </w:r>
          </w:p>
        </w:tc>
        <w:tc>
          <w:tcPr>
            <w:tcW w:w="4502" w:type="dxa"/>
            <w:tcBorders>
              <w:top w:val="nil"/>
              <w:left w:val="nil"/>
              <w:bottom w:val="single" w:color="000000" w:sz="8" w:space="0"/>
              <w:right w:val="single" w:color="000000" w:sz="8" w:space="0"/>
            </w:tcBorders>
            <w:noWrap/>
            <w:tcMar>
              <w:top w:w="0" w:type="dxa"/>
              <w:left w:w="108" w:type="dxa"/>
              <w:bottom w:w="0" w:type="dxa"/>
              <w:right w:w="108" w:type="dxa"/>
            </w:tcMar>
            <w:vAlign w:val="center"/>
          </w:tcPr>
          <w:p>
            <w:pPr>
              <w:widowControl/>
              <w:jc w:val="center"/>
              <w:rPr>
                <w:rFonts w:hint="default" w:ascii="仿宋_GB2312" w:hAnsi="仿宋_GB2312" w:eastAsia="仿宋_GB2312" w:cs="仿宋_GB2312"/>
                <w:color w:val="auto"/>
                <w:kern w:val="0"/>
                <w:sz w:val="28"/>
                <w:szCs w:val="28"/>
                <w:lang w:val="en-US" w:eastAsia="zh-CN"/>
              </w:rPr>
            </w:pPr>
            <w:r>
              <w:rPr>
                <w:rFonts w:hint="eastAsia" w:ascii="仿宋_GB2312" w:hAnsi="仿宋_GB2312" w:eastAsia="仿宋_GB2312" w:cs="仿宋_GB2312"/>
                <w:color w:val="auto"/>
                <w:kern w:val="0"/>
                <w:sz w:val="28"/>
                <w:szCs w:val="28"/>
                <w:lang w:val="en-US" w:eastAsia="zh-CN"/>
              </w:rPr>
              <w:t>43465.3</w:t>
            </w:r>
          </w:p>
        </w:tc>
      </w:tr>
    </w:tbl>
    <w:p>
      <w:pPr>
        <w:widowControl/>
        <w:adjustRightInd w:val="0"/>
        <w:snapToGrid w:val="0"/>
        <w:spacing w:line="580" w:lineRule="exact"/>
        <w:ind w:firstLine="640" w:firstLineChars="200"/>
        <w:contextualSpacing/>
        <w:jc w:val="left"/>
        <w:rPr>
          <w:rFonts w:hint="eastAsia" w:ascii="仿宋_GB2312" w:hAnsi="宋体" w:eastAsia="仿宋_GB2312" w:cs="宋体"/>
          <w:color w:val="000000"/>
          <w:kern w:val="0"/>
          <w:sz w:val="32"/>
          <w:szCs w:val="32"/>
          <w:shd w:val="clear" w:color="auto" w:fill="FFFFFF"/>
          <w:lang w:val="zh-CN"/>
        </w:rPr>
      </w:pPr>
    </w:p>
    <w:p>
      <w:pPr>
        <w:widowControl/>
        <w:adjustRightInd w:val="0"/>
        <w:snapToGrid w:val="0"/>
        <w:spacing w:line="580" w:lineRule="exact"/>
        <w:ind w:firstLine="640" w:firstLineChars="200"/>
        <w:contextualSpacing/>
        <w:jc w:val="left"/>
        <w:rPr>
          <w:rFonts w:ascii="黑体" w:hAnsi="宋体" w:eastAsia="黑体" w:cs="宋体"/>
          <w:color w:val="000000"/>
          <w:kern w:val="0"/>
          <w:sz w:val="32"/>
          <w:szCs w:val="32"/>
          <w:shd w:val="clear" w:color="auto" w:fill="FFFFFF"/>
        </w:rPr>
      </w:pPr>
      <w:r>
        <w:rPr>
          <w:rFonts w:hint="eastAsia" w:ascii="黑体" w:hAnsi="宋体" w:eastAsia="黑体" w:cs="宋体"/>
          <w:color w:val="000000"/>
          <w:kern w:val="0"/>
          <w:sz w:val="32"/>
          <w:szCs w:val="32"/>
          <w:shd w:val="clear" w:color="auto" w:fill="FFFFFF"/>
        </w:rPr>
        <w:t>三、部门整体预算绩效管理情况</w:t>
      </w:r>
    </w:p>
    <w:p>
      <w:pPr>
        <w:widowControl/>
        <w:adjustRightInd w:val="0"/>
        <w:snapToGrid w:val="0"/>
        <w:spacing w:line="580" w:lineRule="exact"/>
        <w:ind w:firstLine="640" w:firstLineChars="200"/>
        <w:contextualSpacing/>
        <w:jc w:val="left"/>
        <w:rPr>
          <w:rFonts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（一）部门预算管理。</w:t>
      </w:r>
    </w:p>
    <w:p>
      <w:pPr>
        <w:pStyle w:val="31"/>
        <w:widowControl w:val="0"/>
        <w:shd w:val="clear" w:color="auto" w:fill="FFFFFF"/>
        <w:adjustRightInd w:val="0"/>
        <w:snapToGrid w:val="0"/>
        <w:spacing w:line="640" w:lineRule="exact"/>
        <w:ind w:firstLine="640" w:firstLineChars="200"/>
        <w:jc w:val="both"/>
        <w:rPr>
          <w:rFonts w:ascii="仿宋_GB2312" w:eastAsia="仿宋_GB2312" w:cs="Times New Roman"/>
          <w:color w:val="000000"/>
          <w:kern w:val="2"/>
          <w:sz w:val="32"/>
          <w:szCs w:val="32"/>
        </w:rPr>
      </w:pPr>
      <w:r>
        <w:rPr>
          <w:rFonts w:hint="eastAsia" w:ascii="仿宋_GB2312" w:eastAsia="仿宋_GB2312" w:cs="Times New Roman"/>
          <w:color w:val="000000"/>
          <w:kern w:val="2"/>
          <w:sz w:val="32"/>
          <w:szCs w:val="32"/>
        </w:rPr>
        <w:t>严格按照市级部门预算编制通知和有关要求，按时完成基础库、项目库报送工作，按时完成201</w:t>
      </w:r>
      <w:r>
        <w:rPr>
          <w:rFonts w:hint="eastAsia" w:ascii="仿宋_GB2312" w:eastAsia="仿宋_GB2312" w:cs="Times New Roman"/>
          <w:color w:val="000000"/>
          <w:kern w:val="2"/>
          <w:sz w:val="32"/>
          <w:szCs w:val="32"/>
          <w:lang w:val="en-US" w:eastAsia="zh-CN"/>
        </w:rPr>
        <w:t>9</w:t>
      </w:r>
      <w:r>
        <w:rPr>
          <w:rFonts w:hint="eastAsia" w:ascii="仿宋_GB2312" w:eastAsia="仿宋_GB2312" w:cs="Times New Roman"/>
          <w:color w:val="000000"/>
          <w:kern w:val="2"/>
          <w:sz w:val="32"/>
          <w:szCs w:val="32"/>
        </w:rPr>
        <w:t>年预算编制工作，并按时提交部门预算草案。按规定编制我局采购预算，预算编制全面、科学。</w:t>
      </w:r>
    </w:p>
    <w:p>
      <w:pPr>
        <w:widowControl/>
        <w:adjustRightInd w:val="0"/>
        <w:snapToGrid w:val="0"/>
        <w:spacing w:line="580" w:lineRule="exact"/>
        <w:ind w:firstLine="640" w:firstLineChars="200"/>
        <w:contextualSpacing/>
        <w:jc w:val="left"/>
        <w:rPr>
          <w:rFonts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（二）结果应用情况。</w:t>
      </w:r>
    </w:p>
    <w:p>
      <w:pPr>
        <w:widowControl/>
        <w:adjustRightInd w:val="0"/>
        <w:snapToGrid w:val="0"/>
        <w:spacing w:line="580" w:lineRule="exact"/>
        <w:ind w:firstLine="640" w:firstLineChars="200"/>
        <w:contextualSpacing/>
        <w:jc w:val="left"/>
        <w:rPr>
          <w:rFonts w:hint="eastAsia" w:ascii="仿宋_GB2312" w:eastAsia="仿宋_GB2312" w:cs="Times New Roman"/>
          <w:color w:val="000000"/>
          <w:kern w:val="2"/>
          <w:sz w:val="32"/>
          <w:szCs w:val="32"/>
        </w:rPr>
      </w:pPr>
      <w:r>
        <w:rPr>
          <w:rFonts w:hint="eastAsia" w:ascii="仿宋_GB2312" w:eastAsia="仿宋_GB2312" w:cs="Times New Roman"/>
          <w:color w:val="000000"/>
          <w:kern w:val="2"/>
          <w:sz w:val="32"/>
          <w:szCs w:val="32"/>
        </w:rPr>
        <w:t>我局办公用品严格按照规定执行，电脑、打印机等办公用品采购纳入年初预算，通过市政府采购交易中心公开采购。采购的固定资产严格按照《固定资产管理办法》规定加强管理，及时登记、更新台账，加强资产卡片管理，年终前对各类实物资产进行全面盘点，确保账账、账实相符。</w:t>
      </w:r>
    </w:p>
    <w:p>
      <w:pPr>
        <w:widowControl/>
        <w:adjustRightInd w:val="0"/>
        <w:snapToGrid w:val="0"/>
        <w:spacing w:line="580" w:lineRule="exact"/>
        <w:ind w:firstLine="640" w:firstLineChars="200"/>
        <w:contextualSpacing/>
        <w:jc w:val="left"/>
        <w:rPr>
          <w:rFonts w:ascii="黑体" w:hAnsi="宋体" w:eastAsia="黑体" w:cs="宋体"/>
          <w:color w:val="000000"/>
          <w:kern w:val="0"/>
          <w:sz w:val="32"/>
          <w:szCs w:val="32"/>
          <w:shd w:val="clear" w:color="auto" w:fill="FFFFFF"/>
        </w:rPr>
      </w:pPr>
      <w:r>
        <w:rPr>
          <w:rFonts w:hint="eastAsia" w:ascii="黑体" w:hAnsi="宋体" w:eastAsia="黑体" w:cs="宋体"/>
          <w:color w:val="000000"/>
          <w:kern w:val="0"/>
          <w:sz w:val="32"/>
          <w:szCs w:val="32"/>
          <w:shd w:val="clear" w:color="auto" w:fill="FFFFFF"/>
        </w:rPr>
        <w:t>四、评价结论及建议</w:t>
      </w:r>
    </w:p>
    <w:p>
      <w:pPr>
        <w:widowControl/>
        <w:adjustRightInd w:val="0"/>
        <w:snapToGrid w:val="0"/>
        <w:spacing w:line="580" w:lineRule="exact"/>
        <w:ind w:firstLine="640" w:firstLineChars="200"/>
        <w:contextualSpacing/>
        <w:jc w:val="left"/>
        <w:rPr>
          <w:rFonts w:hint="eastAsia"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（一）评价结论。</w:t>
      </w:r>
    </w:p>
    <w:p>
      <w:pPr>
        <w:spacing w:line="580" w:lineRule="exact"/>
        <w:ind w:firstLine="640" w:firstLineChars="200"/>
        <w:rPr>
          <w:rFonts w:ascii="仿宋" w:hAnsi="仿宋" w:eastAsia="仿宋_GB2312" w:cs="仿宋_GB2312"/>
          <w:sz w:val="32"/>
          <w:szCs w:val="32"/>
        </w:rPr>
      </w:pPr>
      <w:r>
        <w:rPr>
          <w:rFonts w:hint="eastAsia" w:ascii="仿宋_GB2312" w:hAnsi="仿宋_GB2312" w:eastAsia="仿宋_GB2312" w:cs="仿宋_GB2312"/>
          <w:color w:val="000000"/>
          <w:sz w:val="32"/>
          <w:szCs w:val="32"/>
        </w:rPr>
        <w:t>我局认真贯彻落实完成市委、市政府各项安排部署，全面完成目标任务及重点工作任务。严格制定了单位内部绩效管理办法，通过加强预算收支管理，不断建立健全内部管理制度，梳理内部管理流程，部门预算支出管理情况得到提升。</w:t>
      </w:r>
    </w:p>
    <w:p>
      <w:pPr>
        <w:widowControl/>
        <w:numPr>
          <w:ilvl w:val="0"/>
          <w:numId w:val="7"/>
        </w:numPr>
        <w:adjustRightInd w:val="0"/>
        <w:snapToGrid w:val="0"/>
        <w:spacing w:line="580" w:lineRule="exact"/>
        <w:ind w:firstLine="640" w:firstLineChars="200"/>
        <w:contextualSpacing/>
        <w:jc w:val="left"/>
        <w:rPr>
          <w:rFonts w:hint="eastAsia"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存在问题。</w:t>
      </w:r>
    </w:p>
    <w:p>
      <w:pPr>
        <w:spacing w:line="588"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1.需进一步加大执行厉行节约的力度，减少三公经费的支出。</w:t>
      </w:r>
    </w:p>
    <w:p>
      <w:pPr>
        <w:spacing w:line="588"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2.加强资金使用监管力度，做好台账并进一步规范会计核算。</w:t>
      </w:r>
    </w:p>
    <w:p>
      <w:pPr>
        <w:widowControl/>
        <w:adjustRightInd w:val="0"/>
        <w:snapToGrid w:val="0"/>
        <w:spacing w:line="580" w:lineRule="exact"/>
        <w:ind w:firstLine="640" w:firstLineChars="200"/>
        <w:contextualSpacing/>
        <w:jc w:val="left"/>
        <w:rPr>
          <w:rFonts w:hint="eastAsia"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（三）改进建议。</w:t>
      </w:r>
    </w:p>
    <w:p>
      <w:pPr>
        <w:spacing w:line="588" w:lineRule="exact"/>
        <w:ind w:firstLine="640" w:firstLineChars="200"/>
        <w:rPr>
          <w:rFonts w:ascii="仿宋_GB2312" w:hAnsi="仿宋_GB2312" w:eastAsia="仿宋_GB2312" w:cs="仿宋_GB2312"/>
          <w:bCs/>
          <w:color w:val="000000"/>
          <w:sz w:val="32"/>
          <w:szCs w:val="32"/>
        </w:rPr>
      </w:pPr>
      <w:r>
        <w:rPr>
          <w:rFonts w:hint="eastAsia" w:ascii="仿宋_GB2312" w:hAnsi="仿宋_GB2312" w:eastAsia="仿宋_GB2312" w:cs="仿宋_GB2312"/>
          <w:color w:val="000000"/>
          <w:sz w:val="32"/>
          <w:szCs w:val="32"/>
        </w:rPr>
        <w:t>后期会加强内部预算编制的审核和预算控制指标的下达，提高预算的合理性和准确性。</w:t>
      </w:r>
      <w:r>
        <w:rPr>
          <w:rFonts w:hint="eastAsia" w:ascii="仿宋_GB2312" w:hAnsi="仿宋_GB2312" w:eastAsia="仿宋_GB2312" w:cs="仿宋_GB2312"/>
          <w:bCs/>
          <w:color w:val="000000"/>
          <w:sz w:val="32"/>
          <w:szCs w:val="32"/>
        </w:rPr>
        <w:t>加强项目开展进度的跟踪，开展项目绩效评价，确保项目绩效目标的完成。</w:t>
      </w:r>
    </w:p>
    <w:p>
      <w:pPr>
        <w:spacing w:line="588" w:lineRule="exact"/>
        <w:ind w:firstLine="640" w:firstLineChars="200"/>
        <w:rPr>
          <w:rFonts w:ascii="仿宋_GB2312" w:hAnsi="仿宋_GB2312" w:eastAsia="仿宋_GB2312" w:cs="仿宋_GB2312"/>
          <w:color w:val="000000"/>
          <w:sz w:val="32"/>
          <w:szCs w:val="32"/>
        </w:rPr>
      </w:pPr>
    </w:p>
    <w:p>
      <w:pPr>
        <w:widowControl/>
        <w:adjustRightInd w:val="0"/>
        <w:snapToGrid w:val="0"/>
        <w:spacing w:line="580" w:lineRule="exact"/>
        <w:ind w:firstLine="640" w:firstLineChars="200"/>
        <w:contextualSpacing/>
        <w:jc w:val="left"/>
        <w:rPr>
          <w:rFonts w:hint="eastAsia" w:ascii="仿宋_GB2312" w:hAnsi="宋体" w:eastAsia="仿宋_GB2312" w:cs="宋体"/>
          <w:color w:val="000000"/>
          <w:kern w:val="0"/>
          <w:sz w:val="32"/>
          <w:szCs w:val="32"/>
          <w:shd w:val="clear" w:color="auto" w:fill="FFFFFF"/>
          <w:lang w:val="zh-CN"/>
        </w:rPr>
      </w:pPr>
    </w:p>
    <w:p>
      <w:pPr>
        <w:spacing w:line="580" w:lineRule="exact"/>
        <w:ind w:firstLine="640" w:firstLineChars="200"/>
        <w:rPr>
          <w:rFonts w:ascii="仿宋_GB2312" w:hAnsi="仿宋_GB2312" w:eastAsia="仿宋_GB2312" w:cs="仿宋_GB2312"/>
          <w:sz w:val="32"/>
          <w:szCs w:val="32"/>
        </w:rPr>
      </w:pPr>
    </w:p>
    <w:p>
      <w:pPr>
        <w:spacing w:line="580" w:lineRule="exact"/>
        <w:ind w:firstLine="640" w:firstLineChars="200"/>
        <w:rPr>
          <w:rFonts w:ascii="仿宋_GB2312" w:hAnsi="仿宋_GB2312" w:eastAsia="仿宋_GB2312" w:cs="仿宋_GB2312"/>
          <w:sz w:val="32"/>
          <w:szCs w:val="32"/>
        </w:rPr>
      </w:pPr>
    </w:p>
    <w:p>
      <w:pPr>
        <w:spacing w:line="580" w:lineRule="exact"/>
        <w:rPr>
          <w:rFonts w:hint="eastAsia" w:ascii="黑体" w:hAnsi="黑体" w:eastAsia="黑体" w:cs="黑体"/>
          <w:sz w:val="32"/>
          <w:szCs w:val="32"/>
        </w:rPr>
      </w:pPr>
    </w:p>
    <w:p>
      <w:pPr>
        <w:spacing w:line="580" w:lineRule="exact"/>
        <w:rPr>
          <w:rFonts w:hint="eastAsia" w:ascii="黑体" w:hAnsi="黑体" w:eastAsia="黑体" w:cs="黑体"/>
          <w:sz w:val="32"/>
          <w:szCs w:val="32"/>
        </w:rPr>
      </w:pPr>
    </w:p>
    <w:p>
      <w:pPr>
        <w:spacing w:line="580" w:lineRule="exact"/>
        <w:rPr>
          <w:rFonts w:hint="eastAsia" w:ascii="黑体" w:hAnsi="黑体" w:eastAsia="黑体" w:cs="黑体"/>
          <w:sz w:val="32"/>
          <w:szCs w:val="32"/>
        </w:rPr>
      </w:pPr>
    </w:p>
    <w:p>
      <w:pPr>
        <w:spacing w:line="580" w:lineRule="exact"/>
        <w:rPr>
          <w:rFonts w:hint="eastAsia" w:ascii="黑体" w:hAnsi="黑体" w:eastAsia="黑体" w:cs="黑体"/>
          <w:sz w:val="32"/>
          <w:szCs w:val="32"/>
        </w:rPr>
      </w:pPr>
    </w:p>
    <w:p>
      <w:pPr>
        <w:spacing w:line="580" w:lineRule="exact"/>
        <w:rPr>
          <w:rFonts w:hint="eastAsia" w:ascii="黑体" w:hAnsi="黑体" w:eastAsia="黑体" w:cs="黑体"/>
          <w:sz w:val="32"/>
          <w:szCs w:val="32"/>
        </w:rPr>
      </w:pPr>
    </w:p>
    <w:p>
      <w:pPr>
        <w:spacing w:line="580" w:lineRule="exact"/>
        <w:rPr>
          <w:rFonts w:hint="eastAsia" w:ascii="黑体" w:hAnsi="黑体" w:eastAsia="黑体" w:cs="黑体"/>
          <w:sz w:val="32"/>
          <w:szCs w:val="32"/>
        </w:rPr>
      </w:pPr>
    </w:p>
    <w:p>
      <w:pPr>
        <w:spacing w:line="580" w:lineRule="exact"/>
        <w:rPr>
          <w:rFonts w:hint="eastAsia" w:ascii="黑体" w:hAnsi="黑体" w:eastAsia="黑体" w:cs="黑体"/>
          <w:sz w:val="32"/>
          <w:szCs w:val="32"/>
        </w:rPr>
      </w:pPr>
    </w:p>
    <w:p>
      <w:pPr>
        <w:spacing w:line="580" w:lineRule="exact"/>
        <w:rPr>
          <w:rFonts w:hint="eastAsia" w:ascii="黑体" w:hAnsi="黑体" w:eastAsia="黑体" w:cs="黑体"/>
          <w:sz w:val="32"/>
          <w:szCs w:val="32"/>
        </w:rPr>
      </w:pPr>
    </w:p>
    <w:p>
      <w:pPr>
        <w:spacing w:line="580" w:lineRule="exact"/>
        <w:rPr>
          <w:rFonts w:hint="eastAsia" w:ascii="黑体" w:hAnsi="黑体" w:eastAsia="黑体" w:cs="黑体"/>
          <w:sz w:val="32"/>
          <w:szCs w:val="32"/>
        </w:rPr>
      </w:pPr>
    </w:p>
    <w:p>
      <w:pPr>
        <w:spacing w:line="580" w:lineRule="exact"/>
        <w:rPr>
          <w:rFonts w:ascii="仿宋_GB2312" w:hAnsi="仿宋_GB2312" w:eastAsia="仿宋_GB2312" w:cs="仿宋_GB2312"/>
          <w:sz w:val="32"/>
          <w:szCs w:val="32"/>
        </w:rPr>
      </w:pPr>
      <w:r>
        <w:rPr>
          <w:rFonts w:hint="eastAsia" w:ascii="黑体" w:hAnsi="黑体" w:eastAsia="黑体" w:cs="黑体"/>
          <w:sz w:val="32"/>
          <w:szCs w:val="32"/>
        </w:rPr>
        <w:t>附件2</w:t>
      </w:r>
    </w:p>
    <w:p>
      <w:pPr>
        <w:spacing w:line="580" w:lineRule="exact"/>
        <w:ind w:firstLine="640" w:firstLineChars="200"/>
        <w:rPr>
          <w:rFonts w:ascii="仿宋_GB2312" w:hAnsi="仿宋_GB2312" w:eastAsia="仿宋_GB2312" w:cs="仿宋_GB2312"/>
          <w:sz w:val="32"/>
          <w:szCs w:val="32"/>
        </w:rPr>
      </w:pPr>
    </w:p>
    <w:p>
      <w:pPr>
        <w:spacing w:line="600" w:lineRule="exact"/>
        <w:jc w:val="center"/>
        <w:rPr>
          <w:rFonts w:ascii="方正小标宋简体" w:hAnsi="宋体" w:eastAsia="方正小标宋简体"/>
          <w:color w:val="000000"/>
          <w:kern w:val="0"/>
          <w:sz w:val="44"/>
          <w:szCs w:val="44"/>
          <w:lang w:val="zh-CN"/>
        </w:rPr>
      </w:pPr>
      <w:r>
        <w:rPr>
          <w:rFonts w:hint="eastAsia" w:ascii="方正小标宋简体" w:hAnsi="宋体" w:eastAsia="方正小标宋简体"/>
          <w:color w:val="000000"/>
          <w:kern w:val="0"/>
          <w:sz w:val="44"/>
          <w:szCs w:val="44"/>
          <w:lang w:val="zh-CN"/>
        </w:rPr>
        <w:t>遂宁一中项目</w:t>
      </w:r>
      <w:r>
        <w:rPr>
          <w:rFonts w:hint="eastAsia" w:ascii="方正小标宋简体" w:hAnsi="宋体" w:eastAsia="方正小标宋简体"/>
          <w:color w:val="000000"/>
          <w:kern w:val="0"/>
          <w:sz w:val="44"/>
          <w:szCs w:val="44"/>
        </w:rPr>
        <w:t>2019年</w:t>
      </w:r>
      <w:r>
        <w:rPr>
          <w:rFonts w:hint="eastAsia" w:ascii="方正小标宋简体" w:hAnsi="宋体" w:eastAsia="方正小标宋简体"/>
          <w:color w:val="000000"/>
          <w:kern w:val="0"/>
          <w:sz w:val="44"/>
          <w:szCs w:val="44"/>
          <w:lang w:val="zh-CN"/>
        </w:rPr>
        <w:t>绩效评价报告</w:t>
      </w:r>
    </w:p>
    <w:p>
      <w:pPr>
        <w:spacing w:line="588" w:lineRule="exact"/>
        <w:ind w:firstLine="1600" w:firstLineChars="5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（201</w:t>
      </w:r>
      <w:r>
        <w:rPr>
          <w:rFonts w:hint="eastAsia" w:ascii="仿宋_GB2312" w:hAnsi="仿宋_GB2312" w:eastAsia="仿宋_GB2312" w:cs="仿宋_GB2312"/>
          <w:color w:val="000000"/>
          <w:sz w:val="32"/>
          <w:szCs w:val="32"/>
          <w:lang w:val="en-US" w:eastAsia="zh-CN"/>
        </w:rPr>
        <w:t>9</w:t>
      </w:r>
      <w:r>
        <w:rPr>
          <w:rFonts w:hint="eastAsia" w:ascii="仿宋_GB2312" w:hAnsi="仿宋_GB2312" w:eastAsia="仿宋_GB2312" w:cs="仿宋_GB2312"/>
          <w:color w:val="000000"/>
          <w:sz w:val="32"/>
          <w:szCs w:val="32"/>
        </w:rPr>
        <w:t>年教育质量提升奖补资金）</w:t>
      </w:r>
    </w:p>
    <w:p>
      <w:pPr>
        <w:spacing w:line="600" w:lineRule="exact"/>
        <w:rPr>
          <w:rFonts w:hint="default" w:ascii="宋体" w:hAnsi="宋体" w:eastAsia="宋体"/>
          <w:sz w:val="32"/>
          <w:szCs w:val="32"/>
          <w:lang w:val="en-US" w:eastAsia="zh-CN"/>
        </w:rPr>
      </w:pPr>
    </w:p>
    <w:p>
      <w:pPr>
        <w:spacing w:line="588" w:lineRule="exact"/>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一、项目概况</w:t>
      </w:r>
    </w:p>
    <w:p>
      <w:pPr>
        <w:spacing w:line="588"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四川省遂宁市第一中学校是一所拥有百年办学历史，承载千年文化底蕴的老牌重点学校。 以党的十八</w:t>
      </w:r>
      <w:r>
        <w:rPr>
          <w:rFonts w:hint="eastAsia" w:ascii="仿宋_GB2312" w:hAnsi="仿宋_GB2312" w:eastAsia="仿宋_GB2312" w:cs="仿宋_GB2312"/>
          <w:color w:val="000000"/>
          <w:sz w:val="32"/>
          <w:szCs w:val="32"/>
          <w:lang w:eastAsia="zh-CN"/>
        </w:rPr>
        <w:t>大</w:t>
      </w:r>
      <w:r>
        <w:rPr>
          <w:rFonts w:hint="eastAsia" w:ascii="仿宋_GB2312" w:hAnsi="仿宋_GB2312" w:eastAsia="仿宋_GB2312" w:cs="仿宋_GB2312"/>
          <w:color w:val="000000"/>
          <w:sz w:val="32"/>
          <w:szCs w:val="32"/>
        </w:rPr>
        <w:t>精神为指导，围绕学校中心工作，以“育人为本、改革创新”为方针，以改善办学条件、提升教育质量为重点，遵循“量入为出、统筹安排、绩效预算”的原则，依据中、省、市有关文件规定，合理地安排了201</w:t>
      </w:r>
      <w:r>
        <w:rPr>
          <w:rFonts w:hint="eastAsia" w:ascii="仿宋_GB2312" w:hAnsi="仿宋_GB2312" w:eastAsia="仿宋_GB2312" w:cs="仿宋_GB2312"/>
          <w:color w:val="000000"/>
          <w:sz w:val="32"/>
          <w:szCs w:val="32"/>
          <w:lang w:val="en-US" w:eastAsia="zh-CN"/>
        </w:rPr>
        <w:t>9</w:t>
      </w:r>
      <w:r>
        <w:rPr>
          <w:rFonts w:hint="eastAsia" w:ascii="仿宋_GB2312" w:hAnsi="仿宋_GB2312" w:eastAsia="仿宋_GB2312" w:cs="仿宋_GB2312"/>
          <w:color w:val="000000"/>
          <w:sz w:val="32"/>
          <w:szCs w:val="32"/>
        </w:rPr>
        <w:t>年教育质量提升奖补项目，确保学校各项任务的全面推进。</w:t>
      </w:r>
    </w:p>
    <w:p>
      <w:pPr>
        <w:spacing w:line="588"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（一）项目绩效目标。</w:t>
      </w:r>
    </w:p>
    <w:p>
      <w:pPr>
        <w:spacing w:line="588"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为规范市直公办学校教育质量提升考核工作，激发学校管理活力，提高教职工工作积极性，推动学校办学水平加快提升。</w:t>
      </w:r>
    </w:p>
    <w:p>
      <w:pPr>
        <w:spacing w:line="588"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（二）项目资金申报相符性。根据</w:t>
      </w:r>
      <w:r>
        <w:rPr>
          <w:rFonts w:hint="eastAsia" w:ascii="仿宋_GB2312" w:hAnsi="仿宋_GB2312" w:eastAsia="仿宋_GB2312" w:cs="仿宋_GB2312"/>
          <w:color w:val="000000"/>
          <w:sz w:val="32"/>
          <w:szCs w:val="32"/>
          <w:lang w:eastAsia="zh-CN"/>
        </w:rPr>
        <w:t>相关</w:t>
      </w:r>
      <w:r>
        <w:rPr>
          <w:rFonts w:hint="eastAsia" w:ascii="仿宋_GB2312" w:hAnsi="仿宋_GB2312" w:eastAsia="仿宋_GB2312" w:cs="仿宋_GB2312"/>
          <w:color w:val="000000"/>
          <w:sz w:val="32"/>
          <w:szCs w:val="32"/>
        </w:rPr>
        <w:t>文件关于绩效（目标）管理考核工作有关规定和市委、市政府主要领导的指示精神，特制定考核项目内容。该项目申报内容与具体实施内容相符，申报目标合理可行。</w:t>
      </w:r>
    </w:p>
    <w:p>
      <w:pPr>
        <w:spacing w:line="588"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二、项目实施及管理情况</w:t>
      </w:r>
    </w:p>
    <w:p>
      <w:pPr>
        <w:spacing w:line="588"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（一）资金计划、到位及使用情况。</w:t>
      </w:r>
    </w:p>
    <w:p>
      <w:pPr>
        <w:spacing w:line="588"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1.资金计划及到位。</w:t>
      </w:r>
    </w:p>
    <w:p>
      <w:pPr>
        <w:spacing w:line="588"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《遂宁市财政局 遂宁市教育局关于2019年预拨（2018年度)市本级教育质量提升奖补资金预算的通知》（遂财教《2019》54号）、《遂宁市财政局 遂宁市教育局关于下达2019年市本级教育质量提升奖补（绩效目标奖励）资金预算的通知（遂财教《2019》121号）</w:t>
      </w:r>
    </w:p>
    <w:p>
      <w:pPr>
        <w:spacing w:line="588" w:lineRule="exact"/>
        <w:ind w:firstLine="640" w:firstLineChars="200"/>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rPr>
        <w:t>发文时间分别为2019年5月20日及2019年12月5日，项目资金合计804.59万元2.资金使用。</w:t>
      </w:r>
      <w:r>
        <w:rPr>
          <w:rFonts w:hint="eastAsia" w:ascii="仿宋_GB2312" w:hAnsi="仿宋_GB2312" w:eastAsia="仿宋_GB2312" w:cs="仿宋_GB2312"/>
          <w:color w:val="000000"/>
          <w:sz w:val="32"/>
          <w:szCs w:val="32"/>
          <w:lang w:val="zh-CN"/>
        </w:rPr>
        <w:t>截止201</w:t>
      </w:r>
      <w:r>
        <w:rPr>
          <w:rFonts w:hint="eastAsia" w:ascii="仿宋_GB2312" w:hAnsi="仿宋_GB2312" w:eastAsia="仿宋_GB2312" w:cs="仿宋_GB2312"/>
          <w:color w:val="000000"/>
          <w:sz w:val="32"/>
          <w:szCs w:val="32"/>
          <w:lang w:val="en-US" w:eastAsia="zh-CN"/>
        </w:rPr>
        <w:t>9</w:t>
      </w:r>
      <w:r>
        <w:rPr>
          <w:rFonts w:hint="eastAsia" w:ascii="仿宋_GB2312" w:hAnsi="仿宋_GB2312" w:eastAsia="仿宋_GB2312" w:cs="仿宋_GB2312"/>
          <w:color w:val="000000"/>
          <w:sz w:val="32"/>
          <w:szCs w:val="32"/>
          <w:lang w:val="zh-CN"/>
        </w:rPr>
        <w:t>年12月底，</w:t>
      </w:r>
      <w:r>
        <w:rPr>
          <w:rFonts w:hint="eastAsia" w:ascii="仿宋_GB2312" w:hAnsi="仿宋_GB2312" w:eastAsia="仿宋_GB2312" w:cs="仿宋_GB2312"/>
          <w:color w:val="000000"/>
          <w:sz w:val="32"/>
          <w:szCs w:val="32"/>
        </w:rPr>
        <w:t>201</w:t>
      </w:r>
      <w:r>
        <w:rPr>
          <w:rFonts w:hint="eastAsia" w:ascii="仿宋_GB2312" w:hAnsi="仿宋_GB2312" w:eastAsia="仿宋_GB2312" w:cs="仿宋_GB2312"/>
          <w:color w:val="000000"/>
          <w:sz w:val="32"/>
          <w:szCs w:val="32"/>
          <w:lang w:val="en-US" w:eastAsia="zh-CN"/>
        </w:rPr>
        <w:t>9</w:t>
      </w:r>
      <w:r>
        <w:rPr>
          <w:rFonts w:hint="eastAsia" w:ascii="仿宋_GB2312" w:hAnsi="仿宋_GB2312" w:eastAsia="仿宋_GB2312" w:cs="仿宋_GB2312"/>
          <w:color w:val="000000"/>
          <w:sz w:val="32"/>
          <w:szCs w:val="32"/>
        </w:rPr>
        <w:t>年教育质量提升奖补资金</w:t>
      </w:r>
      <w:r>
        <w:rPr>
          <w:rFonts w:hint="eastAsia" w:ascii="仿宋_GB2312" w:hAnsi="仿宋_GB2312" w:eastAsia="仿宋_GB2312" w:cs="仿宋_GB2312"/>
          <w:color w:val="000000"/>
          <w:sz w:val="32"/>
          <w:szCs w:val="32"/>
          <w:lang w:val="zh-CN"/>
        </w:rPr>
        <w:t>经费已全部支出，共计804.59万元.</w:t>
      </w:r>
    </w:p>
    <w:p>
      <w:pPr>
        <w:spacing w:line="588"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（二）项目财务管理情况。</w:t>
      </w:r>
    </w:p>
    <w:p>
      <w:pPr>
        <w:spacing w:line="588"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201</w:t>
      </w:r>
      <w:r>
        <w:rPr>
          <w:rFonts w:hint="eastAsia" w:ascii="仿宋_GB2312" w:hAnsi="仿宋_GB2312" w:eastAsia="仿宋_GB2312" w:cs="仿宋_GB2312"/>
          <w:color w:val="000000"/>
          <w:sz w:val="32"/>
          <w:szCs w:val="32"/>
          <w:lang w:val="en-US" w:eastAsia="zh-CN"/>
        </w:rPr>
        <w:t>9</w:t>
      </w:r>
      <w:r>
        <w:rPr>
          <w:rFonts w:hint="eastAsia" w:ascii="仿宋_GB2312" w:hAnsi="仿宋_GB2312" w:eastAsia="仿宋_GB2312" w:cs="仿宋_GB2312"/>
          <w:color w:val="000000"/>
          <w:sz w:val="32"/>
          <w:szCs w:val="32"/>
        </w:rPr>
        <w:t>年教育质量提升奖补资金的</w:t>
      </w:r>
      <w:r>
        <w:rPr>
          <w:rFonts w:hint="eastAsia" w:ascii="仿宋_GB2312" w:hAnsi="仿宋_GB2312" w:eastAsia="仿宋_GB2312" w:cs="仿宋_GB2312"/>
          <w:color w:val="000000"/>
          <w:sz w:val="32"/>
          <w:szCs w:val="32"/>
          <w:lang w:val="zh-CN"/>
        </w:rPr>
        <w:t>经费</w:t>
      </w:r>
      <w:r>
        <w:rPr>
          <w:rFonts w:hint="eastAsia" w:ascii="仿宋_GB2312" w:hAnsi="仿宋_GB2312" w:eastAsia="仿宋_GB2312" w:cs="仿宋_GB2312"/>
          <w:color w:val="000000"/>
          <w:sz w:val="32"/>
          <w:szCs w:val="32"/>
        </w:rPr>
        <w:t>采取授权支付形式，总务处按项目进度及资金管理办法对资金进行计划申请、划拨、使用，及时、规范对收支进行账务处理和会计核算。</w:t>
      </w:r>
    </w:p>
    <w:p>
      <w:pPr>
        <w:spacing w:line="588"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（三）项目组织实施情况。</w:t>
      </w:r>
    </w:p>
    <w:p>
      <w:pPr>
        <w:spacing w:line="588"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1.项目组织架构及实施流程。</w:t>
      </w:r>
    </w:p>
    <w:p>
      <w:pPr>
        <w:spacing w:line="588"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学校高度重视201</w:t>
      </w:r>
      <w:r>
        <w:rPr>
          <w:rFonts w:hint="eastAsia" w:ascii="仿宋_GB2312" w:hAnsi="仿宋_GB2312" w:eastAsia="仿宋_GB2312" w:cs="仿宋_GB2312"/>
          <w:color w:val="000000"/>
          <w:sz w:val="32"/>
          <w:szCs w:val="32"/>
          <w:lang w:val="en-US" w:eastAsia="zh-CN"/>
        </w:rPr>
        <w:t>9</w:t>
      </w:r>
      <w:r>
        <w:rPr>
          <w:rFonts w:hint="eastAsia" w:ascii="仿宋_GB2312" w:hAnsi="仿宋_GB2312" w:eastAsia="仿宋_GB2312" w:cs="仿宋_GB2312"/>
          <w:color w:val="000000"/>
          <w:sz w:val="32"/>
          <w:szCs w:val="32"/>
        </w:rPr>
        <w:t>年教育质量提升奖补资金，并成立工作领导小组。</w:t>
      </w:r>
    </w:p>
    <w:p>
      <w:pPr>
        <w:spacing w:line="588"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组  长：罗峻峰   校长</w:t>
      </w:r>
    </w:p>
    <w:p>
      <w:pPr>
        <w:spacing w:line="588"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副组长：戴文副校长</w:t>
      </w:r>
    </w:p>
    <w:p>
      <w:pPr>
        <w:spacing w:line="588"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邹宗吉    副校长</w:t>
      </w:r>
    </w:p>
    <w:p>
      <w:pPr>
        <w:spacing w:line="588"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杨梅    副校长        </w:t>
      </w:r>
    </w:p>
    <w:p>
      <w:pPr>
        <w:spacing w:line="588" w:lineRule="exact"/>
        <w:ind w:firstLine="1600" w:firstLineChars="5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王代彬     副校长</w:t>
      </w:r>
    </w:p>
    <w:p>
      <w:pPr>
        <w:spacing w:line="588"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成  员：总务处全体员工</w:t>
      </w:r>
    </w:p>
    <w:p>
      <w:pPr>
        <w:spacing w:line="588"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2.项目管理情况。</w:t>
      </w:r>
    </w:p>
    <w:p>
      <w:pPr>
        <w:spacing w:line="588"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本项目采取项目工作领导小组负责制，全体成员积极配合、通力合作。项目工作领导小组负责协调相关工作，项目实施及资金管理。</w:t>
      </w:r>
    </w:p>
    <w:p>
      <w:pPr>
        <w:spacing w:line="588"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3.项目监管情况。</w:t>
      </w:r>
    </w:p>
    <w:p>
      <w:pPr>
        <w:spacing w:line="588"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项目资金由总务处具体管理，按资金使用计划，制定管理制度。强化监督，由总务处主任对项目的实施定期或不定期的进行检查和监督，及时协调解决困难和问题，保证项目顺利进行。</w:t>
      </w:r>
    </w:p>
    <w:p>
      <w:pPr>
        <w:spacing w:line="588"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三、项目绩效情况</w:t>
      </w:r>
    </w:p>
    <w:p>
      <w:pPr>
        <w:spacing w:line="588"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（一）项目完成情况。</w:t>
      </w:r>
    </w:p>
    <w:p>
      <w:pPr>
        <w:spacing w:line="588"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遂宁一中“201</w:t>
      </w:r>
      <w:r>
        <w:rPr>
          <w:rFonts w:hint="eastAsia" w:ascii="仿宋_GB2312" w:hAnsi="仿宋_GB2312" w:eastAsia="仿宋_GB2312" w:cs="仿宋_GB2312"/>
          <w:color w:val="000000"/>
          <w:sz w:val="32"/>
          <w:szCs w:val="32"/>
          <w:lang w:val="en-US" w:eastAsia="zh-CN"/>
        </w:rPr>
        <w:t>9</w:t>
      </w:r>
      <w:r>
        <w:rPr>
          <w:rFonts w:hint="eastAsia" w:ascii="仿宋_GB2312" w:hAnsi="仿宋_GB2312" w:eastAsia="仿宋_GB2312" w:cs="仿宋_GB2312"/>
          <w:color w:val="000000"/>
          <w:sz w:val="32"/>
          <w:szCs w:val="32"/>
        </w:rPr>
        <w:t>教育质量提升奖补资金”在上级主管部门的关心、帮助下，在学校党总支的领导下，各项任务顺利推进，并经学校自评，达到预期目的。</w:t>
      </w:r>
    </w:p>
    <w:p>
      <w:pPr>
        <w:spacing w:line="588"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（二）项目效益情况。本项目弥补了学校提升教师生活质量的经费缺口，进一步提高了学校教学工作的积极性，学校师生对该项目满意度较高。</w:t>
      </w:r>
    </w:p>
    <w:p>
      <w:pPr>
        <w:spacing w:line="588"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四、问题及建议</w:t>
      </w:r>
    </w:p>
    <w:p>
      <w:pPr>
        <w:spacing w:line="588"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（一）存在的问题。</w:t>
      </w:r>
    </w:p>
    <w:p>
      <w:pPr>
        <w:spacing w:line="588"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由于201</w:t>
      </w:r>
      <w:r>
        <w:rPr>
          <w:rFonts w:hint="eastAsia" w:ascii="仿宋_GB2312" w:hAnsi="仿宋_GB2312" w:eastAsia="仿宋_GB2312" w:cs="仿宋_GB2312"/>
          <w:color w:val="000000"/>
          <w:sz w:val="32"/>
          <w:szCs w:val="32"/>
          <w:lang w:val="en-US" w:eastAsia="zh-CN"/>
        </w:rPr>
        <w:t>9</w:t>
      </w:r>
      <w:r>
        <w:rPr>
          <w:rFonts w:hint="eastAsia" w:ascii="仿宋_GB2312" w:hAnsi="仿宋_GB2312" w:eastAsia="仿宋_GB2312" w:cs="仿宋_GB2312"/>
          <w:color w:val="000000"/>
          <w:sz w:val="32"/>
          <w:szCs w:val="32"/>
        </w:rPr>
        <w:t>年教育质量提升奖补资金是分批次得到的。学校教职工全体人员（包括退休）总数庞大。分批次的经费不能满足学校职工一次性发放。所以学校占用了其他公用经费为其发放。对此市委、市政府也对于我校特殊情况予以特殊处理。</w:t>
      </w:r>
    </w:p>
    <w:p>
      <w:pPr>
        <w:spacing w:line="588"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（二）相关建议。</w:t>
      </w:r>
    </w:p>
    <w:p>
      <w:pPr>
        <w:spacing w:line="588"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建议根据绩效评价结果适当增加公办高中人员经费市级补助资金的预算，加大对教育事业的扶持力度。</w:t>
      </w:r>
    </w:p>
    <w:p>
      <w:pPr>
        <w:widowControl/>
        <w:shd w:val="clear" w:color="auto" w:fill="FFFFFF"/>
        <w:adjustRightInd w:val="0"/>
        <w:snapToGrid w:val="0"/>
        <w:spacing w:before="100" w:beforeAutospacing="1" w:after="100" w:afterAutospacing="1" w:line="600" w:lineRule="exact"/>
        <w:ind w:firstLine="420" w:firstLineChars="200"/>
        <w:rPr>
          <w:rFonts w:ascii="仿宋_GB2312" w:hAnsi="宋体" w:cs="宋体"/>
          <w:color w:val="000000"/>
          <w:kern w:val="0"/>
        </w:rPr>
      </w:pPr>
    </w:p>
    <w:p>
      <w:pPr>
        <w:spacing w:line="600" w:lineRule="exact"/>
        <w:jc w:val="center"/>
        <w:outlineLvl w:val="0"/>
        <w:rPr>
          <w:rFonts w:ascii="黑体" w:hAnsi="黑体" w:eastAsia="黑体"/>
          <w:color w:val="000000"/>
          <w:sz w:val="44"/>
          <w:szCs w:val="44"/>
        </w:rPr>
      </w:pPr>
    </w:p>
    <w:p>
      <w:pPr>
        <w:spacing w:line="600" w:lineRule="exact"/>
        <w:jc w:val="center"/>
        <w:outlineLvl w:val="0"/>
        <w:rPr>
          <w:rFonts w:ascii="黑体" w:hAnsi="黑体" w:eastAsia="黑体"/>
          <w:color w:val="000000"/>
          <w:sz w:val="44"/>
          <w:szCs w:val="44"/>
        </w:rPr>
      </w:pPr>
    </w:p>
    <w:p>
      <w:pPr>
        <w:spacing w:line="600" w:lineRule="exact"/>
        <w:jc w:val="center"/>
        <w:outlineLvl w:val="0"/>
        <w:rPr>
          <w:rFonts w:ascii="黑体" w:hAnsi="黑体" w:eastAsia="黑体"/>
          <w:color w:val="000000"/>
          <w:sz w:val="44"/>
          <w:szCs w:val="44"/>
        </w:rPr>
      </w:pPr>
    </w:p>
    <w:p>
      <w:pPr>
        <w:spacing w:line="600" w:lineRule="exact"/>
        <w:jc w:val="center"/>
        <w:outlineLvl w:val="0"/>
        <w:rPr>
          <w:rFonts w:ascii="黑体" w:hAnsi="黑体" w:eastAsia="黑体"/>
          <w:color w:val="000000"/>
          <w:sz w:val="44"/>
          <w:szCs w:val="44"/>
        </w:rPr>
      </w:pPr>
    </w:p>
    <w:p>
      <w:pPr>
        <w:spacing w:line="580" w:lineRule="exact"/>
        <w:ind w:firstLine="640"/>
        <w:rPr>
          <w:rFonts w:ascii="仿宋_GB2312" w:hAnsi="仿宋_GB2312" w:eastAsia="仿宋_GB2312" w:cs="仿宋_GB2312"/>
          <w:sz w:val="32"/>
          <w:szCs w:val="32"/>
        </w:rPr>
      </w:pPr>
    </w:p>
    <w:p>
      <w:pPr>
        <w:widowControl/>
        <w:jc w:val="left"/>
        <w:rPr>
          <w:rStyle w:val="24"/>
          <w:rFonts w:ascii="黑体" w:hAnsi="黑体" w:eastAsia="黑体"/>
          <w:b w:val="0"/>
        </w:rPr>
      </w:pPr>
    </w:p>
    <w:p>
      <w:pPr>
        <w:widowControl/>
        <w:jc w:val="left"/>
        <w:rPr>
          <w:rStyle w:val="24"/>
          <w:rFonts w:ascii="黑体" w:hAnsi="黑体" w:eastAsia="黑体"/>
          <w:b w:val="0"/>
        </w:rPr>
      </w:pPr>
      <w:r>
        <w:rPr>
          <w:rStyle w:val="24"/>
          <w:rFonts w:ascii="黑体" w:hAnsi="黑体" w:eastAsia="黑体"/>
          <w:b w:val="0"/>
        </w:rPr>
        <w:br w:type="page"/>
      </w:r>
    </w:p>
    <w:p>
      <w:pPr>
        <w:spacing w:line="600" w:lineRule="exact"/>
        <w:jc w:val="center"/>
        <w:outlineLvl w:val="0"/>
        <w:rPr>
          <w:rStyle w:val="24"/>
          <w:rFonts w:ascii="黑体" w:hAnsi="黑体" w:eastAsia="黑体"/>
          <w:b w:val="0"/>
        </w:rPr>
      </w:pPr>
    </w:p>
    <w:p>
      <w:pPr>
        <w:spacing w:line="600" w:lineRule="exact"/>
        <w:jc w:val="center"/>
        <w:outlineLvl w:val="0"/>
        <w:rPr>
          <w:rStyle w:val="24"/>
          <w:rFonts w:ascii="黑体" w:hAnsi="黑体" w:eastAsia="黑体"/>
          <w:b w:val="0"/>
        </w:rPr>
      </w:pPr>
      <w:bookmarkStart w:id="55" w:name="_Toc15396618"/>
      <w:r>
        <w:rPr>
          <w:rFonts w:hint="eastAsia" w:ascii="黑体" w:hAnsi="黑体" w:eastAsia="黑体"/>
          <w:color w:val="000000"/>
          <w:sz w:val="44"/>
          <w:szCs w:val="44"/>
        </w:rPr>
        <w:t>第</w:t>
      </w:r>
      <w:r>
        <w:rPr>
          <w:rStyle w:val="24"/>
          <w:rFonts w:hint="eastAsia" w:ascii="黑体" w:hAnsi="黑体" w:eastAsia="黑体"/>
          <w:b w:val="0"/>
        </w:rPr>
        <w:t>五部分附表</w:t>
      </w:r>
      <w:bookmarkEnd w:id="54"/>
      <w:bookmarkEnd w:id="55"/>
    </w:p>
    <w:p>
      <w:pPr>
        <w:spacing w:line="600" w:lineRule="exact"/>
        <w:jc w:val="center"/>
        <w:outlineLvl w:val="0"/>
        <w:rPr>
          <w:rFonts w:ascii="仿宋" w:hAnsi="仿宋" w:eastAsia="仿宋"/>
          <w:b/>
          <w:color w:val="000000"/>
          <w:sz w:val="44"/>
          <w:szCs w:val="44"/>
        </w:rPr>
      </w:pPr>
    </w:p>
    <w:p>
      <w:pPr>
        <w:pStyle w:val="3"/>
        <w:rPr>
          <w:rFonts w:ascii="仿宋" w:hAnsi="仿宋" w:eastAsia="仿宋"/>
          <w:color w:val="000000"/>
        </w:rPr>
      </w:pPr>
      <w:bookmarkStart w:id="56" w:name="_Toc15396619"/>
      <w:r>
        <w:rPr>
          <w:rFonts w:hint="eastAsia" w:ascii="仿宋" w:hAnsi="仿宋" w:eastAsia="仿宋"/>
          <w:b w:val="0"/>
          <w:color w:val="000000"/>
        </w:rPr>
        <w:t>一、收</w:t>
      </w:r>
      <w:r>
        <w:rPr>
          <w:rStyle w:val="25"/>
          <w:rFonts w:hint="eastAsia" w:ascii="仿宋" w:hAnsi="仿宋" w:eastAsia="仿宋"/>
          <w:b w:val="0"/>
          <w:bCs w:val="0"/>
        </w:rPr>
        <w:t>入支出决算总表</w:t>
      </w:r>
      <w:bookmarkEnd w:id="56"/>
    </w:p>
    <w:p>
      <w:pPr>
        <w:pStyle w:val="3"/>
        <w:rPr>
          <w:rFonts w:ascii="仿宋" w:hAnsi="仿宋" w:eastAsia="仿宋"/>
          <w:color w:val="000000"/>
        </w:rPr>
      </w:pPr>
      <w:bookmarkStart w:id="57" w:name="_Toc15396620"/>
      <w:r>
        <w:rPr>
          <w:rFonts w:hint="eastAsia" w:ascii="仿宋" w:hAnsi="仿宋" w:eastAsia="仿宋"/>
          <w:b w:val="0"/>
          <w:color w:val="000000"/>
        </w:rPr>
        <w:t>二、收</w:t>
      </w:r>
      <w:r>
        <w:rPr>
          <w:rStyle w:val="25"/>
          <w:rFonts w:hint="eastAsia" w:ascii="仿宋" w:hAnsi="仿宋" w:eastAsia="仿宋"/>
          <w:b w:val="0"/>
          <w:bCs w:val="0"/>
        </w:rPr>
        <w:t>入决算表</w:t>
      </w:r>
      <w:bookmarkEnd w:id="57"/>
    </w:p>
    <w:p>
      <w:pPr>
        <w:pStyle w:val="3"/>
        <w:rPr>
          <w:rFonts w:ascii="仿宋" w:hAnsi="仿宋" w:eastAsia="仿宋"/>
          <w:color w:val="000000"/>
        </w:rPr>
      </w:pPr>
      <w:bookmarkStart w:id="58" w:name="_Toc15396621"/>
      <w:r>
        <w:rPr>
          <w:rStyle w:val="25"/>
          <w:rFonts w:hint="eastAsia" w:ascii="仿宋" w:hAnsi="仿宋" w:eastAsia="仿宋"/>
          <w:b w:val="0"/>
          <w:bCs w:val="0"/>
        </w:rPr>
        <w:t>三、</w:t>
      </w:r>
      <w:r>
        <w:rPr>
          <w:rFonts w:hint="eastAsia" w:ascii="仿宋" w:hAnsi="仿宋" w:eastAsia="仿宋"/>
          <w:b w:val="0"/>
          <w:color w:val="000000"/>
        </w:rPr>
        <w:t>支</w:t>
      </w:r>
      <w:r>
        <w:rPr>
          <w:rStyle w:val="25"/>
          <w:rFonts w:hint="eastAsia" w:ascii="仿宋" w:hAnsi="仿宋" w:eastAsia="仿宋"/>
          <w:b w:val="0"/>
          <w:bCs w:val="0"/>
        </w:rPr>
        <w:t>出决算表</w:t>
      </w:r>
      <w:bookmarkEnd w:id="58"/>
    </w:p>
    <w:p>
      <w:pPr>
        <w:pStyle w:val="3"/>
        <w:rPr>
          <w:rFonts w:ascii="仿宋" w:hAnsi="仿宋" w:eastAsia="仿宋"/>
          <w:b w:val="0"/>
          <w:color w:val="000000"/>
        </w:rPr>
      </w:pPr>
      <w:bookmarkStart w:id="59" w:name="_Toc15396622"/>
      <w:r>
        <w:rPr>
          <w:rStyle w:val="25"/>
          <w:rFonts w:hint="eastAsia" w:ascii="仿宋" w:hAnsi="仿宋" w:eastAsia="仿宋"/>
          <w:b w:val="0"/>
          <w:bCs w:val="0"/>
        </w:rPr>
        <w:t>四、</w:t>
      </w:r>
      <w:r>
        <w:rPr>
          <w:rFonts w:hint="eastAsia" w:ascii="仿宋" w:hAnsi="仿宋" w:eastAsia="仿宋"/>
          <w:b w:val="0"/>
          <w:color w:val="000000"/>
        </w:rPr>
        <w:t>财</w:t>
      </w:r>
      <w:r>
        <w:rPr>
          <w:rStyle w:val="25"/>
          <w:rFonts w:hint="eastAsia" w:ascii="仿宋" w:hAnsi="仿宋" w:eastAsia="仿宋"/>
          <w:b w:val="0"/>
          <w:bCs w:val="0"/>
        </w:rPr>
        <w:t>政拨款收入支出决算总表</w:t>
      </w:r>
      <w:bookmarkEnd w:id="59"/>
    </w:p>
    <w:p>
      <w:pPr>
        <w:pStyle w:val="3"/>
        <w:rPr>
          <w:rStyle w:val="25"/>
          <w:rFonts w:ascii="仿宋" w:hAnsi="仿宋" w:eastAsia="仿宋"/>
          <w:b w:val="0"/>
          <w:bCs w:val="0"/>
        </w:rPr>
      </w:pPr>
      <w:bookmarkStart w:id="60" w:name="_Toc15396623"/>
      <w:r>
        <w:rPr>
          <w:rStyle w:val="25"/>
          <w:rFonts w:hint="eastAsia" w:ascii="仿宋" w:hAnsi="仿宋" w:eastAsia="仿宋"/>
          <w:b w:val="0"/>
          <w:bCs w:val="0"/>
        </w:rPr>
        <w:t>五、</w:t>
      </w:r>
      <w:r>
        <w:rPr>
          <w:rFonts w:hint="eastAsia" w:ascii="仿宋" w:hAnsi="仿宋" w:eastAsia="仿宋"/>
          <w:b w:val="0"/>
          <w:color w:val="000000"/>
        </w:rPr>
        <w:t>财</w:t>
      </w:r>
      <w:r>
        <w:rPr>
          <w:rStyle w:val="25"/>
          <w:rFonts w:hint="eastAsia" w:ascii="仿宋" w:hAnsi="仿宋" w:eastAsia="仿宋"/>
          <w:b w:val="0"/>
          <w:bCs w:val="0"/>
        </w:rPr>
        <w:t>政拨款支出决算明细表</w:t>
      </w:r>
      <w:bookmarkEnd w:id="60"/>
      <w:bookmarkStart w:id="61" w:name="_Toc15396624"/>
    </w:p>
    <w:p>
      <w:pPr>
        <w:pStyle w:val="3"/>
        <w:rPr>
          <w:rFonts w:ascii="仿宋" w:hAnsi="仿宋" w:eastAsia="仿宋"/>
          <w:color w:val="000000"/>
        </w:rPr>
      </w:pPr>
      <w:r>
        <w:rPr>
          <w:rStyle w:val="25"/>
          <w:rFonts w:hint="eastAsia" w:ascii="仿宋" w:hAnsi="仿宋" w:eastAsia="仿宋"/>
          <w:b w:val="0"/>
          <w:bCs w:val="0"/>
        </w:rPr>
        <w:t>六、</w:t>
      </w:r>
      <w:r>
        <w:rPr>
          <w:rFonts w:hint="eastAsia" w:ascii="仿宋" w:hAnsi="仿宋" w:eastAsia="仿宋"/>
          <w:b w:val="0"/>
          <w:color w:val="000000"/>
        </w:rPr>
        <w:t>一</w:t>
      </w:r>
      <w:r>
        <w:rPr>
          <w:rStyle w:val="25"/>
          <w:rFonts w:hint="eastAsia" w:ascii="仿宋" w:hAnsi="仿宋" w:eastAsia="仿宋"/>
          <w:b w:val="0"/>
          <w:bCs w:val="0"/>
        </w:rPr>
        <w:t>般公共预算财政拨款支出决算表</w:t>
      </w:r>
      <w:bookmarkEnd w:id="61"/>
    </w:p>
    <w:p>
      <w:pPr>
        <w:pStyle w:val="3"/>
        <w:rPr>
          <w:rFonts w:ascii="仿宋" w:hAnsi="仿宋" w:eastAsia="仿宋"/>
          <w:color w:val="000000"/>
        </w:rPr>
      </w:pPr>
      <w:bookmarkStart w:id="62" w:name="_Toc15396625"/>
      <w:r>
        <w:rPr>
          <w:rStyle w:val="25"/>
          <w:rFonts w:hint="eastAsia" w:ascii="仿宋" w:hAnsi="仿宋" w:eastAsia="仿宋"/>
          <w:b w:val="0"/>
          <w:bCs w:val="0"/>
        </w:rPr>
        <w:t>七、</w:t>
      </w:r>
      <w:r>
        <w:rPr>
          <w:rFonts w:hint="eastAsia" w:ascii="仿宋" w:hAnsi="仿宋" w:eastAsia="仿宋"/>
          <w:b w:val="0"/>
          <w:color w:val="000000"/>
        </w:rPr>
        <w:t>一</w:t>
      </w:r>
      <w:r>
        <w:rPr>
          <w:rStyle w:val="25"/>
          <w:rFonts w:hint="eastAsia" w:ascii="仿宋" w:hAnsi="仿宋" w:eastAsia="仿宋"/>
          <w:b w:val="0"/>
          <w:bCs w:val="0"/>
        </w:rPr>
        <w:t>般公共预算财政拨款支出决算明细表</w:t>
      </w:r>
      <w:bookmarkEnd w:id="62"/>
    </w:p>
    <w:p>
      <w:pPr>
        <w:pStyle w:val="3"/>
        <w:rPr>
          <w:rFonts w:ascii="仿宋" w:hAnsi="仿宋" w:eastAsia="仿宋"/>
          <w:color w:val="000000"/>
        </w:rPr>
      </w:pPr>
      <w:bookmarkStart w:id="63" w:name="_Toc15396626"/>
      <w:r>
        <w:rPr>
          <w:rStyle w:val="25"/>
          <w:rFonts w:hint="eastAsia" w:ascii="仿宋" w:hAnsi="仿宋" w:eastAsia="仿宋"/>
          <w:b w:val="0"/>
          <w:bCs w:val="0"/>
        </w:rPr>
        <w:t>八、</w:t>
      </w:r>
      <w:r>
        <w:rPr>
          <w:rFonts w:hint="eastAsia" w:ascii="仿宋" w:hAnsi="仿宋" w:eastAsia="仿宋"/>
          <w:b w:val="0"/>
          <w:color w:val="000000"/>
        </w:rPr>
        <w:t>一</w:t>
      </w:r>
      <w:r>
        <w:rPr>
          <w:rStyle w:val="25"/>
          <w:rFonts w:hint="eastAsia" w:ascii="仿宋" w:hAnsi="仿宋" w:eastAsia="仿宋"/>
          <w:b w:val="0"/>
          <w:bCs w:val="0"/>
        </w:rPr>
        <w:t>般公共预算财政拨款基本支出决算表</w:t>
      </w:r>
      <w:bookmarkEnd w:id="63"/>
    </w:p>
    <w:p>
      <w:pPr>
        <w:pStyle w:val="3"/>
        <w:rPr>
          <w:rFonts w:ascii="仿宋" w:hAnsi="仿宋" w:eastAsia="仿宋"/>
          <w:color w:val="000000"/>
        </w:rPr>
      </w:pPr>
      <w:bookmarkStart w:id="64" w:name="_Toc15396627"/>
      <w:r>
        <w:rPr>
          <w:rStyle w:val="25"/>
          <w:rFonts w:hint="eastAsia" w:ascii="仿宋" w:hAnsi="仿宋" w:eastAsia="仿宋"/>
          <w:b w:val="0"/>
          <w:bCs w:val="0"/>
        </w:rPr>
        <w:t>九、</w:t>
      </w:r>
      <w:r>
        <w:rPr>
          <w:rFonts w:hint="eastAsia" w:ascii="仿宋" w:hAnsi="仿宋" w:eastAsia="仿宋"/>
          <w:b w:val="0"/>
          <w:color w:val="000000"/>
        </w:rPr>
        <w:t>一</w:t>
      </w:r>
      <w:r>
        <w:rPr>
          <w:rStyle w:val="25"/>
          <w:rFonts w:hint="eastAsia" w:ascii="仿宋" w:hAnsi="仿宋" w:eastAsia="仿宋"/>
          <w:b w:val="0"/>
          <w:bCs w:val="0"/>
        </w:rPr>
        <w:t>般公共预算财政拨款项目支出决算表</w:t>
      </w:r>
      <w:bookmarkEnd w:id="64"/>
    </w:p>
    <w:p>
      <w:pPr>
        <w:pStyle w:val="3"/>
        <w:rPr>
          <w:rFonts w:ascii="仿宋" w:hAnsi="仿宋" w:eastAsia="仿宋"/>
          <w:color w:val="000000"/>
        </w:rPr>
      </w:pPr>
      <w:bookmarkStart w:id="65" w:name="_Toc15396628"/>
      <w:r>
        <w:rPr>
          <w:rStyle w:val="25"/>
          <w:rFonts w:hint="eastAsia" w:ascii="仿宋" w:hAnsi="仿宋" w:eastAsia="仿宋"/>
          <w:b w:val="0"/>
          <w:bCs w:val="0"/>
        </w:rPr>
        <w:t>十、</w:t>
      </w:r>
      <w:r>
        <w:rPr>
          <w:rFonts w:hint="eastAsia" w:ascii="仿宋" w:hAnsi="仿宋" w:eastAsia="仿宋"/>
          <w:b w:val="0"/>
          <w:color w:val="000000"/>
        </w:rPr>
        <w:t>一</w:t>
      </w:r>
      <w:r>
        <w:rPr>
          <w:rStyle w:val="25"/>
          <w:rFonts w:hint="eastAsia" w:ascii="仿宋" w:hAnsi="仿宋" w:eastAsia="仿宋"/>
          <w:b w:val="0"/>
          <w:bCs w:val="0"/>
        </w:rPr>
        <w:t>般公共预算财政拨款“三公”经费支出决算表</w:t>
      </w:r>
      <w:bookmarkEnd w:id="65"/>
    </w:p>
    <w:p>
      <w:pPr>
        <w:pStyle w:val="3"/>
        <w:rPr>
          <w:rFonts w:ascii="仿宋" w:hAnsi="仿宋" w:eastAsia="仿宋"/>
          <w:color w:val="000000"/>
        </w:rPr>
      </w:pPr>
      <w:bookmarkStart w:id="66" w:name="_Toc15396629"/>
      <w:r>
        <w:rPr>
          <w:rStyle w:val="25"/>
          <w:rFonts w:hint="eastAsia" w:ascii="仿宋" w:hAnsi="仿宋" w:eastAsia="仿宋"/>
          <w:b w:val="0"/>
          <w:bCs w:val="0"/>
        </w:rPr>
        <w:t>十一、</w:t>
      </w:r>
      <w:r>
        <w:rPr>
          <w:rFonts w:hint="eastAsia" w:ascii="仿宋" w:hAnsi="仿宋" w:eastAsia="仿宋"/>
          <w:b w:val="0"/>
          <w:color w:val="000000"/>
        </w:rPr>
        <w:t>政</w:t>
      </w:r>
      <w:r>
        <w:rPr>
          <w:rStyle w:val="25"/>
          <w:rFonts w:hint="eastAsia" w:ascii="仿宋" w:hAnsi="仿宋" w:eastAsia="仿宋"/>
          <w:b w:val="0"/>
          <w:bCs w:val="0"/>
        </w:rPr>
        <w:t>府性基金预算财政拨款收入支出决算表</w:t>
      </w:r>
      <w:bookmarkEnd w:id="66"/>
    </w:p>
    <w:p>
      <w:pPr>
        <w:pStyle w:val="3"/>
        <w:rPr>
          <w:rFonts w:ascii="仿宋" w:hAnsi="仿宋" w:eastAsia="仿宋"/>
          <w:color w:val="000000"/>
        </w:rPr>
      </w:pPr>
      <w:bookmarkStart w:id="67" w:name="_Toc15396630"/>
      <w:r>
        <w:rPr>
          <w:rStyle w:val="25"/>
          <w:rFonts w:hint="eastAsia" w:ascii="仿宋" w:hAnsi="仿宋" w:eastAsia="仿宋"/>
          <w:b w:val="0"/>
          <w:bCs w:val="0"/>
        </w:rPr>
        <w:t>十二、</w:t>
      </w:r>
      <w:r>
        <w:rPr>
          <w:rFonts w:hint="eastAsia" w:ascii="仿宋" w:hAnsi="仿宋" w:eastAsia="仿宋"/>
          <w:b w:val="0"/>
          <w:color w:val="000000"/>
        </w:rPr>
        <w:t>政</w:t>
      </w:r>
      <w:r>
        <w:rPr>
          <w:rStyle w:val="25"/>
          <w:rFonts w:hint="eastAsia" w:ascii="仿宋" w:hAnsi="仿宋" w:eastAsia="仿宋"/>
          <w:b w:val="0"/>
          <w:bCs w:val="0"/>
        </w:rPr>
        <w:t>府性基金预算财政拨款“三公”经费支出决算表</w:t>
      </w:r>
      <w:bookmarkEnd w:id="67"/>
    </w:p>
    <w:p>
      <w:pPr>
        <w:pStyle w:val="3"/>
        <w:rPr>
          <w:rFonts w:ascii="仿宋" w:hAnsi="仿宋" w:eastAsia="仿宋"/>
          <w:color w:val="000000" w:themeColor="text1"/>
          <w14:textFill>
            <w14:solidFill>
              <w14:schemeClr w14:val="tx1"/>
            </w14:solidFill>
          </w14:textFill>
        </w:rPr>
      </w:pPr>
      <w:bookmarkStart w:id="68" w:name="_Toc15396631"/>
      <w:r>
        <w:rPr>
          <w:rStyle w:val="25"/>
          <w:rFonts w:hint="eastAsia" w:ascii="仿宋" w:hAnsi="仿宋" w:eastAsia="仿宋"/>
          <w:b w:val="0"/>
          <w:bCs w:val="0"/>
        </w:rPr>
        <w:t>十三、</w:t>
      </w:r>
      <w:r>
        <w:rPr>
          <w:rFonts w:hint="eastAsia" w:ascii="仿宋" w:hAnsi="仿宋" w:eastAsia="仿宋"/>
          <w:b w:val="0"/>
          <w:color w:val="000000"/>
        </w:rPr>
        <w:t>国</w:t>
      </w:r>
      <w:r>
        <w:rPr>
          <w:rStyle w:val="25"/>
          <w:rFonts w:hint="eastAsia" w:ascii="仿宋" w:hAnsi="仿宋" w:eastAsia="仿宋"/>
          <w:b w:val="0"/>
          <w:bCs w:val="0"/>
        </w:rPr>
        <w:t>有资本经营预算支出决算表</w:t>
      </w:r>
      <w:bookmarkEnd w:id="68"/>
    </w:p>
    <w:sectPr>
      <w:headerReference r:id="rId3" w:type="default"/>
      <w:footerReference r:id="rId4" w:type="default"/>
      <w:pgSz w:w="11906" w:h="16838"/>
      <w:pgMar w:top="1440" w:right="1800" w:bottom="1440" w:left="1800" w:header="851" w:footer="992" w:gutter="0"/>
      <w:pgNumType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altName w:val="黑体"/>
    <w:panose1 w:val="03000509000000000000"/>
    <w:charset w:val="86"/>
    <w:family w:val="auto"/>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新宋体">
    <w:panose1 w:val="02010609030101010101"/>
    <w:charset w:val="86"/>
    <w:family w:val="modern"/>
    <w:pitch w:val="default"/>
    <w:sig w:usb0="00000203" w:usb1="288F0000" w:usb2="00000006" w:usb3="00000000" w:csb0="00040001"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 w:name="华文仿宋">
    <w:altName w:val="仿宋"/>
    <w:panose1 w:val="02010600040101010101"/>
    <w:charset w:val="86"/>
    <w:family w:val="auto"/>
    <w:pitch w:val="default"/>
    <w:sig w:usb0="00000000" w:usb1="00000000" w:usb2="00000000" w:usb3="00000000" w:csb0="0004009F" w:csb1="DFD70000"/>
  </w:font>
  <w:font w:name="等线">
    <w:panose1 w:val="02010600030101010101"/>
    <w:charset w:val="86"/>
    <w:family w:val="auto"/>
    <w:pitch w:val="default"/>
    <w:sig w:usb0="A00002BF" w:usb1="38CF7CFA" w:usb2="00000016" w:usb3="00000000" w:csb0="0004000F" w:csb1="00000000"/>
  </w:font>
  <w:font w:name="华文楷体">
    <w:altName w:val="宋体"/>
    <w:panose1 w:val="02010600040101010101"/>
    <w:charset w:val="86"/>
    <w:family w:val="auto"/>
    <w:pitch w:val="default"/>
    <w:sig w:usb0="00000000" w:usb1="0000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94781956"/>
    </w:sdtPr>
    <w:sdtContent>
      <w:p>
        <w:pPr>
          <w:pStyle w:val="8"/>
          <w:jc w:val="center"/>
        </w:pPr>
        <w:r>
          <w:fldChar w:fldCharType="begin"/>
        </w:r>
        <w:r>
          <w:instrText xml:space="preserve">PAGE   \* MERGEFORMAT</w:instrText>
        </w:r>
        <w:r>
          <w:fldChar w:fldCharType="separate"/>
        </w:r>
        <w:r>
          <w:rPr>
            <w:lang w:val="zh-CN"/>
          </w:rPr>
          <w:t>24</w:t>
        </w:r>
        <w:r>
          <w:fldChar w:fldCharType="end"/>
        </w:r>
      </w:p>
    </w:sdtContent>
  </w:sdt>
  <w:p>
    <w:pPr>
      <w:pStyle w:val="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758BED0"/>
    <w:multiLevelType w:val="singleLevel"/>
    <w:tmpl w:val="8758BED0"/>
    <w:lvl w:ilvl="0" w:tentative="0">
      <w:start w:val="1"/>
      <w:numFmt w:val="decimal"/>
      <w:lvlText w:val="%1."/>
      <w:lvlJc w:val="left"/>
      <w:pPr>
        <w:tabs>
          <w:tab w:val="left" w:pos="312"/>
        </w:tabs>
      </w:pPr>
    </w:lvl>
  </w:abstractNum>
  <w:abstractNum w:abstractNumId="1">
    <w:nsid w:val="8D11825A"/>
    <w:multiLevelType w:val="singleLevel"/>
    <w:tmpl w:val="8D11825A"/>
    <w:lvl w:ilvl="0" w:tentative="0">
      <w:start w:val="3"/>
      <w:numFmt w:val="chineseCounting"/>
      <w:suff w:val="nothing"/>
      <w:lvlText w:val="（%1）"/>
      <w:lvlJc w:val="left"/>
      <w:rPr>
        <w:rFonts w:hint="eastAsia"/>
      </w:rPr>
    </w:lvl>
  </w:abstractNum>
  <w:abstractNum w:abstractNumId="2">
    <w:nsid w:val="BA06E16F"/>
    <w:multiLevelType w:val="singleLevel"/>
    <w:tmpl w:val="BA06E16F"/>
    <w:lvl w:ilvl="0" w:tentative="0">
      <w:start w:val="2"/>
      <w:numFmt w:val="chineseCounting"/>
      <w:suff w:val="nothing"/>
      <w:lvlText w:val="（%1）"/>
      <w:lvlJc w:val="left"/>
      <w:rPr>
        <w:rFonts w:hint="eastAsia"/>
      </w:rPr>
    </w:lvl>
  </w:abstractNum>
  <w:abstractNum w:abstractNumId="3">
    <w:nsid w:val="CF652CEC"/>
    <w:multiLevelType w:val="singleLevel"/>
    <w:tmpl w:val="CF652CEC"/>
    <w:lvl w:ilvl="0" w:tentative="0">
      <w:start w:val="9"/>
      <w:numFmt w:val="chineseCounting"/>
      <w:suff w:val="nothing"/>
      <w:lvlText w:val="%1、"/>
      <w:lvlJc w:val="left"/>
      <w:rPr>
        <w:rFonts w:hint="eastAsia"/>
      </w:rPr>
    </w:lvl>
  </w:abstractNum>
  <w:abstractNum w:abstractNumId="4">
    <w:nsid w:val="E2FA047D"/>
    <w:multiLevelType w:val="singleLevel"/>
    <w:tmpl w:val="E2FA047D"/>
    <w:lvl w:ilvl="0" w:tentative="0">
      <w:start w:val="3"/>
      <w:numFmt w:val="chineseCounting"/>
      <w:suff w:val="space"/>
      <w:lvlText w:val="第%1部分"/>
      <w:lvlJc w:val="left"/>
      <w:rPr>
        <w:rFonts w:hint="eastAsia" w:ascii="黑体" w:hAnsi="黑体" w:eastAsia="黑体" w:cs="黑体"/>
        <w:sz w:val="44"/>
        <w:szCs w:val="44"/>
      </w:rPr>
    </w:lvl>
  </w:abstractNum>
  <w:abstractNum w:abstractNumId="5">
    <w:nsid w:val="429C81FA"/>
    <w:multiLevelType w:val="singleLevel"/>
    <w:tmpl w:val="429C81FA"/>
    <w:lvl w:ilvl="0" w:tentative="0">
      <w:start w:val="1"/>
      <w:numFmt w:val="decimal"/>
      <w:lvlText w:val="%1."/>
      <w:lvlJc w:val="left"/>
      <w:pPr>
        <w:tabs>
          <w:tab w:val="left" w:pos="312"/>
        </w:tabs>
      </w:pPr>
    </w:lvl>
  </w:abstractNum>
  <w:abstractNum w:abstractNumId="6">
    <w:nsid w:val="62621CDC"/>
    <w:multiLevelType w:val="multilevel"/>
    <w:tmpl w:val="62621CDC"/>
    <w:lvl w:ilvl="0" w:tentative="0">
      <w:start w:val="1"/>
      <w:numFmt w:val="decimal"/>
      <w:lvlText w:val="%1."/>
      <w:lvlJc w:val="left"/>
      <w:pPr>
        <w:ind w:left="1152" w:hanging="480"/>
      </w:pPr>
      <w:rPr>
        <w:rFonts w:hint="default"/>
      </w:rPr>
    </w:lvl>
    <w:lvl w:ilvl="1" w:tentative="0">
      <w:start w:val="1"/>
      <w:numFmt w:val="lowerLetter"/>
      <w:lvlText w:val="%2)"/>
      <w:lvlJc w:val="left"/>
      <w:pPr>
        <w:ind w:left="1512" w:hanging="420"/>
      </w:pPr>
    </w:lvl>
    <w:lvl w:ilvl="2" w:tentative="0">
      <w:start w:val="1"/>
      <w:numFmt w:val="lowerRoman"/>
      <w:lvlText w:val="%3."/>
      <w:lvlJc w:val="right"/>
      <w:pPr>
        <w:ind w:left="1932" w:hanging="420"/>
      </w:pPr>
    </w:lvl>
    <w:lvl w:ilvl="3" w:tentative="0">
      <w:start w:val="1"/>
      <w:numFmt w:val="decimal"/>
      <w:lvlText w:val="%4."/>
      <w:lvlJc w:val="left"/>
      <w:pPr>
        <w:ind w:left="2352" w:hanging="420"/>
      </w:pPr>
    </w:lvl>
    <w:lvl w:ilvl="4" w:tentative="0">
      <w:start w:val="1"/>
      <w:numFmt w:val="lowerLetter"/>
      <w:lvlText w:val="%5)"/>
      <w:lvlJc w:val="left"/>
      <w:pPr>
        <w:ind w:left="2772" w:hanging="420"/>
      </w:pPr>
    </w:lvl>
    <w:lvl w:ilvl="5" w:tentative="0">
      <w:start w:val="1"/>
      <w:numFmt w:val="lowerRoman"/>
      <w:lvlText w:val="%6."/>
      <w:lvlJc w:val="right"/>
      <w:pPr>
        <w:ind w:left="3192" w:hanging="420"/>
      </w:pPr>
    </w:lvl>
    <w:lvl w:ilvl="6" w:tentative="0">
      <w:start w:val="1"/>
      <w:numFmt w:val="decimal"/>
      <w:lvlText w:val="%7."/>
      <w:lvlJc w:val="left"/>
      <w:pPr>
        <w:ind w:left="3612" w:hanging="420"/>
      </w:pPr>
    </w:lvl>
    <w:lvl w:ilvl="7" w:tentative="0">
      <w:start w:val="1"/>
      <w:numFmt w:val="lowerLetter"/>
      <w:lvlText w:val="%8)"/>
      <w:lvlJc w:val="left"/>
      <w:pPr>
        <w:ind w:left="4032" w:hanging="420"/>
      </w:pPr>
    </w:lvl>
    <w:lvl w:ilvl="8" w:tentative="0">
      <w:start w:val="1"/>
      <w:numFmt w:val="lowerRoman"/>
      <w:lvlText w:val="%9."/>
      <w:lvlJc w:val="right"/>
      <w:pPr>
        <w:ind w:left="4452" w:hanging="420"/>
      </w:pPr>
    </w:lvl>
  </w:abstractNum>
  <w:num w:numId="1">
    <w:abstractNumId w:val="6"/>
  </w:num>
  <w:num w:numId="2">
    <w:abstractNumId w:val="0"/>
  </w:num>
  <w:num w:numId="3">
    <w:abstractNumId w:val="3"/>
  </w:num>
  <w:num w:numId="4">
    <w:abstractNumId w:val="5"/>
  </w:num>
  <w:num w:numId="5">
    <w:abstractNumId w:val="4"/>
  </w:num>
  <w:num w:numId="6">
    <w:abstractNumId w:val="1"/>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ThmMmI5NTg4ZGE2N2QzOTEyMzRlYzExYjNmZjdiNGYifQ=="/>
  </w:docVars>
  <w:rsids>
    <w:rsidRoot w:val="00F1361C"/>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42216"/>
    <w:rsid w:val="00144D6A"/>
    <w:rsid w:val="0014729F"/>
    <w:rsid w:val="00157BAB"/>
    <w:rsid w:val="001654D1"/>
    <w:rsid w:val="00174518"/>
    <w:rsid w:val="0018106D"/>
    <w:rsid w:val="001877A7"/>
    <w:rsid w:val="00191536"/>
    <w:rsid w:val="00196687"/>
    <w:rsid w:val="001C0962"/>
    <w:rsid w:val="001D7531"/>
    <w:rsid w:val="001E737D"/>
    <w:rsid w:val="001F0592"/>
    <w:rsid w:val="001F7506"/>
    <w:rsid w:val="002006CD"/>
    <w:rsid w:val="00202B36"/>
    <w:rsid w:val="00204B7A"/>
    <w:rsid w:val="00204CDE"/>
    <w:rsid w:val="0021101A"/>
    <w:rsid w:val="00220536"/>
    <w:rsid w:val="00235629"/>
    <w:rsid w:val="00260C38"/>
    <w:rsid w:val="002616C0"/>
    <w:rsid w:val="00265372"/>
    <w:rsid w:val="002662AA"/>
    <w:rsid w:val="00280496"/>
    <w:rsid w:val="00294DC9"/>
    <w:rsid w:val="00295495"/>
    <w:rsid w:val="002A31DE"/>
    <w:rsid w:val="002B2613"/>
    <w:rsid w:val="002D19B0"/>
    <w:rsid w:val="002D6D05"/>
    <w:rsid w:val="002F1818"/>
    <w:rsid w:val="002F567B"/>
    <w:rsid w:val="003216A9"/>
    <w:rsid w:val="00335A74"/>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16CD4"/>
    <w:rsid w:val="004223DE"/>
    <w:rsid w:val="00434489"/>
    <w:rsid w:val="00437085"/>
    <w:rsid w:val="00443880"/>
    <w:rsid w:val="004464F4"/>
    <w:rsid w:val="00471401"/>
    <w:rsid w:val="00473F31"/>
    <w:rsid w:val="0048263A"/>
    <w:rsid w:val="00487E5D"/>
    <w:rsid w:val="004A711F"/>
    <w:rsid w:val="004B199D"/>
    <w:rsid w:val="004B4690"/>
    <w:rsid w:val="004E0A2D"/>
    <w:rsid w:val="004E206B"/>
    <w:rsid w:val="004E6DF7"/>
    <w:rsid w:val="004F0FBD"/>
    <w:rsid w:val="004F403E"/>
    <w:rsid w:val="00505A47"/>
    <w:rsid w:val="00512FDA"/>
    <w:rsid w:val="00520DA0"/>
    <w:rsid w:val="005554F2"/>
    <w:rsid w:val="005664BB"/>
    <w:rsid w:val="00566FFA"/>
    <w:rsid w:val="0057481D"/>
    <w:rsid w:val="00575F0B"/>
    <w:rsid w:val="0058486E"/>
    <w:rsid w:val="00585B33"/>
    <w:rsid w:val="0059014D"/>
    <w:rsid w:val="005B5C64"/>
    <w:rsid w:val="005C6BD0"/>
    <w:rsid w:val="005C6C4C"/>
    <w:rsid w:val="005D1C8B"/>
    <w:rsid w:val="005D468D"/>
    <w:rsid w:val="005D5CED"/>
    <w:rsid w:val="005F1A4C"/>
    <w:rsid w:val="00605688"/>
    <w:rsid w:val="006070AF"/>
    <w:rsid w:val="00607E6C"/>
    <w:rsid w:val="006101B1"/>
    <w:rsid w:val="00614E44"/>
    <w:rsid w:val="0062143B"/>
    <w:rsid w:val="0062270A"/>
    <w:rsid w:val="00622830"/>
    <w:rsid w:val="00623DA0"/>
    <w:rsid w:val="00630AEF"/>
    <w:rsid w:val="006325F8"/>
    <w:rsid w:val="00633463"/>
    <w:rsid w:val="00634C9A"/>
    <w:rsid w:val="006440E4"/>
    <w:rsid w:val="0066343B"/>
    <w:rsid w:val="00664777"/>
    <w:rsid w:val="006748A4"/>
    <w:rsid w:val="00681A31"/>
    <w:rsid w:val="00683E73"/>
    <w:rsid w:val="006A3141"/>
    <w:rsid w:val="006A5E34"/>
    <w:rsid w:val="006B2422"/>
    <w:rsid w:val="006B2B9A"/>
    <w:rsid w:val="006C1937"/>
    <w:rsid w:val="006F020C"/>
    <w:rsid w:val="007127B7"/>
    <w:rsid w:val="0071798E"/>
    <w:rsid w:val="00727533"/>
    <w:rsid w:val="007416B6"/>
    <w:rsid w:val="00746F48"/>
    <w:rsid w:val="00753630"/>
    <w:rsid w:val="0075404D"/>
    <w:rsid w:val="0076182A"/>
    <w:rsid w:val="00767B7E"/>
    <w:rsid w:val="007770C3"/>
    <w:rsid w:val="00784D24"/>
    <w:rsid w:val="00785FBA"/>
    <w:rsid w:val="00786E4A"/>
    <w:rsid w:val="007875EB"/>
    <w:rsid w:val="0079426B"/>
    <w:rsid w:val="007D1682"/>
    <w:rsid w:val="007D312A"/>
    <w:rsid w:val="007D3F19"/>
    <w:rsid w:val="007E23B0"/>
    <w:rsid w:val="007F1991"/>
    <w:rsid w:val="007F2C2F"/>
    <w:rsid w:val="007F55FC"/>
    <w:rsid w:val="007F5665"/>
    <w:rsid w:val="00800112"/>
    <w:rsid w:val="0080156B"/>
    <w:rsid w:val="00813348"/>
    <w:rsid w:val="008253BB"/>
    <w:rsid w:val="00833962"/>
    <w:rsid w:val="0083706E"/>
    <w:rsid w:val="008408F6"/>
    <w:rsid w:val="008423A5"/>
    <w:rsid w:val="00850625"/>
    <w:rsid w:val="00853718"/>
    <w:rsid w:val="00855221"/>
    <w:rsid w:val="00860645"/>
    <w:rsid w:val="00871F71"/>
    <w:rsid w:val="00872FD8"/>
    <w:rsid w:val="00885AF4"/>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931C3"/>
    <w:rsid w:val="009B2C43"/>
    <w:rsid w:val="009B4EAE"/>
    <w:rsid w:val="009B7573"/>
    <w:rsid w:val="009C22F4"/>
    <w:rsid w:val="009C2E98"/>
    <w:rsid w:val="009C37FB"/>
    <w:rsid w:val="009D3447"/>
    <w:rsid w:val="009D4711"/>
    <w:rsid w:val="009F1185"/>
    <w:rsid w:val="009F18CD"/>
    <w:rsid w:val="009F2A13"/>
    <w:rsid w:val="009F7527"/>
    <w:rsid w:val="00A039ED"/>
    <w:rsid w:val="00A04EB0"/>
    <w:rsid w:val="00A13CC1"/>
    <w:rsid w:val="00A16847"/>
    <w:rsid w:val="00A237D8"/>
    <w:rsid w:val="00A268C4"/>
    <w:rsid w:val="00A307CD"/>
    <w:rsid w:val="00A331C8"/>
    <w:rsid w:val="00A35117"/>
    <w:rsid w:val="00A40A00"/>
    <w:rsid w:val="00A4142F"/>
    <w:rsid w:val="00A422EB"/>
    <w:rsid w:val="00A45BB7"/>
    <w:rsid w:val="00A56DF2"/>
    <w:rsid w:val="00A56E6E"/>
    <w:rsid w:val="00A67AB5"/>
    <w:rsid w:val="00A733B2"/>
    <w:rsid w:val="00A741C2"/>
    <w:rsid w:val="00A91760"/>
    <w:rsid w:val="00A93B00"/>
    <w:rsid w:val="00A93C21"/>
    <w:rsid w:val="00AB64C9"/>
    <w:rsid w:val="00AC3C6A"/>
    <w:rsid w:val="00AD0F83"/>
    <w:rsid w:val="00AD5620"/>
    <w:rsid w:val="00AD656B"/>
    <w:rsid w:val="00AD7C1B"/>
    <w:rsid w:val="00AE16BA"/>
    <w:rsid w:val="00AE1EBE"/>
    <w:rsid w:val="00AE7F86"/>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44D6"/>
    <w:rsid w:val="00BB4DF0"/>
    <w:rsid w:val="00BC289F"/>
    <w:rsid w:val="00BC2D50"/>
    <w:rsid w:val="00BC5361"/>
    <w:rsid w:val="00BC5460"/>
    <w:rsid w:val="00BC6B50"/>
    <w:rsid w:val="00BD0E25"/>
    <w:rsid w:val="00BF207C"/>
    <w:rsid w:val="00BF5BD6"/>
    <w:rsid w:val="00C03E31"/>
    <w:rsid w:val="00C30E69"/>
    <w:rsid w:val="00C33E72"/>
    <w:rsid w:val="00C354B2"/>
    <w:rsid w:val="00C35554"/>
    <w:rsid w:val="00C42709"/>
    <w:rsid w:val="00C533CC"/>
    <w:rsid w:val="00C5751C"/>
    <w:rsid w:val="00C61BFC"/>
    <w:rsid w:val="00C62B85"/>
    <w:rsid w:val="00C65438"/>
    <w:rsid w:val="00C91CBB"/>
    <w:rsid w:val="00CB4E70"/>
    <w:rsid w:val="00CC09B6"/>
    <w:rsid w:val="00CC666F"/>
    <w:rsid w:val="00CD1E3F"/>
    <w:rsid w:val="00CE44F6"/>
    <w:rsid w:val="00CE49DA"/>
    <w:rsid w:val="00CE7B61"/>
    <w:rsid w:val="00D00095"/>
    <w:rsid w:val="00D114F0"/>
    <w:rsid w:val="00D20620"/>
    <w:rsid w:val="00D254F7"/>
    <w:rsid w:val="00D26091"/>
    <w:rsid w:val="00D2685C"/>
    <w:rsid w:val="00D34E7C"/>
    <w:rsid w:val="00D35489"/>
    <w:rsid w:val="00D36AFE"/>
    <w:rsid w:val="00D51276"/>
    <w:rsid w:val="00D7035F"/>
    <w:rsid w:val="00DA4123"/>
    <w:rsid w:val="00DA634F"/>
    <w:rsid w:val="00DA65AC"/>
    <w:rsid w:val="00DB1913"/>
    <w:rsid w:val="00DC410D"/>
    <w:rsid w:val="00DC5A81"/>
    <w:rsid w:val="00DC68CA"/>
    <w:rsid w:val="00DC7CBA"/>
    <w:rsid w:val="00DD73B7"/>
    <w:rsid w:val="00DF28BC"/>
    <w:rsid w:val="00DF34B9"/>
    <w:rsid w:val="00E01053"/>
    <w:rsid w:val="00E07ACF"/>
    <w:rsid w:val="00E331A1"/>
    <w:rsid w:val="00E33202"/>
    <w:rsid w:val="00E336A9"/>
    <w:rsid w:val="00E472B1"/>
    <w:rsid w:val="00E50624"/>
    <w:rsid w:val="00E568DF"/>
    <w:rsid w:val="00E64269"/>
    <w:rsid w:val="00E66797"/>
    <w:rsid w:val="00E82267"/>
    <w:rsid w:val="00E853CE"/>
    <w:rsid w:val="00E867B6"/>
    <w:rsid w:val="00E87F08"/>
    <w:rsid w:val="00EA010F"/>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A23E8"/>
    <w:rsid w:val="00FD3CC1"/>
    <w:rsid w:val="00FF1E02"/>
    <w:rsid w:val="00FF30B4"/>
    <w:rsid w:val="015D3E57"/>
    <w:rsid w:val="059F02C0"/>
    <w:rsid w:val="0BD164CE"/>
    <w:rsid w:val="0E287E81"/>
    <w:rsid w:val="10C055FF"/>
    <w:rsid w:val="12D42493"/>
    <w:rsid w:val="14610B5A"/>
    <w:rsid w:val="16BB723D"/>
    <w:rsid w:val="18A15F5C"/>
    <w:rsid w:val="240371BF"/>
    <w:rsid w:val="29FD04D3"/>
    <w:rsid w:val="2ABA30CD"/>
    <w:rsid w:val="2B8F48CF"/>
    <w:rsid w:val="319447EC"/>
    <w:rsid w:val="319F7F4E"/>
    <w:rsid w:val="32594D88"/>
    <w:rsid w:val="38F94020"/>
    <w:rsid w:val="391536F1"/>
    <w:rsid w:val="397C1CAD"/>
    <w:rsid w:val="3C9A235F"/>
    <w:rsid w:val="3EF41F07"/>
    <w:rsid w:val="3F145359"/>
    <w:rsid w:val="3FA8514A"/>
    <w:rsid w:val="4C111F38"/>
    <w:rsid w:val="4ECE2238"/>
    <w:rsid w:val="507167D9"/>
    <w:rsid w:val="50A86184"/>
    <w:rsid w:val="529E42FF"/>
    <w:rsid w:val="53556F93"/>
    <w:rsid w:val="5E7C4348"/>
    <w:rsid w:val="60816E91"/>
    <w:rsid w:val="66482607"/>
    <w:rsid w:val="667569DA"/>
    <w:rsid w:val="66DD2CBD"/>
    <w:rsid w:val="67855C7A"/>
    <w:rsid w:val="67C24604"/>
    <w:rsid w:val="6D0D20FF"/>
    <w:rsid w:val="72734D90"/>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4"/>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30"/>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28"/>
    <w:unhideWhenUsed/>
    <w:qFormat/>
    <w:uiPriority w:val="9"/>
    <w:pPr>
      <w:keepNext/>
      <w:keepLines/>
      <w:spacing w:before="260" w:after="260" w:line="416" w:lineRule="auto"/>
      <w:outlineLvl w:val="2"/>
    </w:pPr>
    <w:rPr>
      <w:b/>
      <w:bCs/>
      <w:sz w:val="32"/>
      <w:szCs w:val="32"/>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5">
    <w:name w:val="Body Text"/>
    <w:basedOn w:val="1"/>
    <w:link w:val="21"/>
    <w:qFormat/>
    <w:uiPriority w:val="99"/>
    <w:pPr>
      <w:spacing w:beforeLines="30"/>
    </w:pPr>
    <w:rPr>
      <w:rFonts w:ascii="仿宋_GB2312" w:eastAsia="仿宋_GB2312"/>
      <w:kern w:val="0"/>
      <w:sz w:val="30"/>
    </w:rPr>
  </w:style>
  <w:style w:type="paragraph" w:styleId="6">
    <w:name w:val="toc 3"/>
    <w:basedOn w:val="1"/>
    <w:next w:val="1"/>
    <w:unhideWhenUsed/>
    <w:qFormat/>
    <w:uiPriority w:val="39"/>
    <w:pPr>
      <w:tabs>
        <w:tab w:val="right" w:leader="dot" w:pos="8296"/>
      </w:tabs>
      <w:ind w:left="840" w:leftChars="400"/>
    </w:pPr>
  </w:style>
  <w:style w:type="paragraph" w:styleId="7">
    <w:name w:val="Balloon Text"/>
    <w:basedOn w:val="1"/>
    <w:link w:val="27"/>
    <w:semiHidden/>
    <w:unhideWhenUsed/>
    <w:qFormat/>
    <w:uiPriority w:val="99"/>
    <w:rPr>
      <w:sz w:val="18"/>
      <w:szCs w:val="18"/>
    </w:rPr>
  </w:style>
  <w:style w:type="paragraph" w:styleId="8">
    <w:name w:val="footer"/>
    <w:basedOn w:val="1"/>
    <w:link w:val="19"/>
    <w:qFormat/>
    <w:uiPriority w:val="99"/>
    <w:pPr>
      <w:tabs>
        <w:tab w:val="center" w:pos="4153"/>
        <w:tab w:val="right" w:pos="8306"/>
      </w:tabs>
      <w:snapToGrid w:val="0"/>
      <w:jc w:val="left"/>
    </w:pPr>
    <w:rPr>
      <w:rFonts w:ascii="Calibri" w:hAnsi="Calibri"/>
      <w:kern w:val="0"/>
      <w:sz w:val="18"/>
      <w:szCs w:val="18"/>
    </w:rPr>
  </w:style>
  <w:style w:type="paragraph" w:styleId="9">
    <w:name w:val="header"/>
    <w:basedOn w:val="1"/>
    <w:link w:val="17"/>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0">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1">
    <w:name w:val="toc 2"/>
    <w:basedOn w:val="1"/>
    <w:next w:val="1"/>
    <w:unhideWhenUsed/>
    <w:qFormat/>
    <w:uiPriority w:val="39"/>
    <w:pPr>
      <w:tabs>
        <w:tab w:val="right" w:leader="dot" w:pos="8296"/>
      </w:tabs>
      <w:ind w:left="420" w:leftChars="200"/>
    </w:pPr>
  </w:style>
  <w:style w:type="character" w:styleId="14">
    <w:name w:val="Strong"/>
    <w:basedOn w:val="13"/>
    <w:qFormat/>
    <w:uiPriority w:val="99"/>
    <w:rPr>
      <w:b/>
    </w:rPr>
  </w:style>
  <w:style w:type="character" w:styleId="15">
    <w:name w:val="Hyperlink"/>
    <w:basedOn w:val="13"/>
    <w:unhideWhenUsed/>
    <w:qFormat/>
    <w:uiPriority w:val="99"/>
    <w:rPr>
      <w:color w:val="0000FF" w:themeColor="hyperlink"/>
      <w:u w:val="single"/>
      <w14:textFill>
        <w14:solidFill>
          <w14:schemeClr w14:val="hlink"/>
        </w14:solidFill>
      </w14:textFill>
    </w:rPr>
  </w:style>
  <w:style w:type="character" w:customStyle="1" w:styleId="16">
    <w:name w:val="Header Char"/>
    <w:basedOn w:val="13"/>
    <w:semiHidden/>
    <w:qFormat/>
    <w:uiPriority w:val="99"/>
    <w:rPr>
      <w:rFonts w:ascii="Times New Roman" w:hAnsi="Times New Roman"/>
      <w:sz w:val="18"/>
      <w:szCs w:val="18"/>
    </w:rPr>
  </w:style>
  <w:style w:type="character" w:customStyle="1" w:styleId="17">
    <w:name w:val="页眉 字符"/>
    <w:link w:val="9"/>
    <w:semiHidden/>
    <w:qFormat/>
    <w:locked/>
    <w:uiPriority w:val="99"/>
    <w:rPr>
      <w:sz w:val="18"/>
    </w:rPr>
  </w:style>
  <w:style w:type="character" w:customStyle="1" w:styleId="18">
    <w:name w:val="Footer Char"/>
    <w:basedOn w:val="13"/>
    <w:semiHidden/>
    <w:qFormat/>
    <w:uiPriority w:val="99"/>
    <w:rPr>
      <w:rFonts w:ascii="Times New Roman" w:hAnsi="Times New Roman"/>
      <w:sz w:val="18"/>
      <w:szCs w:val="18"/>
    </w:rPr>
  </w:style>
  <w:style w:type="character" w:customStyle="1" w:styleId="19">
    <w:name w:val="页脚 字符"/>
    <w:link w:val="8"/>
    <w:qFormat/>
    <w:locked/>
    <w:uiPriority w:val="99"/>
    <w:rPr>
      <w:sz w:val="18"/>
    </w:rPr>
  </w:style>
  <w:style w:type="character" w:customStyle="1" w:styleId="20">
    <w:name w:val="Body Text Char"/>
    <w:basedOn w:val="13"/>
    <w:semiHidden/>
    <w:qFormat/>
    <w:uiPriority w:val="99"/>
    <w:rPr>
      <w:rFonts w:ascii="Times New Roman" w:hAnsi="Times New Roman"/>
      <w:szCs w:val="24"/>
    </w:rPr>
  </w:style>
  <w:style w:type="character" w:customStyle="1" w:styleId="21">
    <w:name w:val="正文文本 字符"/>
    <w:link w:val="5"/>
    <w:qFormat/>
    <w:locked/>
    <w:uiPriority w:val="99"/>
    <w:rPr>
      <w:rFonts w:ascii="仿宋_GB2312" w:hAnsi="Times New Roman" w:eastAsia="仿宋_GB2312"/>
      <w:sz w:val="24"/>
    </w:rPr>
  </w:style>
  <w:style w:type="paragraph" w:customStyle="1" w:styleId="22">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3">
    <w:name w:val="List Paragraph"/>
    <w:basedOn w:val="1"/>
    <w:qFormat/>
    <w:uiPriority w:val="34"/>
    <w:pPr>
      <w:ind w:firstLine="420" w:firstLineChars="200"/>
    </w:pPr>
  </w:style>
  <w:style w:type="character" w:customStyle="1" w:styleId="24">
    <w:name w:val="标题 1 字符"/>
    <w:basedOn w:val="13"/>
    <w:link w:val="2"/>
    <w:qFormat/>
    <w:uiPriority w:val="9"/>
    <w:rPr>
      <w:rFonts w:ascii="Times New Roman" w:hAnsi="Times New Roman"/>
      <w:b/>
      <w:bCs/>
      <w:kern w:val="44"/>
      <w:sz w:val="44"/>
      <w:szCs w:val="44"/>
    </w:rPr>
  </w:style>
  <w:style w:type="character" w:customStyle="1" w:styleId="25">
    <w:name w:val="标题 2 字符"/>
    <w:basedOn w:val="13"/>
    <w:link w:val="3"/>
    <w:qFormat/>
    <w:uiPriority w:val="9"/>
    <w:rPr>
      <w:rFonts w:asciiTheme="majorHAnsi" w:hAnsiTheme="majorHAnsi" w:eastAsiaTheme="majorEastAsia" w:cstheme="majorBidi"/>
      <w:b/>
      <w:bCs/>
      <w:kern w:val="2"/>
      <w:sz w:val="32"/>
      <w:szCs w:val="32"/>
    </w:rPr>
  </w:style>
  <w:style w:type="paragraph" w:customStyle="1" w:styleId="26">
    <w:name w:val="TOC 标题1"/>
    <w:basedOn w:val="2"/>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27">
    <w:name w:val="批注框文本 字符"/>
    <w:basedOn w:val="13"/>
    <w:link w:val="7"/>
    <w:semiHidden/>
    <w:qFormat/>
    <w:uiPriority w:val="99"/>
    <w:rPr>
      <w:rFonts w:ascii="Times New Roman" w:hAnsi="Times New Roman"/>
      <w:kern w:val="2"/>
      <w:sz w:val="18"/>
      <w:szCs w:val="18"/>
    </w:rPr>
  </w:style>
  <w:style w:type="character" w:customStyle="1" w:styleId="28">
    <w:name w:val="标题 3 字符"/>
    <w:basedOn w:val="13"/>
    <w:link w:val="4"/>
    <w:qFormat/>
    <w:uiPriority w:val="9"/>
    <w:rPr>
      <w:rFonts w:ascii="Times New Roman" w:hAnsi="Times New Roman"/>
      <w:b/>
      <w:bCs/>
      <w:kern w:val="2"/>
      <w:sz w:val="32"/>
      <w:szCs w:val="32"/>
    </w:rPr>
  </w:style>
  <w:style w:type="paragraph" w:customStyle="1" w:styleId="29">
    <w:name w:val="TOC 标题2"/>
    <w:basedOn w:val="2"/>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0">
    <w:name w:val="标题 2 Char"/>
    <w:basedOn w:val="13"/>
    <w:link w:val="3"/>
    <w:qFormat/>
    <w:uiPriority w:val="9"/>
    <w:rPr>
      <w:rFonts w:asciiTheme="majorHAnsi" w:hAnsiTheme="majorHAnsi" w:eastAsiaTheme="majorEastAsia" w:cstheme="majorBidi"/>
      <w:b/>
      <w:bCs/>
      <w:kern w:val="2"/>
      <w:sz w:val="32"/>
      <w:szCs w:val="32"/>
    </w:rPr>
  </w:style>
  <w:style w:type="paragraph" w:customStyle="1" w:styleId="31">
    <w:name w:val="yiv1203080158msonormal"/>
    <w:basedOn w:val="1"/>
    <w:qFormat/>
    <w:uiPriority w:val="0"/>
    <w:pPr>
      <w:widowControl/>
      <w:jc w:val="left"/>
    </w:pPr>
    <w:rPr>
      <w:rFonts w:ascii="宋体" w:cs="宋体"/>
      <w:kern w:val="0"/>
      <w:sz w:val="24"/>
    </w:rPr>
  </w:style>
</w:styles>
</file>

<file path=word/_rels/document.xml.rels><?xml version="1.0" encoding="UTF-8" standalone="yes"?>
<Relationships xmlns="http://schemas.openxmlformats.org/package/2006/relationships"><Relationship Id="rId9" Type="http://schemas.openxmlformats.org/officeDocument/2006/relationships/chart" Target="charts/chart4.xml"/><Relationship Id="rId8" Type="http://schemas.openxmlformats.org/officeDocument/2006/relationships/chart" Target="charts/chart3.xml"/><Relationship Id="rId7" Type="http://schemas.openxmlformats.org/officeDocument/2006/relationships/chart" Target="charts/chart2.xml"/><Relationship Id="rId6" Type="http://schemas.openxmlformats.org/officeDocument/2006/relationships/chart" Target="charts/chart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1.xml"/><Relationship Id="rId13" Type="http://schemas.openxmlformats.org/officeDocument/2006/relationships/numbering" Target="numbering.xml"/><Relationship Id="rId12" Type="http://schemas.openxmlformats.org/officeDocument/2006/relationships/chart" Target="charts/chart7.xml"/><Relationship Id="rId11" Type="http://schemas.openxmlformats.org/officeDocument/2006/relationships/chart" Target="charts/chart6.xml"/><Relationship Id="rId10" Type="http://schemas.openxmlformats.org/officeDocument/2006/relationships/chart" Target="charts/chart5.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7.xml"/><Relationship Id="rId2" Type="http://schemas.microsoft.com/office/2011/relationships/chartStyle" Target="style7.xml"/><Relationship Id="rId1" Type="http://schemas.openxmlformats.org/officeDocument/2006/relationships/package" Target="../embeddings/Workbook7.xlsx"/></Relationships>
</file>

<file path=word/charts/_rels/chart2.xml.rels><?xml version="1.0" encoding="UTF-8" standalone="yes"?>
<Relationships xmlns="http://schemas.openxmlformats.org/package/2006/relationships"><Relationship Id="rId3" Type="http://schemas.microsoft.com/office/2011/relationships/chartColorStyle" Target="colors5.xml"/><Relationship Id="rId2" Type="http://schemas.microsoft.com/office/2011/relationships/chartStyle" Target="style5.xml"/><Relationship Id="rId1" Type="http://schemas.openxmlformats.org/officeDocument/2006/relationships/package" Target="../embeddings/Workbook5.xlsx"/></Relationships>
</file>

<file path=word/charts/_rels/chart3.xml.rels><?xml version="1.0" encoding="UTF-8" standalone="yes"?>
<Relationships xmlns="http://schemas.openxmlformats.org/package/2006/relationships"><Relationship Id="rId3" Type="http://schemas.microsoft.com/office/2011/relationships/chartColorStyle" Target="colors6.xml"/><Relationship Id="rId2" Type="http://schemas.microsoft.com/office/2011/relationships/chartStyle" Target="style6.xml"/><Relationship Id="rId1" Type="http://schemas.openxmlformats.org/officeDocument/2006/relationships/package" Target="../embeddings/Workbook6.xlsx"/></Relationships>
</file>

<file path=word/charts/_rels/chart4.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package" Target="../embeddings/Workbook1.xlsx"/></Relationships>
</file>

<file path=word/charts/_rels/chart5.xml.rels><?xml version="1.0" encoding="UTF-8" standalone="yes"?>
<Relationships xmlns="http://schemas.openxmlformats.org/package/2006/relationships"><Relationship Id="rId3" Type="http://schemas.microsoft.com/office/2011/relationships/chartColorStyle" Target="colors4.xml"/><Relationship Id="rId2" Type="http://schemas.microsoft.com/office/2011/relationships/chartStyle" Target="style4.xml"/><Relationship Id="rId1" Type="http://schemas.openxmlformats.org/officeDocument/2006/relationships/package" Target="../embeddings/Workbook4.xlsx"/></Relationships>
</file>

<file path=word/charts/_rels/chart6.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package" Target="../embeddings/Workbook2.xlsx"/></Relationships>
</file>

<file path=word/charts/_rels/chart7.xml.rels><?xml version="1.0" encoding="UTF-8" standalone="yes"?>
<Relationships xmlns="http://schemas.openxmlformats.org/package/2006/relationships"><Relationship Id="rId3" Type="http://schemas.microsoft.com/office/2011/relationships/chartColorStyle" Target="colors3.xml"/><Relationship Id="rId2" Type="http://schemas.microsoft.com/office/2011/relationships/chartStyle" Target="style3.xml"/><Relationship Id="rId1" Type="http://schemas.openxmlformats.org/officeDocument/2006/relationships/package" Target="../embeddings/Workbook3.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r>
              <a:rPr lang="zh-CN" altLang="zh-CN" sz="1400" b="0" i="0" u="none" strike="noStrike" baseline="0">
                <a:effectLst/>
              </a:rPr>
              <a:t>收、支决算总计变动情况图</a:t>
            </a:r>
            <a:endParaRPr lang="en-US" altLang="zh-CN"/>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列1</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2019年度收、支总计</c:v>
                </c:pt>
                <c:pt idx="1">
                  <c:v>2018年度收、支总计</c:v>
                </c:pt>
              </c:strCache>
            </c:strRef>
          </c:cat>
          <c:val>
            <c:numRef>
              <c:f>Sheet1!$B$2:$B$3</c:f>
              <c:numCache>
                <c:formatCode>#,##0.00</c:formatCode>
                <c:ptCount val="2"/>
                <c:pt idx="0">
                  <c:v>52981.19</c:v>
                </c:pt>
                <c:pt idx="1" c:formatCode="General">
                  <c:v>50479.17</c:v>
                </c:pt>
              </c:numCache>
            </c:numRef>
          </c:val>
        </c:ser>
        <c:dLbls>
          <c:showLegendKey val="0"/>
          <c:showVal val="1"/>
          <c:showCatName val="0"/>
          <c:showSerName val="0"/>
          <c:showPercent val="0"/>
          <c:showBubbleSize val="0"/>
        </c:dLbls>
        <c:gapWidth val="219"/>
        <c:overlap val="-27"/>
        <c:axId val="662983656"/>
        <c:axId val="662987920"/>
      </c:barChart>
      <c:catAx>
        <c:axId val="662983656"/>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662987920"/>
        <c:crosses val="autoZero"/>
        <c:auto val="1"/>
        <c:lblAlgn val="ctr"/>
        <c:lblOffset val="100"/>
        <c:noMultiLvlLbl val="0"/>
      </c:catAx>
      <c:valAx>
        <c:axId val="662987920"/>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out"/>
        <c:minorTickMark val="none"/>
        <c:tickLblPos val="nextTo"/>
        <c:spPr>
          <a:noFill/>
          <a:ln>
            <a:noFill/>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662983656"/>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manualLayout>
          <c:xMode val="edge"/>
          <c:yMode val="edge"/>
          <c:x val="0.373400334886562"/>
          <c:y val="0.0118795514197089"/>
        </c:manualLayout>
      </c:layout>
      <c:overlay val="0"/>
      <c:spPr>
        <a:noFill/>
        <a:ln>
          <a:noFill/>
        </a:ln>
        <a:effectLst/>
      </c:spPr>
      <c:txPr>
        <a:bodyPr rot="0" spcFirstLastPara="1"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0"/>
    <c:plotArea>
      <c:layout>
        <c:manualLayout>
          <c:layoutTarget val="inner"/>
          <c:xMode val="edge"/>
          <c:yMode val="edge"/>
          <c:x val="0.378623438059621"/>
          <c:y val="0.307936053447864"/>
          <c:w val="0.265652310662737"/>
          <c:h val="0.557837652111668"/>
        </c:manualLayout>
      </c:layout>
      <c:pieChart>
        <c:varyColors val="1"/>
        <c:ser>
          <c:idx val="0"/>
          <c:order val="0"/>
          <c:tx>
            <c:strRef>
              <c:f>Sheet1!$B$1</c:f>
              <c:strCache>
                <c:ptCount val="1"/>
                <c:pt idx="0">
                  <c:v>收入决算结构图</c:v>
                </c:pt>
              </c:strCache>
            </c:strRef>
          </c:tx>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Pt>
            <c:idx val="3"/>
            <c:bubble3D val="0"/>
            <c:spPr>
              <a:solidFill>
                <a:schemeClr val="accent4"/>
              </a:solidFill>
              <a:ln w="19050">
                <a:solidFill>
                  <a:schemeClr val="lt1"/>
                </a:solidFill>
              </a:ln>
              <a:effectLst/>
            </c:spPr>
          </c:dPt>
          <c:dLbls>
            <c:dLbl>
              <c:idx val="0"/>
              <c:layout>
                <c:manualLayout>
                  <c:x val="0.0659787432481815"/>
                  <c:y val="0.00109988069673109"/>
                </c:manualLayout>
              </c:layout>
              <c:dLblPos val="bestFit"/>
              <c:showLegendKey val="0"/>
              <c:showVal val="1"/>
              <c:showCatName val="1"/>
              <c:showSerName val="0"/>
              <c:showPercent val="0"/>
              <c:showBubbleSize val="0"/>
              <c:extLst>
                <c:ext xmlns:c15="http://schemas.microsoft.com/office/drawing/2012/chart" uri="{CE6537A1-D6FC-4f65-9D91-7224C49458BB}">
                  <c15:layout/>
                </c:ext>
              </c:extLst>
            </c:dLbl>
            <c:dLbl>
              <c:idx val="1"/>
              <c:layout>
                <c:manualLayout>
                  <c:x val="-0.0669704038091983"/>
                  <c:y val="0.138423478883321"/>
                </c:manualLayout>
              </c:layout>
              <c:dLblPos val="bestFit"/>
              <c:showLegendKey val="0"/>
              <c:showVal val="1"/>
              <c:showCatName val="1"/>
              <c:showSerName val="0"/>
              <c:showPercent val="0"/>
              <c:showBubbleSize val="0"/>
              <c:extLst>
                <c:ext xmlns:c15="http://schemas.microsoft.com/office/drawing/2012/chart" uri="{CE6537A1-D6FC-4f65-9D91-7224C49458BB}">
                  <c15:layout/>
                </c:ext>
              </c:extLst>
            </c:dLbl>
            <c:dLbl>
              <c:idx val="2"/>
              <c:layout>
                <c:manualLayout>
                  <c:x val="-0.0423785127182353"/>
                  <c:y val="0.00312288236697686"/>
                </c:manualLayout>
              </c:layout>
              <c:dLblPos val="bestFit"/>
              <c:showLegendKey val="0"/>
              <c:showVal val="1"/>
              <c:showCatName val="1"/>
              <c:showSerName val="0"/>
              <c:showPercent val="0"/>
              <c:showBubbleSize val="0"/>
              <c:extLst>
                <c:ext xmlns:c15="http://schemas.microsoft.com/office/drawing/2012/chart" uri="{CE6537A1-D6FC-4f65-9D91-7224C49458BB}">
                  <c15:layout/>
                </c:ext>
              </c:extLst>
            </c:dLbl>
            <c:spPr>
              <a:solidFill>
                <a:sysClr val="window" lastClr="FFFFFF"/>
              </a:solidFill>
              <a:ln>
                <a:noFill/>
              </a:ln>
              <a:effectLst/>
            </c:spPr>
            <c:txPr>
              <a:bodyPr rot="0" spcFirstLastPara="1" vertOverflow="clip" horzOverflow="clip" vert="horz" wrap="square" lIns="38100" tIns="19050" rIns="38100" bIns="19050" anchor="ctr" anchorCtr="1">
                <a:spAutoFit/>
              </a:bodyPr>
              <a:lstStyle/>
              <a:p>
                <a:pPr>
                  <a:defRPr lang="zh-CN" sz="900" b="0" i="0" u="none" strike="noStrike" kern="1200" baseline="0">
                    <a:solidFill>
                      <a:schemeClr val="dk1">
                        <a:lumMod val="65000"/>
                        <a:lumOff val="35000"/>
                      </a:schemeClr>
                    </a:solidFill>
                    <a:latin typeface="+mn-lt"/>
                    <a:ea typeface="+mn-ea"/>
                    <a:cs typeface="+mn-cs"/>
                  </a:defRPr>
                </a:pPr>
              </a:p>
            </c:txPr>
            <c:dLblPos val="bestFit"/>
            <c:showLegendKey val="0"/>
            <c:showVal val="1"/>
            <c:showCatName val="1"/>
            <c:showSerName val="0"/>
            <c:showPercent val="0"/>
            <c:showBubbleSize val="0"/>
            <c:showLeaderLines val="1"/>
            <c:extLst>
              <c:ext xmlns:c15="http://schemas.microsoft.com/office/drawing/2012/chart" uri="{CE6537A1-D6FC-4f65-9D91-7224C49458BB}">
                <c15:spPr xmlns:c15="http://schemas.microsoft.com/office/drawing/2012/chart">
                  <a:prstGeom prst="wedgeRectCallout">
                    <a:avLst/>
                  </a:prstGeom>
                  <a:noFill/>
                  <a:ln>
                    <a:noFill/>
                  </a:ln>
                </c15:spPr>
                <c15:layout/>
                <c15:showLeaderLines val="1"/>
                <c15:leaderLines>
                  <c:spPr>
                    <a:ln w="9525" cap="flat" cmpd="sng" algn="ctr">
                      <a:solidFill>
                        <a:schemeClr val="tx1">
                          <a:lumMod val="35000"/>
                          <a:lumOff val="65000"/>
                        </a:schemeClr>
                      </a:solidFill>
                      <a:round/>
                    </a:ln>
                    <a:effectLst/>
                  </c:spPr>
                </c15:leaderLines>
              </c:ext>
            </c:extLst>
          </c:dLbls>
          <c:cat>
            <c:strRef>
              <c:f>Sheet1!$A$2:$A$5</c:f>
              <c:strCache>
                <c:ptCount val="4"/>
                <c:pt idx="0">
                  <c:v>一般公共预算财政拨款收入</c:v>
                </c:pt>
                <c:pt idx="1">
                  <c:v>政府性基金预算财政拨款收入</c:v>
                </c:pt>
                <c:pt idx="2">
                  <c:v>事业收入</c:v>
                </c:pt>
                <c:pt idx="3">
                  <c:v>其他收入</c:v>
                </c:pt>
              </c:strCache>
            </c:strRef>
          </c:cat>
          <c:val>
            <c:numRef>
              <c:f>Sheet1!$B$2:$B$5</c:f>
              <c:numCache>
                <c:formatCode>#,##0.00</c:formatCode>
                <c:ptCount val="4"/>
                <c:pt idx="0">
                  <c:v>34678.91</c:v>
                </c:pt>
                <c:pt idx="1">
                  <c:v>1377.03</c:v>
                </c:pt>
                <c:pt idx="2">
                  <c:v>5190.91</c:v>
                </c:pt>
                <c:pt idx="3" c:formatCode="General">
                  <c:v>1084.67</c:v>
                </c:pt>
              </c:numCache>
            </c:numRef>
          </c:val>
        </c:ser>
        <c:dLbls>
          <c:showLegendKey val="0"/>
          <c:showVal val="0"/>
          <c:showCatName val="0"/>
          <c:showSerName val="0"/>
          <c:showPercent val="0"/>
          <c:showBubbleSize val="0"/>
          <c:showLeaderLines val="1"/>
        </c:dLbls>
        <c:firstSliceAng val="0"/>
      </c:pieChart>
      <c:spPr>
        <a:noFill/>
        <a:ln>
          <a:noFill/>
        </a:ln>
        <a:effectLst/>
      </c:spPr>
    </c:plotArea>
    <c:plotVisOnly val="1"/>
    <c:dispBlanksAs val="zero"/>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r>
              <a:rPr lang="zh-CN" altLang="zh-CN" sz="1400" b="0" i="0" u="none" strike="noStrike" baseline="0">
                <a:effectLst/>
              </a:rPr>
              <a:t>支出决算结构图</a:t>
            </a:r>
            <a:endParaRPr lang="zh-CN" altLang="en-US"/>
          </a:p>
        </c:rich>
      </c:tx>
      <c:layout/>
      <c:overlay val="0"/>
      <c:spPr>
        <a:noFill/>
        <a:ln>
          <a:noFill/>
        </a:ln>
        <a:effectLst/>
      </c:spPr>
    </c:title>
    <c:autoTitleDeleted val="0"/>
    <c:plotArea>
      <c:layout>
        <c:manualLayout>
          <c:layoutTarget val="inner"/>
          <c:xMode val="edge"/>
          <c:yMode val="edge"/>
          <c:x val="0.305408285320568"/>
          <c:y val="0.244051535257542"/>
          <c:w val="0.407786885245903"/>
          <c:h val="0.654605263157896"/>
        </c:manualLayout>
      </c:layout>
      <c:pieChart>
        <c:varyColors val="1"/>
        <c:ser>
          <c:idx val="0"/>
          <c:order val="0"/>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Pt>
            <c:idx val="3"/>
            <c:bubble3D val="0"/>
            <c:spPr>
              <a:solidFill>
                <a:schemeClr val="accent4"/>
              </a:solidFill>
              <a:ln w="19050">
                <a:solidFill>
                  <a:schemeClr val="lt1"/>
                </a:solidFill>
              </a:ln>
              <a:effectLst/>
            </c:spPr>
          </c:dPt>
          <c:dPt>
            <c:idx val="4"/>
            <c:bubble3D val="0"/>
            <c:spPr>
              <a:solidFill>
                <a:schemeClr val="accent5"/>
              </a:solidFill>
              <a:ln w="19050">
                <a:solidFill>
                  <a:schemeClr val="lt1"/>
                </a:solidFill>
              </a:ln>
              <a:effectLst/>
            </c:spPr>
          </c:dPt>
          <c:dLbls>
            <c:dLbl>
              <c:idx val="0"/>
              <c:layout>
                <c:manualLayout>
                  <c:x val="0.0888362451880367"/>
                  <c:y val="0.0367164961972199"/>
                </c:manualLayout>
              </c:layout>
              <c:dLblPos val="bestFit"/>
              <c:showLegendKey val="0"/>
              <c:showVal val="1"/>
              <c:showCatName val="1"/>
              <c:showSerName val="0"/>
              <c:showPercent val="0"/>
              <c:showBubbleSize val="0"/>
              <c:extLst>
                <c:ext xmlns:c15="http://schemas.microsoft.com/office/drawing/2012/chart" uri="{CE6537A1-D6FC-4f65-9D91-7224C49458BB}">
                  <c15:layout/>
                </c:ext>
              </c:extLst>
            </c:dLbl>
            <c:dLbl>
              <c:idx val="1"/>
              <c:layout>
                <c:manualLayout>
                  <c:x val="-0.0355344980752147"/>
                  <c:y val="-0.02098085496984"/>
                </c:manualLayout>
              </c:layout>
              <c:dLblPos val="bestFit"/>
              <c:showLegendKey val="0"/>
              <c:showVal val="1"/>
              <c:showCatName val="1"/>
              <c:showSerName val="0"/>
              <c:showPercent val="0"/>
              <c:showBubbleSize val="0"/>
              <c:extLst>
                <c:ext xmlns:c15="http://schemas.microsoft.com/office/drawing/2012/chart" uri="{CE6537A1-D6FC-4f65-9D91-7224C49458BB}">
                  <c15:layout/>
                </c:ext>
              </c:extLst>
            </c:dLbl>
            <c:dLbl>
              <c:idx val="2"/>
              <c:delete val="1"/>
            </c:dLbl>
            <c:dLbl>
              <c:idx val="3"/>
              <c:delete val="1"/>
            </c:dLbl>
            <c:dLbl>
              <c:idx val="4"/>
              <c:delete val="1"/>
            </c:dLbl>
            <c:spPr>
              <a:noFill/>
              <a:ln>
                <a:noFill/>
              </a:ln>
              <a:effectLst/>
            </c:spPr>
            <c:txPr>
              <a:bodyPr rot="0" spcFirstLastPara="1" vertOverflow="ellipsis" vert="horz" wrap="square" lIns="38100" tIns="19050" rIns="38100" bIns="19050" anchor="ctr" anchorCtr="1">
                <a:spAutoFit/>
              </a:bodyPr>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1"/>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Sheet1!$A$2:$A$6</c:f>
              <c:strCache>
                <c:ptCount val="5"/>
                <c:pt idx="0">
                  <c:v>基本支出</c:v>
                </c:pt>
                <c:pt idx="1">
                  <c:v>项目支出</c:v>
                </c:pt>
                <c:pt idx="2">
                  <c:v>上缴上级支出</c:v>
                </c:pt>
                <c:pt idx="3">
                  <c:v>经营支出</c:v>
                </c:pt>
                <c:pt idx="4">
                  <c:v>对附属单位补助支出</c:v>
                </c:pt>
              </c:strCache>
            </c:strRef>
          </c:cat>
          <c:val>
            <c:numRef>
              <c:f>Sheet1!$B$2:$B$6</c:f>
              <c:numCache>
                <c:formatCode>#,##0.00</c:formatCode>
                <c:ptCount val="5"/>
                <c:pt idx="0">
                  <c:v>30245.18</c:v>
                </c:pt>
                <c:pt idx="1">
                  <c:v>13220.11</c:v>
                </c:pt>
                <c:pt idx="2" c:formatCode="General">
                  <c:v>0</c:v>
                </c:pt>
                <c:pt idx="3" c:formatCode="General">
                  <c:v>0</c:v>
                </c:pt>
                <c:pt idx="4" c:formatCode="General">
                  <c:v>0</c:v>
                </c:pt>
              </c:numCache>
            </c:numRef>
          </c:val>
        </c:ser>
        <c:dLbls>
          <c:showLegendKey val="0"/>
          <c:showVal val="1"/>
          <c:showCatName val="0"/>
          <c:showSerName val="0"/>
          <c:showPercent val="0"/>
          <c:showBubbleSize val="0"/>
          <c:showLeaderLines val="1"/>
        </c:dLbls>
        <c:firstSliceAng val="0"/>
      </c:pieChart>
      <c:spPr>
        <a:noFill/>
        <a:ln>
          <a:noFill/>
        </a:ln>
        <a:effectLst/>
      </c:spPr>
    </c:plotArea>
    <c:plotVisOnly val="1"/>
    <c:dispBlanksAs val="zero"/>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manualLayout>
          <c:xMode val="edge"/>
          <c:yMode val="edge"/>
          <c:x val="0.22171647984244"/>
          <c:y val="0.0458189662566689"/>
        </c:manualLayout>
      </c:layout>
      <c:overlay val="0"/>
      <c:spPr>
        <a:noFill/>
        <a:ln>
          <a:noFill/>
        </a:ln>
        <a:effectLst/>
      </c:spPr>
      <c:txPr>
        <a:bodyPr rot="0" spcFirstLastPara="1"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0"/>
    <c:plotArea>
      <c:layout>
        <c:manualLayout>
          <c:layoutTarget val="inner"/>
          <c:xMode val="edge"/>
          <c:yMode val="edge"/>
          <c:x val="0.138996138996139"/>
          <c:y val="0.222222222222222"/>
          <c:w val="0.77992277992278"/>
          <c:h val="0.52136752136752"/>
        </c:manualLayout>
      </c:layout>
      <c:barChart>
        <c:barDir val="col"/>
        <c:grouping val="clustered"/>
        <c:varyColors val="0"/>
        <c:ser>
          <c:idx val="0"/>
          <c:order val="0"/>
          <c:tx>
            <c:strRef>
              <c:f>Sheet1!$B$1</c:f>
              <c:strCache>
                <c:ptCount val="1"/>
                <c:pt idx="0">
                  <c:v>财政拨款收、支决算总计变动情况</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spPr>
                    <a:ln w="9525" cap="flat" cmpd="sng" algn="ctr">
                      <a:solidFill>
                        <a:schemeClr val="tx1">
                          <a:lumMod val="35000"/>
                          <a:lumOff val="65000"/>
                        </a:schemeClr>
                      </a:solidFill>
                      <a:round/>
                    </a:ln>
                    <a:effectLst/>
                  </c:spPr>
                </c15:leaderLines>
              </c:ext>
            </c:extLst>
          </c:dLbls>
          <c:cat>
            <c:strRef>
              <c:f>Sheet1!$A$2:$A$5</c:f>
              <c:strCache>
                <c:ptCount val="4"/>
                <c:pt idx="0">
                  <c:v>2019</c:v>
                </c:pt>
                <c:pt idx="1">
                  <c:v>2018</c:v>
                </c:pt>
                <c:pt idx="2">
                  <c:v>增减</c:v>
                </c:pt>
                <c:pt idx="3">
                  <c:v>增减%</c:v>
                </c:pt>
              </c:strCache>
            </c:strRef>
          </c:cat>
          <c:val>
            <c:numRef>
              <c:f>Sheet1!$B$2:$B$5</c:f>
              <c:numCache>
                <c:formatCode>#,##0.00</c:formatCode>
                <c:ptCount val="4"/>
                <c:pt idx="0">
                  <c:v>43173.13</c:v>
                </c:pt>
                <c:pt idx="1">
                  <c:v>38921.15</c:v>
                </c:pt>
                <c:pt idx="2" c:formatCode="General">
                  <c:v>935.61</c:v>
                </c:pt>
                <c:pt idx="3" c:formatCode="0.00%">
                  <c:v>0.022</c:v>
                </c:pt>
              </c:numCache>
            </c:numRef>
          </c:val>
        </c:ser>
        <c:dLbls>
          <c:showLegendKey val="0"/>
          <c:showVal val="1"/>
          <c:showCatName val="0"/>
          <c:showSerName val="0"/>
          <c:showPercent val="0"/>
          <c:showBubbleSize val="0"/>
        </c:dLbls>
        <c:gapWidth val="219"/>
        <c:overlap val="-27"/>
        <c:axId val="67820160"/>
        <c:axId val="67826048"/>
      </c:barChart>
      <c:catAx>
        <c:axId val="6782016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67826048"/>
        <c:crosses val="autoZero"/>
        <c:auto val="1"/>
        <c:lblAlgn val="ctr"/>
        <c:lblOffset val="100"/>
        <c:noMultiLvlLbl val="0"/>
      </c:catAx>
      <c:valAx>
        <c:axId val="67826048"/>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67820160"/>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r>
              <a:rPr lang="zh-CN"/>
              <a:t>一般公共预算财政拨款支出决算变动情况</a:t>
            </a:r>
            <a:endParaRPr lang="zh-CN"/>
          </a:p>
        </c:rich>
      </c:tx>
      <c:layout/>
      <c:overlay val="0"/>
      <c:spPr>
        <a:noFill/>
        <a:ln>
          <a:noFill/>
        </a:ln>
        <a:effectLst/>
      </c:spPr>
    </c:title>
    <c:autoTitleDeleted val="0"/>
    <c:plotArea>
      <c:layout>
        <c:manualLayout>
          <c:layoutTarget val="inner"/>
          <c:xMode val="edge"/>
          <c:yMode val="edge"/>
          <c:x val="0.147540983606557"/>
          <c:y val="0.263157894736842"/>
          <c:w val="0.801229508196721"/>
          <c:h val="0.430921052631579"/>
        </c:manualLayout>
      </c:layout>
      <c:barChart>
        <c:barDir val="col"/>
        <c:grouping val="clustered"/>
        <c:varyColors val="0"/>
        <c:ser>
          <c:idx val="0"/>
          <c:order val="0"/>
          <c:tx>
            <c:strRef>
              <c:f>Sheet1!$B$1</c:f>
              <c:strCache>
                <c:ptCount val="1"/>
                <c:pt idx="0">
                  <c:v>一般公共预算财政拨款支出</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spPr>
                    <a:ln w="9525" cap="flat" cmpd="sng" algn="ctr">
                      <a:solidFill>
                        <a:schemeClr val="tx1">
                          <a:lumMod val="35000"/>
                          <a:lumOff val="65000"/>
                        </a:schemeClr>
                      </a:solidFill>
                      <a:round/>
                    </a:ln>
                    <a:effectLst/>
                  </c:spPr>
                </c15:leaderLines>
              </c:ext>
            </c:extLst>
          </c:dLbls>
          <c:cat>
            <c:numRef>
              <c:f>Sheet1!$A$2:$A$3</c:f>
              <c:numCache>
                <c:formatCode>General</c:formatCode>
                <c:ptCount val="2"/>
                <c:pt idx="0">
                  <c:v>2019</c:v>
                </c:pt>
                <c:pt idx="1">
                  <c:v>2018</c:v>
                </c:pt>
              </c:numCache>
            </c:numRef>
          </c:cat>
          <c:val>
            <c:numRef>
              <c:f>Sheet1!$B$2:$B$3</c:f>
              <c:numCache>
                <c:formatCode>#,##0.00</c:formatCode>
                <c:ptCount val="2"/>
                <c:pt idx="0">
                  <c:v>35795.71</c:v>
                </c:pt>
                <c:pt idx="1">
                  <c:v>33221.73</c:v>
                </c:pt>
              </c:numCache>
            </c:numRef>
          </c:val>
        </c:ser>
        <c:ser>
          <c:idx val="1"/>
          <c:order val="1"/>
          <c:tx>
            <c:strRef>
              <c:f>Sheet1!$C$1</c:f>
              <c:strCache>
                <c:ptCount val="1"/>
                <c:pt idx="0">
                  <c:v>本年支出合计</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spPr>
                    <a:ln w="9525" cap="flat" cmpd="sng" algn="ctr">
                      <a:solidFill>
                        <a:schemeClr val="tx1">
                          <a:lumMod val="35000"/>
                          <a:lumOff val="65000"/>
                        </a:schemeClr>
                      </a:solidFill>
                      <a:round/>
                    </a:ln>
                    <a:effectLst/>
                  </c:spPr>
                </c15:leaderLines>
              </c:ext>
            </c:extLst>
          </c:dLbls>
          <c:cat>
            <c:numRef>
              <c:f>Sheet1!$A$2:$A$3</c:f>
              <c:numCache>
                <c:formatCode>General</c:formatCode>
                <c:ptCount val="2"/>
                <c:pt idx="0">
                  <c:v>2019</c:v>
                </c:pt>
                <c:pt idx="1">
                  <c:v>2018</c:v>
                </c:pt>
              </c:numCache>
            </c:numRef>
          </c:cat>
          <c:val>
            <c:numRef>
              <c:f>Sheet1!$C$2:$C$3</c:f>
              <c:numCache>
                <c:formatCode>#,##0.00</c:formatCode>
                <c:ptCount val="2"/>
                <c:pt idx="0">
                  <c:v>43173.13</c:v>
                </c:pt>
                <c:pt idx="1">
                  <c:v>38921.15</c:v>
                </c:pt>
              </c:numCache>
            </c:numRef>
          </c:val>
        </c:ser>
        <c:dLbls>
          <c:showLegendKey val="0"/>
          <c:showVal val="1"/>
          <c:showCatName val="0"/>
          <c:showSerName val="0"/>
          <c:showPercent val="0"/>
          <c:showBubbleSize val="0"/>
        </c:dLbls>
        <c:gapWidth val="219"/>
        <c:overlap val="-27"/>
        <c:axId val="67634688"/>
        <c:axId val="67636224"/>
      </c:barChart>
      <c:catAx>
        <c:axId val="6763468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67636224"/>
        <c:crosses val="autoZero"/>
        <c:auto val="1"/>
        <c:lblAlgn val="ctr"/>
        <c:lblOffset val="100"/>
        <c:noMultiLvlLbl val="0"/>
      </c:catAx>
      <c:valAx>
        <c:axId val="67636224"/>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67634688"/>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r>
              <a:rPr lang="zh-CN" altLang="zh-CN" sz="1400" b="0" i="0" u="none" strike="noStrike" baseline="0">
                <a:effectLst/>
              </a:rPr>
              <a:t>一般公共预算财政拨款支出决算结构</a:t>
            </a:r>
            <a:endParaRPr lang="zh-CN" altLang="en-US"/>
          </a:p>
        </c:rich>
      </c:tx>
      <c:layout/>
      <c:overlay val="0"/>
      <c:spPr>
        <a:noFill/>
        <a:ln>
          <a:noFill/>
        </a:ln>
        <a:effectLst/>
      </c:spPr>
    </c:title>
    <c:autoTitleDeleted val="0"/>
    <c:plotArea>
      <c:layout>
        <c:manualLayout>
          <c:layoutTarget val="inner"/>
          <c:xMode val="edge"/>
          <c:yMode val="edge"/>
          <c:x val="0.333516397092963"/>
          <c:y val="0.293698535207852"/>
          <c:w val="0.403301886792454"/>
          <c:h val="0.5625"/>
        </c:manualLayout>
      </c:layout>
      <c:pieChart>
        <c:varyColors val="1"/>
        <c:ser>
          <c:idx val="0"/>
          <c:order val="0"/>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Pt>
            <c:idx val="3"/>
            <c:bubble3D val="0"/>
            <c:spPr>
              <a:solidFill>
                <a:schemeClr val="accent4"/>
              </a:solidFill>
              <a:ln w="19050">
                <a:solidFill>
                  <a:schemeClr val="lt1"/>
                </a:solidFill>
              </a:ln>
              <a:effectLst/>
            </c:spPr>
          </c:dPt>
          <c:dPt>
            <c:idx val="4"/>
            <c:bubble3D val="0"/>
            <c:spPr>
              <a:solidFill>
                <a:schemeClr val="accent5"/>
              </a:solidFill>
              <a:ln w="19050">
                <a:solidFill>
                  <a:schemeClr val="lt1"/>
                </a:solidFill>
              </a:ln>
              <a:effectLst/>
            </c:spPr>
          </c:dPt>
          <c:dPt>
            <c:idx val="5"/>
            <c:bubble3D val="0"/>
            <c:spPr>
              <a:solidFill>
                <a:schemeClr val="accent6"/>
              </a:solidFill>
              <a:ln w="19050">
                <a:solidFill>
                  <a:schemeClr val="lt1"/>
                </a:solidFill>
              </a:ln>
              <a:effectLst/>
            </c:spPr>
          </c:dPt>
          <c:dLbls>
            <c:dLbl>
              <c:idx val="0"/>
              <c:layout>
                <c:manualLayout>
                  <c:x val="0.18403782559671"/>
                  <c:y val="0.0110606966208432"/>
                </c:manualLayout>
              </c:layout>
              <c:dLblPos val="bestFit"/>
              <c:showLegendKey val="0"/>
              <c:showVal val="1"/>
              <c:showCatName val="1"/>
              <c:showSerName val="0"/>
              <c:showPercent val="0"/>
              <c:showBubbleSize val="0"/>
              <c:extLst>
                <c:ext xmlns:c15="http://schemas.microsoft.com/office/drawing/2012/chart" uri="{CE6537A1-D6FC-4f65-9D91-7224C49458BB}">
                  <c15:layout/>
                </c:ext>
              </c:extLst>
            </c:dLbl>
            <c:dLbl>
              <c:idx val="1"/>
              <c:layout>
                <c:manualLayout>
                  <c:x val="0.0136410926973478"/>
                  <c:y val="0.0589063000788266"/>
                </c:manualLayout>
              </c:layout>
              <c:dLblPos val="bestFit"/>
              <c:showLegendKey val="0"/>
              <c:showVal val="1"/>
              <c:showCatName val="1"/>
              <c:showSerName val="0"/>
              <c:showPercent val="0"/>
              <c:showBubbleSize val="0"/>
              <c:extLst>
                <c:ext xmlns:c15="http://schemas.microsoft.com/office/drawing/2012/chart" uri="{CE6537A1-D6FC-4f65-9D91-7224C49458BB}">
                  <c15:layout/>
                </c:ext>
              </c:extLst>
            </c:dLbl>
            <c:dLbl>
              <c:idx val="2"/>
              <c:layout>
                <c:manualLayout>
                  <c:x val="-0.130330215943224"/>
                  <c:y val="0.25736025571061"/>
                </c:manualLayout>
              </c:layout>
              <c:dLblPos val="bestFit"/>
              <c:showLegendKey val="0"/>
              <c:showVal val="1"/>
              <c:showCatName val="1"/>
              <c:showSerName val="0"/>
              <c:showPercent val="0"/>
              <c:showBubbleSize val="0"/>
              <c:extLst>
                <c:ext xmlns:c15="http://schemas.microsoft.com/office/drawing/2012/chart" uri="{CE6537A1-D6FC-4f65-9D91-7224C49458BB}">
                  <c15:layout/>
                </c:ext>
              </c:extLst>
            </c:dLbl>
            <c:dLbl>
              <c:idx val="3"/>
              <c:layout>
                <c:manualLayout>
                  <c:x val="-0.133727318381231"/>
                  <c:y val="0.166121462539955"/>
                </c:manualLayout>
              </c:layout>
              <c:dLblPos val="bestFit"/>
              <c:showLegendKey val="0"/>
              <c:showVal val="1"/>
              <c:showCatName val="1"/>
              <c:showSerName val="0"/>
              <c:showPercent val="0"/>
              <c:showBubbleSize val="0"/>
              <c:extLst>
                <c:ext xmlns:c15="http://schemas.microsoft.com/office/drawing/2012/chart" uri="{CE6537A1-D6FC-4f65-9D91-7224C49458BB}">
                  <c15:layout/>
                </c:ext>
              </c:extLst>
            </c:dLbl>
            <c:dLbl>
              <c:idx val="4"/>
              <c:layout>
                <c:manualLayout>
                  <c:x val="-0.194459004898756"/>
                  <c:y val="0.0635929419713625"/>
                </c:manualLayout>
              </c:layout>
              <c:dLblPos val="bestFit"/>
              <c:showLegendKey val="0"/>
              <c:showVal val="1"/>
              <c:showCatName val="1"/>
              <c:showSerName val="0"/>
              <c:showPercent val="0"/>
              <c:showBubbleSize val="0"/>
              <c:extLst>
                <c:ext xmlns:c15="http://schemas.microsoft.com/office/drawing/2012/chart" uri="{CE6537A1-D6FC-4f65-9D91-7224C49458BB}">
                  <c15:layout/>
                </c:ext>
              </c:extLst>
            </c:dLbl>
            <c:dLbl>
              <c:idx val="5"/>
              <c:layout>
                <c:manualLayout>
                  <c:x val="-0.0252421425661143"/>
                  <c:y val="-0.0111736527983507"/>
                </c:manualLayout>
              </c:layout>
              <c:dLblPos val="bestFit"/>
              <c:showLegendKey val="0"/>
              <c:showVal val="1"/>
              <c:showCatName val="1"/>
              <c:showSerName val="0"/>
              <c:showPercent val="0"/>
              <c:showBubbleSize val="0"/>
              <c:extLst>
                <c:ext xmlns:c15="http://schemas.microsoft.com/office/drawing/2012/chart" uri="{CE6537A1-D6FC-4f65-9D91-7224C49458BB}">
                  <c15:layout/>
                </c:ext>
              </c:extLst>
            </c:dLbl>
            <c:spPr>
              <a:noFill/>
              <a:ln>
                <a:noFill/>
              </a:ln>
              <a:effectLst/>
            </c:spPr>
            <c:txPr>
              <a:bodyPr rot="0" spcFirstLastPara="1" vertOverflow="ellipsis" vert="horz" wrap="square" lIns="38100" tIns="19050" rIns="38100" bIns="19050" anchor="ctr" anchorCtr="1">
                <a:spAutoFit/>
              </a:bodyPr>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1"/>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Sheet1!$A$2:$A$7</c:f>
              <c:strCache>
                <c:ptCount val="6"/>
                <c:pt idx="0">
                  <c:v>一般公共服务支</c:v>
                </c:pt>
                <c:pt idx="1">
                  <c:v>教育支出</c:v>
                </c:pt>
                <c:pt idx="2">
                  <c:v>社会保障和就业支出</c:v>
                </c:pt>
                <c:pt idx="3">
                  <c:v>医疗卫生支出</c:v>
                </c:pt>
                <c:pt idx="4">
                  <c:v>住房保障支出</c:v>
                </c:pt>
                <c:pt idx="5">
                  <c:v>文化旅游体育与传媒支出</c:v>
                </c:pt>
              </c:strCache>
            </c:strRef>
          </c:cat>
          <c:val>
            <c:numRef>
              <c:f>Sheet1!$B$2:$B$7</c:f>
              <c:numCache>
                <c:formatCode>General</c:formatCode>
                <c:ptCount val="6"/>
                <c:pt idx="0">
                  <c:v>10</c:v>
                </c:pt>
                <c:pt idx="1" c:formatCode="#,##0.00">
                  <c:v>28816.73</c:v>
                </c:pt>
                <c:pt idx="2">
                  <c:v>1693.13</c:v>
                </c:pt>
                <c:pt idx="3">
                  <c:v>1140.83</c:v>
                </c:pt>
                <c:pt idx="4">
                  <c:v>2004.79</c:v>
                </c:pt>
                <c:pt idx="5">
                  <c:v>2059.45</c:v>
                </c:pt>
              </c:numCache>
            </c:numRef>
          </c:val>
        </c:ser>
        <c:dLbls>
          <c:showLegendKey val="0"/>
          <c:showVal val="1"/>
          <c:showCatName val="0"/>
          <c:showSerName val="0"/>
          <c:showPercent val="0"/>
          <c:showBubbleSize val="0"/>
          <c:showLeaderLines val="1"/>
        </c:dLbls>
        <c:firstSliceAng val="0"/>
      </c:pieChart>
      <c:spPr>
        <a:noFill/>
        <a:ln>
          <a:noFill/>
        </a:ln>
        <a:effectLst/>
      </c:spPr>
    </c:plotArea>
    <c:plotVisOnly val="1"/>
    <c:dispBlanksAs val="zero"/>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1"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0"/>
    <c:plotArea>
      <c:layout>
        <c:manualLayout>
          <c:layoutTarget val="inner"/>
          <c:xMode val="edge"/>
          <c:yMode val="edge"/>
          <c:x val="0.191119691119691"/>
          <c:y val="0.277777777777778"/>
          <c:w val="0.27027027027027"/>
          <c:h val="0.598290598290599"/>
        </c:manualLayout>
      </c:layout>
      <c:pieChart>
        <c:varyColors val="1"/>
        <c:ser>
          <c:idx val="0"/>
          <c:order val="0"/>
          <c:tx>
            <c:strRef>
              <c:f>Sheet1!$B$1</c:f>
              <c:strCache>
                <c:ptCount val="1"/>
                <c:pt idx="0">
                  <c:v> “三公”经费财政拨款支出结构</c:v>
                </c:pt>
              </c:strCache>
            </c:strRef>
          </c:tx>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Lbls>
            <c:dLbl>
              <c:idx val="1"/>
              <c:layout>
                <c:manualLayout>
                  <c:x val="0.0412796697626419"/>
                  <c:y val="-0.0630011454753722"/>
                </c:manualLayout>
              </c:layout>
              <c:numFmt formatCode="General" sourceLinked="1"/>
              <c:spPr>
                <a:solidFill>
                  <a:schemeClr val="lt1"/>
                </a:solidFill>
                <a:ln>
                  <a:solidFill>
                    <a:schemeClr val="dk1">
                      <a:lumMod val="25000"/>
                      <a:lumOff val="75000"/>
                    </a:schemeClr>
                  </a:solidFill>
                </a:ln>
                <a:effectLst/>
              </c:spPr>
              <c:txPr>
                <a:bodyPr rot="0" spcFirstLastPara="1" vertOverflow="clip" horzOverflow="clip" vert="horz" wrap="square" lIns="38100" tIns="19050" rIns="38100" bIns="19050" anchor="ctr" anchorCtr="1">
                  <a:spAutoFit/>
                </a:bodyPr>
                <a:lstStyle/>
                <a:p>
                  <a:pPr>
                    <a:defRPr lang="zh-CN" sz="900" b="0" i="0" u="none" strike="noStrike" kern="1200" baseline="0">
                      <a:solidFill>
                        <a:schemeClr val="dk1">
                          <a:lumMod val="65000"/>
                          <a:lumOff val="35000"/>
                        </a:schemeClr>
                      </a:solidFill>
                      <a:latin typeface="+mn-lt"/>
                      <a:ea typeface="+mn-ea"/>
                      <a:cs typeface="+mn-cs"/>
                    </a:defRPr>
                  </a:pPr>
                </a:p>
              </c:txPr>
              <c:dLblPos val="bestFit"/>
              <c:showLegendKey val="0"/>
              <c:showVal val="1"/>
              <c:showCatName val="0"/>
              <c:showSerName val="0"/>
              <c:showPercent val="0"/>
              <c:showBubbleSize val="0"/>
              <c:extLst>
                <c:ext xmlns:c15="http://schemas.microsoft.com/office/drawing/2012/chart" uri="{CE6537A1-D6FC-4f65-9D91-7224C49458BB}">
                  <c15:layout/>
                </c:ext>
              </c:extLst>
            </c:dLbl>
            <c:dLbl>
              <c:idx val="2"/>
              <c:layout>
                <c:manualLayout>
                  <c:x val="0.0335397316821466"/>
                  <c:y val="0.0687285223367698"/>
                </c:manualLayout>
              </c:layout>
              <c:numFmt formatCode="General" sourceLinked="1"/>
              <c:spPr>
                <a:solidFill>
                  <a:schemeClr val="lt1"/>
                </a:solidFill>
                <a:ln>
                  <a:solidFill>
                    <a:schemeClr val="dk1">
                      <a:lumMod val="25000"/>
                      <a:lumOff val="75000"/>
                    </a:schemeClr>
                  </a:solidFill>
                </a:ln>
                <a:effectLst/>
              </c:spPr>
              <c:txPr>
                <a:bodyPr rot="0" spcFirstLastPara="1" vertOverflow="clip" horzOverflow="clip" vert="horz" wrap="square" lIns="38100" tIns="19050" rIns="38100" bIns="19050" anchor="ctr" anchorCtr="1">
                  <a:spAutoFit/>
                </a:bodyPr>
                <a:lstStyle/>
                <a:p>
                  <a:pPr>
                    <a:defRPr lang="zh-CN" sz="900" b="0" i="0" u="none" strike="noStrike" kern="1200" baseline="0">
                      <a:solidFill>
                        <a:schemeClr val="dk1">
                          <a:lumMod val="65000"/>
                          <a:lumOff val="35000"/>
                        </a:schemeClr>
                      </a:solidFill>
                      <a:latin typeface="+mn-lt"/>
                      <a:ea typeface="+mn-ea"/>
                      <a:cs typeface="+mn-cs"/>
                    </a:defRPr>
                  </a:pPr>
                </a:p>
              </c:txPr>
              <c:dLblPos val="bestFit"/>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1" vertOverflow="ellipsis" vert="horz" wrap="square" lIns="38100" tIns="19050" rIns="38100" bIns="19050" anchor="ctr" anchorCtr="1">
                <a:spAutoFit/>
              </a:bodyPr>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Sheet1!$A$2:$A$4</c:f>
              <c:strCache>
                <c:ptCount val="3"/>
                <c:pt idx="0">
                  <c:v>因公出国（境）费支出</c:v>
                </c:pt>
                <c:pt idx="1">
                  <c:v>公务用车购置及运行维护费支出</c:v>
                </c:pt>
                <c:pt idx="2">
                  <c:v>公务接待费支出</c:v>
                </c:pt>
              </c:strCache>
            </c:strRef>
          </c:cat>
          <c:val>
            <c:numRef>
              <c:f>Sheet1!$B$2:$B$4</c:f>
              <c:numCache>
                <c:formatCode>General</c:formatCode>
                <c:ptCount val="3"/>
                <c:pt idx="0">
                  <c:v>0</c:v>
                </c:pt>
                <c:pt idx="1">
                  <c:v>51.05</c:v>
                </c:pt>
                <c:pt idx="2">
                  <c:v>7.92</c:v>
                </c:pt>
              </c:numCache>
            </c:numRef>
          </c:val>
        </c:ser>
        <c:ser>
          <c:idx val="1"/>
          <c:order val="1"/>
          <c:tx>
            <c:strRef>
              <c:f>Sheet1!#REF!</c:f>
              <c:strCache>
                <c:ptCount val="1"/>
                <c:pt idx="0">
                  <c:v>Sheet1!#REF!</c:v>
                </c:pt>
              </c:strCache>
            </c:strRef>
          </c:tx>
          <c:spPr/>
          <c:explosion val="0"/>
          <c:dPt>
            <c:idx val="0"/>
            <c:bubble3D val="0"/>
            <c:spPr>
              <a:solidFill>
                <a:schemeClr val="accent1"/>
              </a:solidFill>
              <a:ln w="19050">
                <a:solidFill>
                  <a:schemeClr val="lt1"/>
                </a:solidFill>
              </a:ln>
              <a:effectLst/>
            </c:spPr>
          </c:dPt>
          <c:dLbls>
            <c:spPr>
              <a:noFill/>
              <a:ln>
                <a:noFill/>
              </a:ln>
              <a:effectLst/>
            </c:spPr>
            <c:txPr>
              <a:bodyPr rot="0" spcFirstLastPara="1" vertOverflow="ellipsis" vert="horz" wrap="square" lIns="38100" tIns="19050" rIns="38100" bIns="19050" anchor="ctr" anchorCtr="1">
                <a:spAutoFit/>
              </a:bodyPr>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Sheet1!$A$2:$A$4</c:f>
              <c:strCache>
                <c:ptCount val="3"/>
                <c:pt idx="0">
                  <c:v>因公出国（境）费支出</c:v>
                </c:pt>
                <c:pt idx="1">
                  <c:v>公务用车购置及运行维护费支出</c:v>
                </c:pt>
                <c:pt idx="2">
                  <c:v>公务接待费支出</c:v>
                </c:pt>
              </c:strCache>
            </c:strRef>
          </c:cat>
          <c:val>
            <c:numRef>
              <c:f>Sheet1!#REF!</c:f>
              <c:numCache>
                <c:formatCode>General</c:formatCode>
                <c:ptCount val="1"/>
                <c:pt idx="0">
                  <c:v>1</c:v>
                </c:pt>
              </c:numCache>
            </c:numRef>
          </c:val>
        </c:ser>
        <c:ser>
          <c:idx val="2"/>
          <c:order val="2"/>
          <c:tx>
            <c:strRef>
              <c:f>Sheet1!#REF!</c:f>
              <c:strCache>
                <c:ptCount val="1"/>
                <c:pt idx="0">
                  <c:v>Sheet1!#REF!</c:v>
                </c:pt>
              </c:strCache>
            </c:strRef>
          </c:tx>
          <c:spPr/>
          <c:explosion val="0"/>
          <c:dPt>
            <c:idx val="0"/>
            <c:bubble3D val="0"/>
            <c:spPr>
              <a:solidFill>
                <a:schemeClr val="accent1"/>
              </a:solidFill>
              <a:ln w="19050">
                <a:solidFill>
                  <a:schemeClr val="lt1"/>
                </a:solidFill>
              </a:ln>
              <a:effectLst/>
            </c:spPr>
          </c:dPt>
          <c:dLbls>
            <c:spPr>
              <a:noFill/>
              <a:ln>
                <a:noFill/>
              </a:ln>
              <a:effectLst/>
            </c:spPr>
            <c:txPr>
              <a:bodyPr rot="0" spcFirstLastPara="1" vertOverflow="ellipsis" vert="horz" wrap="square" lIns="38100" tIns="19050" rIns="38100" bIns="19050" anchor="ctr" anchorCtr="1">
                <a:spAutoFit/>
              </a:bodyPr>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Sheet1!$A$2:$A$4</c:f>
              <c:strCache>
                <c:ptCount val="3"/>
                <c:pt idx="0">
                  <c:v>因公出国（境）费支出</c:v>
                </c:pt>
                <c:pt idx="1">
                  <c:v>公务用车购置及运行维护费支出</c:v>
                </c:pt>
                <c:pt idx="2">
                  <c:v>公务接待费支出</c:v>
                </c:pt>
              </c:strCache>
            </c:strRef>
          </c:cat>
          <c:val>
            <c:numRef>
              <c:f>Sheet1!#REF!</c:f>
              <c:numCache>
                <c:formatCode>General</c:formatCode>
                <c:ptCount val="1"/>
                <c:pt idx="0">
                  <c:v>1</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zero"/>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B0ACD3-C931-4644-801A-B9EA7D580E31}">
  <ds:schemaRefs/>
</ds:datastoreItem>
</file>

<file path=docProps/app.xml><?xml version="1.0" encoding="utf-8"?>
<Properties xmlns="http://schemas.openxmlformats.org/officeDocument/2006/extended-properties" xmlns:vt="http://schemas.openxmlformats.org/officeDocument/2006/docPropsVTypes">
  <Template>Normal.dotm</Template>
  <Company>四川省财政厅</Company>
  <Pages>49</Pages>
  <Words>19335</Words>
  <Characters>20845</Characters>
  <Lines>116</Lines>
  <Paragraphs>32</Paragraphs>
  <TotalTime>60</TotalTime>
  <ScaleCrop>false</ScaleCrop>
  <LinksUpToDate>false</LinksUpToDate>
  <CharactersWithSpaces>20895</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2020-09-27T10:18:00Z</dcterms:created>
  <dc:creator>曹颖</dc:creator>
  <cp:lastModifiedBy>86159</cp:lastModifiedBy>
  <cp:lastPrinted>2020-07-23T02:58:00Z</cp:lastPrinted>
  <dcterms:modified xsi:type="dcterms:W3CDTF">2023-11-07T01:39:39Z</dcterms:modified>
  <dc:title>四川省***</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3A1CBCFD9E6A4F04897B93040EB03555_13</vt:lpwstr>
  </property>
</Properties>
</file>